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Big"/>
      </w:pPr>
      <w:r>
        <w:rPr>
          <w:b/>
          <w:bCs/>
          <w:color w:val="04342C"/>
          <w:sz w:val="34"/>
          <w:szCs w:val="34"/>
        </w:rPr>
        <w:t xml:space="preserve">Genius Monkey Rebrand, Keyword Plan</w:t>
      </w:r>
    </w:p>
    <w:p>
      <w:pPr>
        <w:spacing w:after="180"/>
      </w:pPr>
      <w:r>
        <w:rPr>
          <w:color w:val="777777"/>
          <w:sz w:val="22"/>
          <w:szCs w:val="22"/>
        </w:rPr>
        <w:t xml:space="preserve">Executive summary</w:t>
      </w:r>
    </w:p>
    <w:p>
      <w:pPr>
        <w:spacing w:after="120"/>
      </w:pPr>
      <w:r>
        <w:t xml:space="preserve">As part of the rebrand we mapped the new website to the exact terms our buyers search for, so every page is built to get found, in Google and in AI search like ChatGPT and Perplexity, from the day it launches. The plan covers </w:t>
      </w:r>
      <w:r>
        <w:rPr>
          <w:b/>
          <w:bCs/>
        </w:rPr>
        <w:t xml:space="preserve">147 priority search terms</w:t>
      </w:r>
      <w:r>
        <w:t xml:space="preserve"> grouped into </w:t>
      </w:r>
      <w:r>
        <w:rPr>
          <w:b/>
          <w:bCs/>
        </w:rPr>
        <w:t xml:space="preserve">29 topics</w:t>
      </w:r>
      <w:r>
        <w:t xml:space="preserve">, each assigned to a specific page.</w:t>
      </w:r>
    </w:p>
    <w:p>
      <w:pPr>
        <w:spacing w:after="120"/>
      </w:pPr>
      <w:r>
        <w:t xml:space="preserve">Today the site ranks for almost nothing commercial: people searching for what we sell mostly don’t find us. The rebrand is the moment to fix that. Many of the most valuable terms have </w:t>
      </w:r>
      <w:r>
        <w:rPr>
          <w:b/>
          <w:bCs/>
        </w:rPr>
        <w:t xml:space="preserve">low competition</w:t>
      </w:r>
      <w:r>
        <w:t xml:space="preserve">, so we can realistically rank for them without a long, expensive fight.</w:t>
      </w:r>
    </w:p>
    <w:p>
      <w:pPr>
        <w:pStyle w:val="Heading1"/>
      </w:pPr>
      <w:r>
        <w:rPr>
          <w:b/>
          <w:bCs/>
          <w:color w:val="0F6E56"/>
          <w:sz w:val="25"/>
          <w:szCs w:val="25"/>
        </w:rPr>
        <w:t xml:space="preserve">Where we win first</w:t>
      </w:r>
    </w:p>
    <w:p>
      <w:pPr>
        <w:spacing w:after="120"/>
      </w:pPr>
      <w:r>
        <w:t xml:space="preserve">High buyer demand, mostly low competition. These pages get written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tblHeader/>
        </w:trPr>
        <w:tc>
          <w:tcPr>
            <w:tcW w:type="dxa" w:w="5360"/>
            <w:tcBorders>
              <w:top w:val="single" w:color="DDDDDD" w:sz="1"/>
              <w:left w:val="single" w:color="DDDDDD" w:sz="1"/>
              <w:bottom w:val="single" w:color="DDDDDD" w:sz="1"/>
              <w:right w:val="single" w:color="DDDDDD" w:sz="1"/>
            </w:tcBorders>
            <w:shd w:fill="E1F5EE" w:val="clear"/>
            <w:tcMar>
              <w:top w:type="dxa" w:w="50"/>
              <w:left w:type="dxa" w:w="120"/>
              <w:bottom w:type="dxa" w:w="50"/>
              <w:right w:type="dxa" w:w="120"/>
            </w:tcMar>
            <w:vAlign w:val="center"/>
          </w:tcPr>
          <w:p>
            <w:pPr>
              <w:spacing w:after="0"/>
              <w:jc w:val="left"/>
            </w:pPr>
            <w:r>
              <w:rPr>
                <w:b/>
                <w:bCs/>
                <w:color w:val="04342C"/>
                <w:sz w:val="20"/>
                <w:szCs w:val="20"/>
              </w:rPr>
              <w:t xml:space="preserve">Search term</w:t>
            </w:r>
          </w:p>
        </w:tc>
        <w:tc>
          <w:tcPr>
            <w:tcW w:type="dxa" w:w="2400"/>
            <w:tcBorders>
              <w:top w:val="single" w:color="DDDDDD" w:sz="1"/>
              <w:left w:val="single" w:color="DDDDDD" w:sz="1"/>
              <w:bottom w:val="single" w:color="DDDDDD" w:sz="1"/>
              <w:right w:val="single" w:color="DDDDDD" w:sz="1"/>
            </w:tcBorders>
            <w:shd w:fill="E1F5EE" w:val="clear"/>
            <w:tcMar>
              <w:top w:type="dxa" w:w="50"/>
              <w:left w:type="dxa" w:w="120"/>
              <w:bottom w:type="dxa" w:w="50"/>
              <w:right w:type="dxa" w:w="120"/>
            </w:tcMar>
            <w:vAlign w:val="center"/>
          </w:tcPr>
          <w:p>
            <w:pPr>
              <w:spacing w:after="0"/>
              <w:jc w:val="center"/>
            </w:pPr>
            <w:r>
              <w:rPr>
                <w:b/>
                <w:bCs/>
                <w:color w:val="04342C"/>
                <w:sz w:val="20"/>
                <w:szCs w:val="20"/>
              </w:rPr>
              <w:t xml:space="preserve">Monthly U.S. searches</w:t>
            </w:r>
          </w:p>
        </w:tc>
        <w:tc>
          <w:tcPr>
            <w:tcW w:type="dxa" w:w="1600"/>
            <w:tcBorders>
              <w:top w:val="single" w:color="DDDDDD" w:sz="1"/>
              <w:left w:val="single" w:color="DDDDDD" w:sz="1"/>
              <w:bottom w:val="single" w:color="DDDDDD" w:sz="1"/>
              <w:right w:val="single" w:color="DDDDDD" w:sz="1"/>
            </w:tcBorders>
            <w:shd w:fill="E1F5EE" w:val="clear"/>
            <w:tcMar>
              <w:top w:type="dxa" w:w="50"/>
              <w:left w:type="dxa" w:w="120"/>
              <w:bottom w:type="dxa" w:w="50"/>
              <w:right w:type="dxa" w:w="120"/>
            </w:tcMar>
            <w:vAlign w:val="center"/>
          </w:tcPr>
          <w:p>
            <w:pPr>
              <w:spacing w:after="0"/>
              <w:jc w:val="center"/>
            </w:pPr>
            <w:r>
              <w:rPr>
                <w:b/>
                <w:bCs/>
                <w:color w:val="04342C"/>
                <w:sz w:val="20"/>
                <w:szCs w:val="20"/>
              </w:rPr>
              <w:t xml:space="preserve">Competition</w:t>
            </w:r>
          </w:p>
        </w:tc>
      </w:tr>
      <w:tr>
        <w:tc>
          <w:tcPr>
            <w:tcW w:type="dxa" w:w="536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left"/>
            </w:pPr>
            <w:r>
              <w:rPr>
                <w:sz w:val="21"/>
                <w:szCs w:val="21"/>
              </w:rPr>
              <w:t xml:space="preserve">“what is a DSP”</w:t>
            </w:r>
            <w:r>
              <w:rPr>
                <w:i/>
                <w:iCs/>
                <w:color w:val="777777"/>
                <w:sz w:val="17"/>
                <w:szCs w:val="17"/>
              </w:rPr>
              <w:t xml:space="preserve">   top AI-answer term</w:t>
            </w:r>
          </w:p>
        </w:tc>
        <w:tc>
          <w:tcPr>
            <w:tcW w:type="dxa" w:w="24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5,400</w:t>
            </w:r>
          </w:p>
        </w:tc>
        <w:tc>
          <w:tcPr>
            <w:tcW w:type="dxa" w:w="16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Medium</w:t>
            </w:r>
          </w:p>
        </w:tc>
      </w:tr>
      <w:tr>
        <w:tc>
          <w:tcPr>
            <w:tcW w:type="dxa" w:w="536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left"/>
            </w:pPr>
            <w:r>
              <w:rPr>
                <w:sz w:val="21"/>
                <w:szCs w:val="21"/>
              </w:rPr>
              <w:t xml:space="preserve">“programmatic advertising agency”</w:t>
            </w:r>
          </w:p>
        </w:tc>
        <w:tc>
          <w:tcPr>
            <w:tcW w:type="dxa" w:w="24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3,000</w:t>
            </w:r>
          </w:p>
        </w:tc>
        <w:tc>
          <w:tcPr>
            <w:tcW w:type="dxa" w:w="16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Low</w:t>
            </w:r>
          </w:p>
        </w:tc>
      </w:tr>
      <w:tr>
        <w:tc>
          <w:tcPr>
            <w:tcW w:type="dxa" w:w="536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left"/>
            </w:pPr>
            <w:r>
              <w:rPr>
                <w:sz w:val="21"/>
                <w:szCs w:val="21"/>
              </w:rPr>
              <w:t xml:space="preserve">“what is CTV”</w:t>
            </w:r>
            <w:r>
              <w:rPr>
                <w:i/>
                <w:iCs/>
                <w:color w:val="777777"/>
                <w:sz w:val="17"/>
                <w:szCs w:val="17"/>
              </w:rPr>
              <w:t xml:space="preserve">   top AI-answer term</w:t>
            </w:r>
          </w:p>
        </w:tc>
        <w:tc>
          <w:tcPr>
            <w:tcW w:type="dxa" w:w="24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3,000</w:t>
            </w:r>
          </w:p>
        </w:tc>
        <w:tc>
          <w:tcPr>
            <w:tcW w:type="dxa" w:w="16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Low</w:t>
            </w:r>
          </w:p>
        </w:tc>
      </w:tr>
      <w:tr>
        <w:tc>
          <w:tcPr>
            <w:tcW w:type="dxa" w:w="536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left"/>
            </w:pPr>
            <w:r>
              <w:rPr>
                <w:sz w:val="21"/>
                <w:szCs w:val="21"/>
              </w:rPr>
              <w:t xml:space="preserve">“retail media”</w:t>
            </w:r>
          </w:p>
        </w:tc>
        <w:tc>
          <w:tcPr>
            <w:tcW w:type="dxa" w:w="24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2,300</w:t>
            </w:r>
          </w:p>
        </w:tc>
        <w:tc>
          <w:tcPr>
            <w:tcW w:type="dxa" w:w="16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Low</w:t>
            </w:r>
          </w:p>
        </w:tc>
      </w:tr>
      <w:tr>
        <w:tc>
          <w:tcPr>
            <w:tcW w:type="dxa" w:w="536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left"/>
            </w:pPr>
            <w:r>
              <w:rPr>
                <w:sz w:val="21"/>
                <w:szCs w:val="21"/>
              </w:rPr>
              <w:t xml:space="preserve">“geofencing marketing”</w:t>
            </w:r>
          </w:p>
        </w:tc>
        <w:tc>
          <w:tcPr>
            <w:tcW w:type="dxa" w:w="24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1,800</w:t>
            </w:r>
          </w:p>
        </w:tc>
        <w:tc>
          <w:tcPr>
            <w:tcW w:type="dxa" w:w="16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Low</w:t>
            </w:r>
          </w:p>
        </w:tc>
      </w:tr>
      <w:tr>
        <w:tc>
          <w:tcPr>
            <w:tcW w:type="dxa" w:w="536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left"/>
            </w:pPr>
            <w:r>
              <w:rPr>
                <w:sz w:val="21"/>
                <w:szCs w:val="21"/>
              </w:rPr>
              <w:t xml:space="preserve">“legal advertising”</w:t>
            </w:r>
          </w:p>
        </w:tc>
        <w:tc>
          <w:tcPr>
            <w:tcW w:type="dxa" w:w="24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1,200</w:t>
            </w:r>
          </w:p>
        </w:tc>
        <w:tc>
          <w:tcPr>
            <w:tcW w:type="dxa" w:w="16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Low</w:t>
            </w:r>
          </w:p>
        </w:tc>
      </w:tr>
      <w:tr>
        <w:tc>
          <w:tcPr>
            <w:tcW w:type="dxa" w:w="536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left"/>
            </w:pPr>
            <w:r>
              <w:rPr>
                <w:sz w:val="21"/>
                <w:szCs w:val="21"/>
              </w:rPr>
              <w:t xml:space="preserve">“behavioral targeting”</w:t>
            </w:r>
          </w:p>
        </w:tc>
        <w:tc>
          <w:tcPr>
            <w:tcW w:type="dxa" w:w="24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1,200</w:t>
            </w:r>
          </w:p>
        </w:tc>
        <w:tc>
          <w:tcPr>
            <w:tcW w:type="dxa" w:w="16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Low</w:t>
            </w:r>
          </w:p>
        </w:tc>
      </w:tr>
      <w:tr>
        <w:tc>
          <w:tcPr>
            <w:tcW w:type="dxa" w:w="536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left"/>
            </w:pPr>
            <w:r>
              <w:rPr>
                <w:sz w:val="21"/>
                <w:szCs w:val="21"/>
              </w:rPr>
              <w:t xml:space="preserve">“DOOH advertising”</w:t>
            </w:r>
          </w:p>
        </w:tc>
        <w:tc>
          <w:tcPr>
            <w:tcW w:type="dxa" w:w="24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1,100</w:t>
            </w:r>
          </w:p>
        </w:tc>
        <w:tc>
          <w:tcPr>
            <w:tcW w:type="dxa" w:w="16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Low</w:t>
            </w:r>
          </w:p>
        </w:tc>
      </w:tr>
      <w:tr>
        <w:tc>
          <w:tcPr>
            <w:tcW w:type="dxa" w:w="536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left"/>
            </w:pPr>
            <w:r>
              <w:rPr>
                <w:sz w:val="21"/>
                <w:szCs w:val="21"/>
              </w:rPr>
              <w:t xml:space="preserve">“retail advertising”</w:t>
            </w:r>
          </w:p>
        </w:tc>
        <w:tc>
          <w:tcPr>
            <w:tcW w:type="dxa" w:w="24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700</w:t>
            </w:r>
          </w:p>
        </w:tc>
        <w:tc>
          <w:tcPr>
            <w:tcW w:type="dxa" w:w="1600"/>
            <w:tcBorders>
              <w:top w:val="single" w:color="DDDDDD" w:sz="1"/>
              <w:left w:val="single" w:color="DDDDDD" w:sz="1"/>
              <w:bottom w:val="single" w:color="DDDDDD" w:sz="1"/>
              <w:right w:val="single" w:color="DDDDDD" w:sz="1"/>
            </w:tcBorders>
            <w:tcMar>
              <w:top w:type="dxa" w:w="50"/>
              <w:left w:type="dxa" w:w="120"/>
              <w:bottom w:type="dxa" w:w="50"/>
              <w:right w:type="dxa" w:w="120"/>
            </w:tcMar>
            <w:vAlign w:val="center"/>
          </w:tcPr>
          <w:p>
            <w:pPr>
              <w:spacing w:after="0"/>
              <w:jc w:val="center"/>
            </w:pPr>
            <w:r>
              <w:rPr>
                <w:sz w:val="21"/>
                <w:szCs w:val="21"/>
              </w:rPr>
              <w:t xml:space="preserve">Low</w:t>
            </w:r>
          </w:p>
        </w:tc>
      </w:tr>
    </w:tbl>
    <w:p>
      <w:pPr>
        <w:spacing w:after="120" w:before="100"/>
      </w:pPr>
      <w:r>
        <w:rPr>
          <w:i/>
          <w:iCs/>
          <w:color w:val="777777"/>
          <w:sz w:val="18"/>
          <w:szCs w:val="18"/>
        </w:rPr>
        <w:t xml:space="preserve">“Competition” is how hard it is to rank. The two AI-answer terms are the kind of plain questions ChatGPT and Perplexity quote directly, so winning them puts us inside AI answers, not just Google results.</w:t>
      </w:r>
    </w:p>
    <w:p>
      <w:pPr>
        <w:pStyle w:val="Heading1"/>
      </w:pPr>
      <w:r>
        <w:rPr>
          <w:b/>
          <w:bCs/>
          <w:color w:val="0F6E56"/>
          <w:sz w:val="25"/>
          <w:szCs w:val="25"/>
        </w:rPr>
        <w:t xml:space="preserve">What the plan covers</w:t>
      </w:r>
    </w:p>
    <w:p>
      <w:pPr>
        <w:spacing w:after="100"/>
      </w:pPr>
      <w:r>
        <w:t xml:space="preserve">The 29 topics roll up into a few areas:</w:t>
      </w:r>
    </w:p>
    <w:p>
      <w:pPr>
        <w:pStyle w:val="ListParagraph"/>
        <w:numPr>
          <w:ilvl w:val="0"/>
          <w:numId w:val="2"/>
        </w:numPr>
        <w:spacing w:after="40"/>
      </w:pPr>
      <w:r>
        <w:t xml:space="preserve">Our platform and how programmatic advertising works</w:t>
      </w:r>
    </w:p>
    <w:p>
      <w:pPr>
        <w:pStyle w:val="ListParagraph"/>
        <w:numPr>
          <w:ilvl w:val="0"/>
          <w:numId w:val="2"/>
        </w:numPr>
        <w:spacing w:after="40"/>
      </w:pPr>
      <w:r>
        <w:t xml:space="preserve">The channels we run: connected TV and streaming, online video, display, native, audio, and digital out-of-home (billboards)</w:t>
      </w:r>
    </w:p>
    <w:p>
      <w:pPr>
        <w:pStyle w:val="ListParagraph"/>
        <w:numPr>
          <w:ilvl w:val="0"/>
          <w:numId w:val="2"/>
        </w:numPr>
        <w:spacing w:after="40"/>
      </w:pPr>
      <w:r>
        <w:t xml:space="preserve">Audience targeting and data, including geofencing and the move to a cookieless future</w:t>
      </w:r>
    </w:p>
    <w:p>
      <w:pPr>
        <w:pStyle w:val="ListParagraph"/>
        <w:numPr>
          <w:ilvl w:val="0"/>
          <w:numId w:val="2"/>
        </w:numPr>
        <w:spacing w:after="40"/>
      </w:pPr>
      <w:r>
        <w:t xml:space="preserve">Measurement and proving results</w:t>
      </w:r>
    </w:p>
    <w:p>
      <w:pPr>
        <w:pStyle w:val="ListParagraph"/>
        <w:numPr>
          <w:ilvl w:val="0"/>
          <w:numId w:val="2"/>
        </w:numPr>
        <w:spacing w:after="40"/>
      </w:pPr>
      <w:r>
        <w:t xml:space="preserve">The industries we serve: automotive, legal, healthcare, finance, retail, travel, home services, and more</w:t>
      </w:r>
    </w:p>
    <w:p>
      <w:pPr>
        <w:pStyle w:val="ListParagraph"/>
        <w:numPr>
          <w:ilvl w:val="0"/>
          <w:numId w:val="2"/>
        </w:numPr>
        <w:spacing w:after="40"/>
      </w:pPr>
      <w:r>
        <w:t xml:space="preserve">Buyer guides, competitor comparisons, and a plain-English glossary that feeds AI search</w:t>
      </w:r>
    </w:p>
    <w:p>
      <w:pPr>
        <w:pStyle w:val="Heading1"/>
      </w:pPr>
      <w:r>
        <w:rPr>
          <w:b/>
          <w:bCs/>
          <w:color w:val="0F6E56"/>
          <w:sz w:val="25"/>
          <w:szCs w:val="25"/>
        </w:rPr>
        <w:t xml:space="preserve">How we roll it out</w:t>
      </w:r>
    </w:p>
    <w:p>
      <w:pPr>
        <w:spacing w:after="120"/>
      </w:pPr>
      <w:r>
        <w:t xml:space="preserve">We write the quick wins above first, then the core pages, then the long tail. Drafting each page against this plan gets us strong first-pass content instead of rewrites.</w:t>
      </w:r>
    </w:p>
    <w:p>
      <w:pPr>
        <w:pStyle w:val="Heading1"/>
      </w:pPr>
      <w:r>
        <w:rPr>
          <w:b/>
          <w:bCs/>
          <w:color w:val="0F6E56"/>
          <w:sz w:val="25"/>
          <w:szCs w:val="25"/>
        </w:rPr>
        <w:t xml:space="preserve">One thing to watch</w:t>
      </w:r>
    </w:p>
    <w:p>
      <w:pPr>
        <w:spacing w:after="120"/>
      </w:pPr>
      <w:r>
        <w:t xml:space="preserve">Several existing pages already rank today. When their web addresses change in the rebrand, we have to redirect the old ones or we lose the traffic they already earn. That redirect map is built and ready.</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7"/>
        <w:szCs w:val="17"/>
      </w:rPr>
      <w:t xml:space="preserve">Genius Monkey, Rebrand Keyword Plan, Executive Summary, June 2026   |   page </w:t>
    </w:r>
    <w:r>
      <w:rP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Big">
    <w:name w:val="TitleBig"/>
    <w:basedOn w:val="Normal"/>
    <w:next w:val="Normal"/>
    <w:qFormat/>
    <w:pPr>
      <w:spacing w:after="20"/>
    </w:pPr>
    <w:rPr>
      <w:rFonts w:ascii="Arial" w:cs="Arial" w:eastAsia="Arial" w:hAnsi="Arial"/>
      <w:b/>
      <w:bCs/>
      <w:color w:val="04342C"/>
      <w:sz w:val="34"/>
      <w:szCs w:val="34"/>
    </w:rPr>
  </w:style>
  <w:style w:type="paragraph" w:styleId="Heading1">
    <w:name w:val="Heading 1"/>
    <w:basedOn w:val="Normal"/>
    <w:next w:val="Normal"/>
    <w:qFormat/>
    <w:pPr>
      <w:spacing w:after="100" w:before="240"/>
      <w:outlineLvl w:val="0"/>
    </w:pPr>
    <w:rPr>
      <w:rFonts w:ascii="Arial" w:cs="Arial" w:eastAsia="Arial" w:hAnsi="Arial"/>
      <w:b/>
      <w:bCs/>
      <w:color w:val="0F6E5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2026-06-29T19:32:26.287Z</dcterms:created>
  <dcterms:modified xsi:type="dcterms:W3CDTF">2026-06-29T19:32:26.288Z</dcterms:modified>
</cp:coreProperties>
</file>

<file path=docProps/custom.xml><?xml version="1.0" encoding="utf-8"?>
<Properties xmlns="http://schemas.openxmlformats.org/officeDocument/2006/custom-properties" xmlns:vt="http://schemas.openxmlformats.org/officeDocument/2006/docPropsVTypes"/>
</file>