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900" w:line="310"/>
        <w:jc w:val="center"/>
      </w:pPr>
      <w:r>
        <w:rPr>
          <w:rFonts w:ascii="Arial" w:cs="Arial" w:eastAsia="Arial" w:hAnsi="Arial"/>
          <w:b/>
          <w:bCs/>
          <w:color w:val="182033"/>
          <w:sz w:val="46"/>
          <w:szCs w:val="46"/>
        </w:rPr>
        <w:t xml:space="preserve">AI 新媒体运营中台</w:t>
      </w:r>
    </w:p>
    <w:p>
      <w:pPr>
        <w:spacing w:after="330" w:before="0" w:line="310"/>
        <w:jc w:val="center"/>
      </w:pPr>
      <w:r>
        <w:rPr>
          <w:rFonts w:ascii="Arial" w:cs="Arial" w:eastAsia="Arial" w:hAnsi="Arial"/>
          <w:b/>
          <w:bCs/>
          <w:color w:val="FF4D5A"/>
          <w:sz w:val="34"/>
          <w:szCs w:val="34"/>
        </w:rPr>
        <w:t xml:space="preserve">总体产品方案与技术验证路线</w:t>
      </w:r>
    </w:p>
    <w:p>
      <w:pPr>
        <w:spacing w:after="520" w:before="0" w:line="310"/>
        <w:jc w:val="center"/>
      </w:pPr>
      <w:r>
        <w:rPr>
          <w:rFonts w:ascii="Arial" w:cs="Arial" w:eastAsia="Arial" w:hAnsi="Arial"/>
          <w:color w:val="657087"/>
          <w:sz w:val="21"/>
          <w:szCs w:val="21"/>
        </w:rPr>
        <w:t xml:space="preserve">定义产品方向、边界、阶段、现成能力、自研范围和关键风险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8E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182033"/>
                <w:sz w:val="21"/>
                <w:szCs w:val="21"/>
              </w:rPr>
              <w:t xml:space="preserve">执行模式：大哥负责目标、业务判断与验收；Codex 负责产品细化、编码、测试、部署、文档和迭代。</w:t>
            </w:r>
          </w:p>
        </w:tc>
      </w:tr>
    </w:tbl>
    <w:p>
      <w:pPr>
        <w:spacing w:after="100" w:before="650" w:line="310"/>
        <w:jc w:val="center"/>
      </w:pPr>
      <w:r>
        <w:rPr>
          <w:rFonts w:ascii="Arial" w:cs="Arial" w:eastAsia="Arial" w:hAnsi="Arial"/>
          <w:color w:val="657087"/>
          <w:sz w:val="21"/>
          <w:szCs w:val="21"/>
        </w:rPr>
        <w:t xml:space="preserve">版本 V1.0｜2026年8月15日</w:t>
      </w:r>
    </w:p>
    <w:p>
      <w:r>
        <w:br w:type="page"/>
      </w:r>
    </w:p>
    <w:p>
      <w:pPr>
        <w:pStyle w:val="Heading1"/>
      </w:pPr>
      <w:r>
        <w:t xml:space="preserve">一、产品定义</w:t>
      </w:r>
    </w:p>
    <w:p>
      <w:pPr>
        <w:spacing w:after="100" w:before="0" w:line="310"/>
      </w:pPr>
      <w:r>
        <w:rPr>
          <w:rFonts w:ascii="Arial" w:cs="Arial" w:eastAsia="Arial" w:hAnsi="Arial"/>
          <w:color w:val="182033"/>
          <w:sz w:val="21"/>
          <w:szCs w:val="21"/>
        </w:rPr>
        <w:t xml:space="preserve">本产品是一套部署在本机、供多人通过浏览器使用的 AI 新媒体运营中台，服务 5 个小红书账号。它不是批量群发器，而是把选题、协作、内容、审核、发布和复盘统一起来的人机协同系统。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182033"/>
                <w:sz w:val="21"/>
                <w:szCs w:val="21"/>
              </w:rPr>
              <w:t xml:space="preserve">核心主线：选题录入/采集 → 账号适配 → 多人认领 → AI生成 → 人工编辑审核 → 每账号串行发布 → 日志与人工恢复 → 数据复盘。</w:t>
            </w:r>
          </w:p>
        </w:tc>
      </w:tr>
    </w:tbl>
    <w:p>
      <w:pPr>
        <w:pStyle w:val="Heading1"/>
      </w:pPr>
      <w:r>
        <w:t xml:space="preserve">二、产品目标与边界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MVP是否包含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账号隔离与状态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每账号独立Cookie、数据目录、队列和限速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选题人工录入/导入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先验证协作闭环，自动采集后置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多人认领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事务锁、转交、释放和审计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AI内容生成与编辑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运行时使用稳定模型接口；Codex负责实现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人工审核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所有账号默认开启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串行发布与恢复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幂等、结果确认、日志、截图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自动热点采集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P1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PoC后加入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素材库与封面模板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P1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首版至少支持上传、排序和最终预览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数据复盘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P1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先做公开互动快照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Obsidian回流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P2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不阻塞MVP</w:t>
            </w:r>
          </w:p>
        </w:tc>
      </w:tr>
    </w:tbl>
    <w:p>
      <w:pPr>
        <w:pStyle w:val="Heading1"/>
      </w:pPr>
      <w:r>
        <w:t xml:space="preserve">三、执行原则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先PoC后前端扩展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一账号一MCP实例，浏览器按需启动，最大并发2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MCP必须经统一Connector接入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Codex承担全部研发，但线上生成走明确、可审计的模型接口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每个版本必须是可运行闭环，不做大爆炸式交付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所有自动发布默认经过人工审核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理论能力、README证据和本机实测严格区分</w:t>
      </w:r>
    </w:p>
    <w:p>
      <w:pPr>
        <w:pStyle w:val="Heading1"/>
      </w:pPr>
      <w:r>
        <w:t xml:space="preserve">四、现有工具分工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  <w:tc>
          <w:tcPr>
            <w:tcW w:type="dxa" w:w="3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定位</w:t>
            </w:r>
          </w:p>
        </w:tc>
      </w:tr>
      <w:tr>
        <w:tc>
          <w:tcPr>
            <w:tcW w:type="dxa" w:w="2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Codex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产品细化、编码、测试、部署、一次性数据处理</w:t>
            </w:r>
          </w:p>
        </w:tc>
        <w:tc>
          <w:tcPr>
            <w:tcW w:type="dxa" w:w="3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全部研发的执行者，不等同于生产模型网关</w:t>
            </w:r>
          </w:p>
        </w:tc>
      </w:tr>
      <w:tr>
        <w:tc>
          <w:tcPr>
            <w:tcW w:type="dxa" w:w="2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小红书MCP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登录、搜索、详情、公开数据和发布</w:t>
            </w:r>
          </w:p>
        </w:tc>
        <w:tc>
          <w:tcPr>
            <w:tcW w:type="dxa" w:w="3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底层连接器，受网页改版和风控影响</w:t>
            </w:r>
          </w:p>
        </w:tc>
      </w:tr>
      <w:tr>
        <w:tc>
          <w:tcPr>
            <w:tcW w:type="dxa" w:w="2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WorkBuddy专家Skill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方法论、选题和小红书文案原型</w:t>
            </w:r>
          </w:p>
        </w:tc>
        <w:tc>
          <w:tcPr>
            <w:tcW w:type="dxa" w:w="3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先验证可调用性，不能默认是生产API</w:t>
            </w:r>
          </w:p>
        </w:tc>
      </w:tr>
      <w:tr>
        <w:tc>
          <w:tcPr>
            <w:tcW w:type="dxa" w:w="2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飞书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审核、掉线、失败和超时通知</w:t>
            </w:r>
          </w:p>
        </w:tc>
        <w:tc>
          <w:tcPr>
            <w:tcW w:type="dxa" w:w="3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通知通道，不做主前端</w:t>
            </w:r>
          </w:p>
        </w:tc>
      </w:tr>
      <w:tr>
        <w:tc>
          <w:tcPr>
            <w:tcW w:type="dxa" w:w="2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Obsidian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账号画像、品牌事实、历史案例和经验</w:t>
            </w:r>
          </w:p>
        </w:tc>
        <w:tc>
          <w:tcPr>
            <w:tcW w:type="dxa" w:w="3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长期知识层，非MVP硬依赖</w:t>
            </w:r>
          </w:p>
        </w:tc>
      </w:tr>
      <w:tr>
        <w:tc>
          <w:tcPr>
            <w:tcW w:type="dxa" w:w="2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Next.js/FastAPI/PostgreSQL/Redis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前端、业务、数据库、任务队列</w:t>
            </w:r>
          </w:p>
        </w:tc>
        <w:tc>
          <w:tcPr>
            <w:tcW w:type="dxa" w:w="3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由Codex开发与部署</w:t>
            </w:r>
          </w:p>
        </w:tc>
      </w:tr>
    </w:tbl>
    <w:p>
      <w:pPr>
        <w:pStyle w:val="Heading1"/>
      </w:pPr>
      <w:r>
        <w:t xml:space="preserve">五、开源复用结论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可复用</w:t>
            </w:r>
          </w:p>
        </w:tc>
        <w:tc>
          <w:tcPr>
            <w:tcW w:type="dxa" w:w="2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xpzouying/xiaohongshu-mcp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搜索、详情、互动、图文/视频发布、定时、Cookie</w:t>
            </w:r>
          </w:p>
        </w:tc>
        <w:tc>
          <w:tcPr>
            <w:tcW w:type="dxa" w:w="2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主连接器候选；单账号能力证据较充分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ShunL12324/xhs-mcp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账号池、多账号、并发保护、SQLite日志</w:t>
            </w:r>
          </w:p>
        </w:tc>
        <w:tc>
          <w:tcPr>
            <w:tcW w:type="dxa" w:w="2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多账号PoC候选，必须实测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Mixpost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队列、日历、素材库、工作区设计</w:t>
            </w:r>
          </w:p>
        </w:tc>
        <w:tc>
          <w:tcPr>
            <w:tcW w:type="dxa" w:w="2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参考交互和领域模型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TryPost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RBAC、审批、品牌语气、编辑与分析</w:t>
            </w:r>
          </w:p>
        </w:tc>
        <w:tc>
          <w:tcPr>
            <w:tcW w:type="dxa" w:w="2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AGPL限制明显，原则上只参考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Dagu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DAG、重试、审批、运行历史</w:t>
            </w:r>
          </w:p>
        </w:tc>
        <w:tc>
          <w:tcPr>
            <w:tcW w:type="dxa" w:w="2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后期复杂编排备选，MVP不引入</w:t>
            </w:r>
          </w:p>
        </w:tc>
      </w:tr>
    </w:tbl>
    <w:p>
      <w:pPr>
        <w:pStyle w:val="Heading1"/>
      </w:pPr>
      <w:r>
        <w:t xml:space="preserve">六、阶段路线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00"/>
        <w:gridCol w:w="3126"/>
      </w:tblGrid>
      <w:tr>
        <w:trPr>
          <w:tblHeader/>
        </w:trP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4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范围</w:t>
            </w:r>
          </w:p>
        </w:tc>
        <w:tc>
          <w:tcPr>
            <w:tcW w:type="dxa" w:w="3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出口条件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阶段0：5账号PoC</w:t>
            </w:r>
          </w:p>
        </w:tc>
        <w:tc>
          <w:tcPr>
            <w:tcW w:type="dxa" w:w="4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隔离、并发、登录、发布、超时确认、重启恢复、7天运行</w:t>
            </w:r>
          </w:p>
        </w:tc>
        <w:tc>
          <w:tcPr>
            <w:tcW w:type="dxa" w:w="3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关键测试全部通过并形成报告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阶段1：最小闭环</w:t>
            </w:r>
          </w:p>
        </w:tc>
        <w:tc>
          <w:tcPr>
            <w:tcW w:type="dxa" w:w="4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账号、人工选题、认领、AI编辑、审核、发布、日志</w:t>
            </w:r>
          </w:p>
        </w:tc>
        <w:tc>
          <w:tcPr>
            <w:tcW w:type="dxa" w:w="3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真实运营人员可完成整条链路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阶段2：运营增强</w:t>
            </w:r>
          </w:p>
        </w:tc>
        <w:tc>
          <w:tcPr>
            <w:tcW w:type="dxa" w:w="4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自动采集、素材库、飞书通知、公开数据快照</w:t>
            </w:r>
          </w:p>
        </w:tc>
        <w:tc>
          <w:tcPr>
            <w:tcW w:type="dxa" w:w="3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持续运营30篇以上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阶段3：智能优化</w:t>
            </w:r>
          </w:p>
        </w:tc>
        <w:tc>
          <w:tcPr>
            <w:tcW w:type="dxa" w:w="4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适配建议、复盘、Obsidian回流、复杂分析</w:t>
            </w:r>
          </w:p>
        </w:tc>
        <w:tc>
          <w:tcPr>
            <w:tcW w:type="dxa" w:w="3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数据量足以支持规则优化</w:t>
            </w:r>
          </w:p>
        </w:tc>
      </w:tr>
    </w:tbl>
    <w:p>
      <w:pPr>
        <w:pStyle w:val="Heading1"/>
      </w:pPr>
      <w:r>
        <w:t xml:space="preserve">七、资源与关键风险</w:t>
      </w:r>
    </w:p>
    <w:p>
      <w:pPr>
        <w:spacing w:after="100" w:before="0" w:line="310"/>
      </w:pPr>
      <w:r>
        <w:rPr>
          <w:rFonts w:ascii="Arial" w:cs="Arial" w:eastAsia="Arial" w:hAnsi="Arial"/>
          <w:color w:val="182033"/>
          <w:sz w:val="21"/>
          <w:szCs w:val="21"/>
        </w:rPr>
        <w:t xml:space="preserve">当前设备为 M4 Mac mini、16GB内存。采用浏览器按需启动、最大并发2，CPU和内存足够；当前磁盘仅约17.5GB可用，应先腾出40–60GB。关键风险包括登录失效、页面改版、发布超时但实际成功、账号风控、内容同质化、本机休眠和磁盘不足。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57087"/>
        <w:sz w:val="16"/>
        <w:szCs w:val="16"/>
      </w:rPr>
      <w:t xml:space="preserve">第 </w:t>
    </w:r>
    <w:r>
      <w:rPr>
        <w:rFonts w:ascii="Arial" w:cs="Arial" w:eastAsia="Arial" w:hAnsi="Arial"/>
        <w:color w:val="65708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57087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10"/>
      <w:jc w:val="right"/>
    </w:pPr>
    <w:r>
      <w:rPr>
        <w:rFonts w:ascii="Arial" w:cs="Arial" w:eastAsia="Arial" w:hAnsi="Arial"/>
        <w:color w:val="657087"/>
        <w:sz w:val="16"/>
        <w:szCs w:val="16"/>
      </w:rPr>
      <w:t xml:space="preserve">AI 新媒体运营中台｜总体产品方案与技术验证路线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2033"/>
        <w:sz w:val="21"/>
        <w:szCs w:val="21"/>
      </w:rPr>
    </w:rPrDefault>
    <w:pPrDefault>
      <w:pPr>
        <w:spacing w:after="100"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70" w:before="280"/>
      <w:outlineLvl w:val="0"/>
    </w:pPr>
    <w:rPr>
      <w:rFonts w:ascii="Arial" w:cs="Arial" w:eastAsia="Arial" w:hAnsi="Arial"/>
      <w:b/>
      <w:bCs/>
      <w:color w:val="18203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30" w:before="220"/>
      <w:outlineLvl w:val="1"/>
    </w:pPr>
    <w:rPr>
      <w:rFonts w:ascii="Arial" w:cs="Arial" w:eastAsia="Arial" w:hAnsi="Arial"/>
      <w:b/>
      <w:bCs/>
      <w:color w:val="FF4D5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90" w:before="170"/>
      <w:outlineLvl w:val="2"/>
    </w:pPr>
    <w:rPr>
      <w:rFonts w:ascii="Arial" w:cs="Arial" w:eastAsia="Arial" w:hAnsi="Arial"/>
      <w:b/>
      <w:bCs/>
      <w:color w:val="1820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总体产品方案与技术验证路线</dc:title>
  <dc:creator>Codex</dc:creator>
  <cp:lastModifiedBy>Un-named</cp:lastModifiedBy>
  <cp:revision>1</cp:revision>
  <dcterms:created xsi:type="dcterms:W3CDTF">2026-08-15T12:34:00.471Z</dcterms:created>
  <dcterms:modified xsi:type="dcterms:W3CDTF">2026-08-15T12:34:00.471Z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