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900" w:line="310"/>
        <w:jc w:val="center"/>
      </w:pPr>
      <w:r>
        <w:rPr>
          <w:rFonts w:ascii="Arial" w:cs="Arial" w:eastAsia="Arial" w:hAnsi="Arial"/>
          <w:b/>
          <w:bCs/>
          <w:color w:val="182033"/>
          <w:sz w:val="46"/>
          <w:szCs w:val="46"/>
        </w:rPr>
        <w:t xml:space="preserve">AI 新媒体运营中台</w:t>
      </w:r>
    </w:p>
    <w:p>
      <w:pPr>
        <w:spacing w:after="330" w:before="0" w:line="310"/>
        <w:jc w:val="center"/>
      </w:pPr>
      <w:r>
        <w:rPr>
          <w:rFonts w:ascii="Arial" w:cs="Arial" w:eastAsia="Arial" w:hAnsi="Arial"/>
          <w:b/>
          <w:bCs/>
          <w:color w:val="FF4D5A"/>
          <w:sz w:val="34"/>
          <w:szCs w:val="34"/>
        </w:rPr>
        <w:t xml:space="preserve">技术架构、数据模型与接口规范</w:t>
      </w:r>
    </w:p>
    <w:p>
      <w:pPr>
        <w:spacing w:after="520" w:before="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给Codex实施时使用的工程约束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8E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182033"/>
                <w:sz w:val="21"/>
                <w:szCs w:val="21"/>
              </w:rPr>
              <w:t xml:space="preserve">执行模式：大哥负责目标、业务判断与验收；Codex 负责产品细化、编码、测试、部署、文档和迭代。</w:t>
            </w:r>
          </w:p>
        </w:tc>
      </w:tr>
    </w:tbl>
    <w:p>
      <w:pPr>
        <w:spacing w:after="100" w:before="65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版本 V1.0｜2026年8月15日</w:t>
      </w:r>
    </w:p>
    <w:p>
      <w:r>
        <w:br w:type="page"/>
      </w:r>
    </w:p>
    <w:p>
      <w:pPr>
        <w:pStyle w:val="Heading1"/>
      </w:pPr>
      <w:r>
        <w:t xml:space="preserve">一、架构原则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模块化单体优先，MVP不拆微服务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业务层不得直接依赖某个MCP项目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所有异步任务必须可重试、可观测、可恢复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账号凭据永不返回前端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发布快照不可变、发布任务幂等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数据库是业务真相源，Redis仅作为队列和短期锁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文件存储与数据库记录必须有一致性检查</w:t>
      </w:r>
    </w:p>
    <w:p>
      <w:pPr>
        <w:pStyle w:val="Heading1"/>
      </w:pPr>
      <w:r>
        <w:t xml:space="preserve">二、推荐架构</w:t>
      </w:r>
    </w:p>
    <w:p>
      <w:pPr>
        <w:spacing w:after="100" w:before="0" w:line="310"/>
      </w:pPr>
      <w:r>
        <w:rPr>
          <w:rFonts w:ascii="Arial" w:cs="Arial" w:eastAsia="Arial" w:hAnsi="Arial"/>
          <w:color w:val="182033"/>
          <w:sz w:val="21"/>
          <w:szCs w:val="21"/>
        </w:rPr>
        <w:t xml:space="preserve">Next.js Web → FastAPI API → PostgreSQL；FastAPI把异步任务投递到Redis/Celery Worker；Worker通过Account Connector启动目标MCP实例；飞书用于通知；模型网关用于生成；Obsidian通过可选Knowledge Adapter读取。</w:t>
      </w:r>
    </w:p>
    <w:p>
      <w:pPr>
        <w:pStyle w:val="Heading1"/>
      </w:pPr>
      <w:r>
        <w:t xml:space="preserve">三、模块边界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3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不得承担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Auth/RBAC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登录、角色、账号授权</w:t>
            </w:r>
          </w:p>
        </w:tc>
        <w:tc>
          <w:tcPr>
            <w:tcW w:type="dxa" w:w="3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保存明文密码或Cookie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Topic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选题、筛选、归档</w:t>
            </w:r>
          </w:p>
        </w:tc>
        <w:tc>
          <w:tcPr>
            <w:tcW w:type="dxa" w:w="3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直接调用MCP发布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Claim/Workflow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认领、锁、状态转换</w:t>
            </w:r>
          </w:p>
        </w:tc>
        <w:tc>
          <w:tcPr>
            <w:tcW w:type="dxa" w:w="3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存模型输出正文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Content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草稿版本、素材、预览、质量检查</w:t>
            </w:r>
          </w:p>
        </w:tc>
        <w:tc>
          <w:tcPr>
            <w:tcW w:type="dxa" w:w="3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修改已审核快照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Review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审批、批注、风险记录</w:t>
            </w:r>
          </w:p>
        </w:tc>
        <w:tc>
          <w:tcPr>
            <w:tcW w:type="dxa" w:w="3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自动代表人工通过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Publishing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排队、幂等、Connector、结果确认</w:t>
            </w:r>
          </w:p>
        </w:tc>
        <w:tc>
          <w:tcPr>
            <w:tcW w:type="dxa" w:w="3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决定内容是否合规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Metrics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快照、趋势、口径</w:t>
            </w:r>
          </w:p>
        </w:tc>
        <w:tc>
          <w:tcPr>
            <w:tcW w:type="dxa" w:w="3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覆盖历史值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Account Runtime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实例生命周期、健康、限速</w:t>
            </w:r>
          </w:p>
        </w:tc>
        <w:tc>
          <w:tcPr>
            <w:tcW w:type="dxa" w:w="3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泄露凭据到前端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4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飞书和站内通知</w:t>
            </w:r>
          </w:p>
        </w:tc>
        <w:tc>
          <w:tcPr>
            <w:tcW w:type="dxa" w:w="3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作为业务状态源</w:t>
            </w:r>
          </w:p>
        </w:tc>
      </w:tr>
    </w:tbl>
    <w:p>
      <w:pPr>
        <w:pStyle w:val="Heading1"/>
      </w:pPr>
      <w:r>
        <w:t xml:space="preserve">四、核心表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关键字段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users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id,name,password_hash,status,created_at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roles/user_roles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role与用户关联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accounts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id,name,status,persona_json,runtime_config_encrypted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account_permissions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user_id,account_id,permission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topics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id,title,source_url,relevance,status,created_by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claims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id,topic_id,account_id,owner_id,angle,status,version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draft_versions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id,claim_id,version,title,body,tags_json,model_meta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media_assets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id,hash,path,source,copyright_status,metadata_json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draft_media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draft_version_id,media_id,sort_order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reviews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id,draft_version_id,result,reasons,comment,reviewer_id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publish_snapshots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id,review_id,content_hash,payload_json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publish_jobs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id,snapshot_id,account_id,idempotency_key,status,schedule_at,retries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publish_attempts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id,job_id,start/end,result,error_code,log_path,screenshot_path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metric_snapshots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id,account_id,note_id,captured_at,metrics_json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audit_logs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id,actor,action,object_type,object_id,before_json,after_json</w:t>
            </w:r>
          </w:p>
        </w:tc>
      </w:tr>
    </w:tbl>
    <w:p>
      <w:pPr>
        <w:pStyle w:val="Heading1"/>
      </w:pPr>
      <w:r>
        <w:t xml:space="preserve">五、接口清单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3826"/>
      </w:tblGrid>
      <w:tr>
        <w:trPr>
          <w:tblHeader/>
        </w:trP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方法/路径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关键约束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登录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限速、统一错误信息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GET /accounts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账号列表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按权限过滤，不返回凭据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POST /accounts/{id}/runtime/start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按需启动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管理员；并发配额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POST /accounts/{id}/login-session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扫码登录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二维码短期有效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POST /topics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新建选题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标题必填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POST /topics/import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批量导入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逐行结果，不全量回滚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POST /topics/{id}/claim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认领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事务+唯一约束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POST /claims/{id}/generate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生成内容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异步任务；记录模型元数据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POST /drafts/{id}/submit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提交审核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执行校验和相似度检查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POST /reviews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审核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权限+不可变记录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POST /reviews/{id}/publish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创建发布任务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幂等返回原任务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POST /publish-jobs/{id}/retry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人工重试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只允许可重试状态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GET /publish-jobs/{id}/timeline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任务时间线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包含脱敏日志和证据</w:t>
            </w:r>
          </w:p>
        </w:tc>
      </w:tr>
      <w:tr>
        <w:tc>
          <w:tcPr>
            <w:tcW w:type="dxa" w:w="2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GET /metrics</w:t>
            </w:r>
          </w:p>
        </w:tc>
        <w:tc>
          <w:tcPr>
            <w:tcW w:type="dxa" w:w="2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指标查询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明确口径和最后更新时间</w:t>
            </w:r>
          </w:p>
        </w:tc>
      </w:tr>
    </w:tbl>
    <w:p>
      <w:pPr>
        <w:pStyle w:val="Heading1"/>
      </w:pPr>
      <w:r>
        <w:t xml:space="preserve">六、错误码规范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范围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行为</w:t>
            </w:r>
          </w:p>
        </w:tc>
      </w:tr>
      <w:t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AUTH_001 未授权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返回401；不泄露账号是否存在</w:t>
            </w:r>
          </w:p>
        </w:tc>
      </w:tr>
      <w:t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ACCOUNT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ACCOUNT_101 登录失效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暂停账号队列并通知</w:t>
            </w:r>
          </w:p>
        </w:tc>
      </w:tr>
      <w:t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FLOW_201 状态冲突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返回当前状态和允许动作</w:t>
            </w:r>
          </w:p>
        </w:tc>
      </w:tr>
      <w:t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CONTENT_301 素材缺失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阻断提交审核</w:t>
            </w:r>
          </w:p>
        </w:tc>
      </w:tr>
      <w:t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PUBLISH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PUB_401 结果未知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进入待确认，禁止盲重试</w:t>
            </w:r>
          </w:p>
        </w:tc>
      </w:tr>
      <w:t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PUBLISH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PUB_402 可重试失败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按策略重试</w:t>
            </w:r>
          </w:p>
        </w:tc>
      </w:tr>
      <w:t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PUBLISH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PUB_403 人工处理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进入死信队列</w:t>
            </w:r>
          </w:p>
        </w:tc>
      </w:tr>
      <w:t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STORE_501 磁盘不足</w:t>
            </w:r>
          </w:p>
        </w:tc>
        <w:tc>
          <w:tcPr>
            <w:tcW w:type="dxa" w:w="38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阻止上传/发布并告警</w:t>
            </w:r>
          </w:p>
        </w:tc>
      </w:tr>
    </w:tbl>
    <w:p>
      <w:pPr>
        <w:pStyle w:val="Heading1"/>
      </w:pPr>
      <w:r>
        <w:t xml:space="preserve">七、安全与运维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Cookie、模型密钥和飞书密钥加密保存；日志脱敏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Tailscale提供网络边界，应用仍需登录和RBAC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每日数据库备份；定期验证恢复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媒体文件按哈希存储，防重复；有保留与清理策略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Docker Compose开机启动；健康检查；关闭主机自动休眠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低磁盘、登录失效、连续失败和队列积压必须告警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57087"/>
        <w:sz w:val="16"/>
        <w:szCs w:val="16"/>
      </w:rPr>
      <w:t xml:space="preserve">第 </w:t>
    </w:r>
    <w:r>
      <w:rPr>
        <w:rFonts w:ascii="Arial" w:cs="Arial" w:eastAsia="Arial" w:hAnsi="Arial"/>
        <w:color w:val="65708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5708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10"/>
      <w:jc w:val="right"/>
    </w:pPr>
    <w:r>
      <w:rPr>
        <w:rFonts w:ascii="Arial" w:cs="Arial" w:eastAsia="Arial" w:hAnsi="Arial"/>
        <w:color w:val="657087"/>
        <w:sz w:val="16"/>
        <w:szCs w:val="16"/>
      </w:rPr>
      <w:t xml:space="preserve">AI 新媒体运营中台｜技术架构、数据模型与接口规范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2033"/>
        <w:sz w:val="21"/>
        <w:szCs w:val="21"/>
      </w:rPr>
    </w:rPrDefault>
    <w:pPrDefault>
      <w:pPr>
        <w:spacing w:after="100"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70" w:before="280"/>
      <w:outlineLvl w:val="0"/>
    </w:pPr>
    <w:rPr>
      <w:rFonts w:ascii="Arial" w:cs="Arial" w:eastAsia="Arial" w:hAnsi="Arial"/>
      <w:b/>
      <w:bCs/>
      <w:color w:val="1820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30" w:before="220"/>
      <w:outlineLvl w:val="1"/>
    </w:pPr>
    <w:rPr>
      <w:rFonts w:ascii="Arial" w:cs="Arial" w:eastAsia="Arial" w:hAnsi="Arial"/>
      <w:b/>
      <w:bCs/>
      <w:color w:val="FF4D5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170"/>
      <w:outlineLvl w:val="2"/>
    </w:pPr>
    <w:rPr>
      <w:rFonts w:ascii="Arial" w:cs="Arial" w:eastAsia="Arial" w:hAnsi="Arial"/>
      <w:b/>
      <w:bCs/>
      <w:color w:val="1820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技术架构、数据模型与接口规范</dc:title>
  <dc:creator>Codex</dc:creator>
  <cp:lastModifiedBy>Un-named</cp:lastModifiedBy>
  <cp:revision>1</cp:revision>
  <dcterms:created xsi:type="dcterms:W3CDTF">2026-08-15T12:34:00.525Z</dcterms:created>
  <dcterms:modified xsi:type="dcterms:W3CDTF">2026-08-15T12:34:00.525Z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