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" w:before="900" w:line="310"/>
        <w:jc w:val="center"/>
      </w:pPr>
      <w:r>
        <w:rPr>
          <w:rFonts w:ascii="Arial" w:cs="Arial" w:eastAsia="Arial" w:hAnsi="Arial"/>
          <w:b/>
          <w:bCs/>
          <w:color w:val="182033"/>
          <w:sz w:val="46"/>
          <w:szCs w:val="46"/>
        </w:rPr>
        <w:t xml:space="preserve">AI 新媒体运营中台</w:t>
      </w:r>
    </w:p>
    <w:p>
      <w:pPr>
        <w:spacing w:after="330" w:before="0" w:line="310"/>
        <w:jc w:val="center"/>
      </w:pPr>
      <w:r>
        <w:rPr>
          <w:rFonts w:ascii="Arial" w:cs="Arial" w:eastAsia="Arial" w:hAnsi="Arial"/>
          <w:b/>
          <w:bCs/>
          <w:color w:val="FF4D5A"/>
          <w:sz w:val="34"/>
          <w:szCs w:val="34"/>
        </w:rPr>
        <w:t xml:space="preserve">测试、验收与上线清单</w:t>
      </w:r>
    </w:p>
    <w:p>
      <w:pPr>
        <w:spacing w:after="520" w:before="0" w:line="310"/>
        <w:jc w:val="center"/>
      </w:pPr>
      <w:r>
        <w:rPr>
          <w:rFonts w:ascii="Arial" w:cs="Arial" w:eastAsia="Arial" w:hAnsi="Arial"/>
          <w:color w:val="657087"/>
          <w:sz w:val="21"/>
          <w:szCs w:val="21"/>
        </w:rPr>
        <w:t xml:space="preserve">确保Codex每次交付都可验证、可回滚、可运行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8E6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b/>
                <w:bCs/>
                <w:color w:val="182033"/>
                <w:sz w:val="21"/>
                <w:szCs w:val="21"/>
              </w:rPr>
              <w:t xml:space="preserve">执行模式：大哥负责目标、业务判断与验收；Codex 负责产品细化、编码、测试、部署、文档和迭代。</w:t>
            </w:r>
          </w:p>
        </w:tc>
      </w:tr>
    </w:tbl>
    <w:p>
      <w:pPr>
        <w:spacing w:after="100" w:before="650" w:line="310"/>
        <w:jc w:val="center"/>
      </w:pPr>
      <w:r>
        <w:rPr>
          <w:rFonts w:ascii="Arial" w:cs="Arial" w:eastAsia="Arial" w:hAnsi="Arial"/>
          <w:color w:val="657087"/>
          <w:sz w:val="21"/>
          <w:szCs w:val="21"/>
        </w:rPr>
        <w:t xml:space="preserve">版本 V1.0｜2026年8月15日</w:t>
      </w:r>
    </w:p>
    <w:p>
      <w:r>
        <w:br w:type="page"/>
      </w:r>
    </w:p>
    <w:p>
      <w:pPr>
        <w:pStyle w:val="Heading1"/>
      </w:pPr>
      <w:r>
        <w:t xml:space="preserve">一、测试层级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00"/>
        <w:gridCol w:w="2726"/>
      </w:tblGrid>
      <w:tr>
        <w:trPr>
          <w:tblHeader/>
        </w:trPr>
        <w:tc>
          <w:tcPr>
            <w:tcW w:type="dxa" w:w="18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18203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层级</w:t>
            </w:r>
          </w:p>
        </w:tc>
        <w:tc>
          <w:tcPr>
            <w:tcW w:type="dxa" w:w="45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18203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范围</w:t>
            </w:r>
          </w:p>
        </w:tc>
        <w:tc>
          <w:tcPr>
            <w:tcW w:type="dxa" w:w="27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18203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执行者</w:t>
            </w:r>
          </w:p>
        </w:tc>
      </w:tr>
      <w:tr>
        <w:tc>
          <w:tcPr>
            <w:tcW w:type="dxa" w:w="18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单元测试</w:t>
            </w:r>
          </w:p>
        </w:tc>
        <w:tc>
          <w:tcPr>
            <w:tcW w:type="dxa" w:w="45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状态机、评分、权限、幂等、错误映射</w:t>
            </w:r>
          </w:p>
        </w:tc>
        <w:tc>
          <w:tcPr>
            <w:tcW w:type="dxa" w:w="27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Codex自动执行</w:t>
            </w:r>
          </w:p>
        </w:tc>
      </w:tr>
      <w:tr>
        <w:tc>
          <w:tcPr>
            <w:tcW w:type="dxa" w:w="18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集成测试</w:t>
            </w:r>
          </w:p>
        </w:tc>
        <w:tc>
          <w:tcPr>
            <w:tcW w:type="dxa" w:w="45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数据库、Redis、模型网关、MCP Connector、飞书</w:t>
            </w:r>
          </w:p>
        </w:tc>
        <w:tc>
          <w:tcPr>
            <w:tcW w:type="dxa" w:w="27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Codex自动+测试环境</w:t>
            </w:r>
          </w:p>
        </w:tc>
      </w:tr>
      <w:tr>
        <w:tc>
          <w:tcPr>
            <w:tcW w:type="dxa" w:w="18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端到端测试</w:t>
            </w:r>
          </w:p>
        </w:tc>
        <w:tc>
          <w:tcPr>
            <w:tcW w:type="dxa" w:w="45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认领到发布的完整浏览器流程</w:t>
            </w:r>
          </w:p>
        </w:tc>
        <w:tc>
          <w:tcPr>
            <w:tcW w:type="dxa" w:w="27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Codex自动+人工抽查</w:t>
            </w:r>
          </w:p>
        </w:tc>
      </w:tr>
      <w:tr>
        <w:tc>
          <w:tcPr>
            <w:tcW w:type="dxa" w:w="18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PoC实测</w:t>
            </w:r>
          </w:p>
        </w:tc>
        <w:tc>
          <w:tcPr>
            <w:tcW w:type="dxa" w:w="45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真实账号登录、发布、超时、重启、7天运行</w:t>
            </w:r>
          </w:p>
        </w:tc>
        <w:tc>
          <w:tcPr>
            <w:tcW w:type="dxa" w:w="27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Codex记录，大哥批准真实账号操作</w:t>
            </w:r>
          </w:p>
        </w:tc>
      </w:tr>
      <w:tr>
        <w:tc>
          <w:tcPr>
            <w:tcW w:type="dxa" w:w="18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用户验收</w:t>
            </w:r>
          </w:p>
        </w:tc>
        <w:tc>
          <w:tcPr>
            <w:tcW w:type="dxa" w:w="45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业务规则、页面可用性、内容质量</w:t>
            </w:r>
          </w:p>
        </w:tc>
        <w:tc>
          <w:tcPr>
            <w:tcW w:type="dxa" w:w="27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大哥/实际运营人员</w:t>
            </w:r>
          </w:p>
        </w:tc>
      </w:tr>
    </w:tbl>
    <w:p>
      <w:pPr>
        <w:pStyle w:val="Heading1"/>
      </w:pPr>
      <w:r>
        <w:t xml:space="preserve">二、P0验收清单</w:t>
      </w:r>
    </w:p>
    <w:p>
      <w:pPr>
        <w:pStyle w:val="ListParagraph"/>
        <w:numPr>
          <w:ilvl w:val="0"/>
          <w:numId w:val="2"/>
        </w:numPr>
        <w:spacing w:after="65" w:line="290"/>
      </w:pPr>
      <w:r>
        <w:rPr>
          <w:rFonts w:ascii="Arial" w:cs="Arial" w:eastAsia="Arial" w:hAnsi="Arial"/>
          <w:color w:val="182033"/>
          <w:sz w:val="20"/>
          <w:szCs w:val="20"/>
        </w:rPr>
        <w:t xml:space="preserve">5账号数据目录、Cookie、队列和权限完全隔离</w:t>
      </w:r>
    </w:p>
    <w:p>
      <w:pPr>
        <w:pStyle w:val="ListParagraph"/>
        <w:numPr>
          <w:ilvl w:val="0"/>
          <w:numId w:val="2"/>
        </w:numPr>
        <w:spacing w:after="65" w:line="290"/>
      </w:pPr>
      <w:r>
        <w:rPr>
          <w:rFonts w:ascii="Arial" w:cs="Arial" w:eastAsia="Arial" w:hAnsi="Arial"/>
          <w:color w:val="182033"/>
          <w:sz w:val="20"/>
          <w:szCs w:val="20"/>
        </w:rPr>
        <w:t xml:space="preserve">同选题同账号并发认领仅一人成功</w:t>
      </w:r>
    </w:p>
    <w:p>
      <w:pPr>
        <w:pStyle w:val="ListParagraph"/>
        <w:numPr>
          <w:ilvl w:val="0"/>
          <w:numId w:val="2"/>
        </w:numPr>
        <w:spacing w:after="65" w:line="290"/>
      </w:pPr>
      <w:r>
        <w:rPr>
          <w:rFonts w:ascii="Arial" w:cs="Arial" w:eastAsia="Arial" w:hAnsi="Arial"/>
          <w:color w:val="182033"/>
          <w:sz w:val="20"/>
          <w:szCs w:val="20"/>
        </w:rPr>
        <w:t xml:space="preserve">草稿版本不覆盖，审核快照不可变</w:t>
      </w:r>
    </w:p>
    <w:p>
      <w:pPr>
        <w:pStyle w:val="ListParagraph"/>
        <w:numPr>
          <w:ilvl w:val="0"/>
          <w:numId w:val="2"/>
        </w:numPr>
        <w:spacing w:after="65" w:line="290"/>
      </w:pPr>
      <w:r>
        <w:rPr>
          <w:rFonts w:ascii="Arial" w:cs="Arial" w:eastAsia="Arial" w:hAnsi="Arial"/>
          <w:color w:val="182033"/>
          <w:sz w:val="20"/>
          <w:szCs w:val="20"/>
        </w:rPr>
        <w:t xml:space="preserve">同审核快照重复点击不产生第二个发布任务</w:t>
      </w:r>
    </w:p>
    <w:p>
      <w:pPr>
        <w:pStyle w:val="ListParagraph"/>
        <w:numPr>
          <w:ilvl w:val="0"/>
          <w:numId w:val="2"/>
        </w:numPr>
        <w:spacing w:after="65" w:line="290"/>
      </w:pPr>
      <w:r>
        <w:rPr>
          <w:rFonts w:ascii="Arial" w:cs="Arial" w:eastAsia="Arial" w:hAnsi="Arial"/>
          <w:color w:val="182033"/>
          <w:sz w:val="20"/>
          <w:szCs w:val="20"/>
        </w:rPr>
        <w:t xml:space="preserve">账号A掉线不影响B-E</w:t>
      </w:r>
    </w:p>
    <w:p>
      <w:pPr>
        <w:pStyle w:val="ListParagraph"/>
        <w:numPr>
          <w:ilvl w:val="0"/>
          <w:numId w:val="2"/>
        </w:numPr>
        <w:spacing w:after="65" w:line="290"/>
      </w:pPr>
      <w:r>
        <w:rPr>
          <w:rFonts w:ascii="Arial" w:cs="Arial" w:eastAsia="Arial" w:hAnsi="Arial"/>
          <w:color w:val="182033"/>
          <w:sz w:val="20"/>
          <w:szCs w:val="20"/>
        </w:rPr>
        <w:t xml:space="preserve">发布未知结果时不盲目重试</w:t>
      </w:r>
    </w:p>
    <w:p>
      <w:pPr>
        <w:pStyle w:val="ListParagraph"/>
        <w:numPr>
          <w:ilvl w:val="0"/>
          <w:numId w:val="2"/>
        </w:numPr>
        <w:spacing w:after="65" w:line="290"/>
      </w:pPr>
      <w:r>
        <w:rPr>
          <w:rFonts w:ascii="Arial" w:cs="Arial" w:eastAsia="Arial" w:hAnsi="Arial"/>
          <w:color w:val="182033"/>
          <w:sz w:val="20"/>
          <w:szCs w:val="20"/>
        </w:rPr>
        <w:t xml:space="preserve">任何最终失败都有错误码、日志、截图和人工恢复入口</w:t>
      </w:r>
    </w:p>
    <w:p>
      <w:pPr>
        <w:pStyle w:val="ListParagraph"/>
        <w:numPr>
          <w:ilvl w:val="0"/>
          <w:numId w:val="2"/>
        </w:numPr>
        <w:spacing w:after="65" w:line="290"/>
      </w:pPr>
      <w:r>
        <w:rPr>
          <w:rFonts w:ascii="Arial" w:cs="Arial" w:eastAsia="Arial" w:hAnsi="Arial"/>
          <w:color w:val="182033"/>
          <w:sz w:val="20"/>
          <w:szCs w:val="20"/>
        </w:rPr>
        <w:t xml:space="preserve">服务重启后排队任务不丢失、不重复</w:t>
      </w:r>
    </w:p>
    <w:p>
      <w:pPr>
        <w:pStyle w:val="ListParagraph"/>
        <w:numPr>
          <w:ilvl w:val="0"/>
          <w:numId w:val="2"/>
        </w:numPr>
        <w:spacing w:after="65" w:line="290"/>
      </w:pPr>
      <w:r>
        <w:rPr>
          <w:rFonts w:ascii="Arial" w:cs="Arial" w:eastAsia="Arial" w:hAnsi="Arial"/>
          <w:color w:val="182033"/>
          <w:sz w:val="20"/>
          <w:szCs w:val="20"/>
        </w:rPr>
        <w:t xml:space="preserve">未授权用户无法操作其他账号或查看凭据</w:t>
      </w:r>
    </w:p>
    <w:p>
      <w:pPr>
        <w:pStyle w:val="ListParagraph"/>
        <w:numPr>
          <w:ilvl w:val="0"/>
          <w:numId w:val="2"/>
        </w:numPr>
        <w:spacing w:after="65" w:line="290"/>
      </w:pPr>
      <w:r>
        <w:rPr>
          <w:rFonts w:ascii="Arial" w:cs="Arial" w:eastAsia="Arial" w:hAnsi="Arial"/>
          <w:color w:val="182033"/>
          <w:sz w:val="20"/>
          <w:szCs w:val="20"/>
        </w:rPr>
        <w:t xml:space="preserve">素材缺失/版权未确认/相似度超阈值时被阻断</w:t>
      </w:r>
    </w:p>
    <w:p>
      <w:pPr>
        <w:pStyle w:val="Heading1"/>
      </w:pPr>
      <w:r>
        <w:t xml:space="preserve">三、量化指标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00"/>
        <w:gridCol w:w="4526"/>
      </w:tblGrid>
      <w:tr>
        <w:trPr>
          <w:tblHeader/>
        </w:trPr>
        <w:tc>
          <w:tcPr>
            <w:tcW w:type="dxa" w:w="24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18203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指标</w:t>
            </w:r>
          </w:p>
        </w:tc>
        <w:tc>
          <w:tcPr>
            <w:tcW w:type="dxa" w:w="21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18203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MVP目标</w:t>
            </w:r>
          </w:p>
        </w:tc>
        <w:tc>
          <w:tcPr>
            <w:tcW w:type="dxa" w:w="45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18203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口径</w:t>
            </w:r>
          </w:p>
        </w:tc>
      </w:tr>
      <w:tr>
        <w:tc>
          <w:tcPr>
            <w:tcW w:type="dxa" w:w="24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初稿生成耗时</w:t>
            </w:r>
          </w:p>
        </w:tc>
        <w:tc>
          <w:tcPr>
            <w:tcW w:type="dxa" w:w="21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≤3分钟</w:t>
            </w:r>
          </w:p>
        </w:tc>
        <w:tc>
          <w:tcPr>
            <w:tcW w:type="dxa" w:w="45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从点击生成到结构化结果返回</w:t>
            </w:r>
          </w:p>
        </w:tc>
      </w:tr>
      <w:tr>
        <w:tc>
          <w:tcPr>
            <w:tcW w:type="dxa" w:w="24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重复发布率</w:t>
            </w:r>
          </w:p>
        </w:tc>
        <w:tc>
          <w:tcPr>
            <w:tcW w:type="dxa" w:w="21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0</w:t>
            </w:r>
          </w:p>
        </w:tc>
        <w:tc>
          <w:tcPr>
            <w:tcW w:type="dxa" w:w="45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同内容快照出现多条成功笔记</w:t>
            </w:r>
          </w:p>
        </w:tc>
      </w:tr>
      <w:tr>
        <w:tc>
          <w:tcPr>
            <w:tcW w:type="dxa" w:w="24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登录正常时发布成功率</w:t>
            </w:r>
          </w:p>
        </w:tc>
        <w:tc>
          <w:tcPr>
            <w:tcW w:type="dxa" w:w="21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≥90%</w:t>
            </w:r>
          </w:p>
        </w:tc>
        <w:tc>
          <w:tcPr>
            <w:tcW w:type="dxa" w:w="45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排除平台明确验证要求的任务</w:t>
            </w:r>
          </w:p>
        </w:tc>
      </w:tr>
      <w:tr>
        <w:tc>
          <w:tcPr>
            <w:tcW w:type="dxa" w:w="24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发布结果确认成功率</w:t>
            </w:r>
          </w:p>
        </w:tc>
        <w:tc>
          <w:tcPr>
            <w:tcW w:type="dxa" w:w="21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≥95%</w:t>
            </w:r>
          </w:p>
        </w:tc>
        <w:tc>
          <w:tcPr>
            <w:tcW w:type="dxa" w:w="45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成功链接或最新笔记核对明确</w:t>
            </w:r>
          </w:p>
        </w:tc>
      </w:tr>
      <w:tr>
        <w:tc>
          <w:tcPr>
            <w:tcW w:type="dxa" w:w="24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失败可观测性</w:t>
            </w:r>
          </w:p>
        </w:tc>
        <w:tc>
          <w:tcPr>
            <w:tcW w:type="dxa" w:w="21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100%</w:t>
            </w:r>
          </w:p>
        </w:tc>
        <w:tc>
          <w:tcPr>
            <w:tcW w:type="dxa" w:w="45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错误码+日志；UI步骤涉及页面时附截图</w:t>
            </w:r>
          </w:p>
        </w:tc>
      </w:tr>
      <w:tr>
        <w:tc>
          <w:tcPr>
            <w:tcW w:type="dxa" w:w="24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任务恢复</w:t>
            </w:r>
          </w:p>
        </w:tc>
        <w:tc>
          <w:tcPr>
            <w:tcW w:type="dxa" w:w="21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100%</w:t>
            </w:r>
          </w:p>
        </w:tc>
        <w:tc>
          <w:tcPr>
            <w:tcW w:type="dxa" w:w="45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测试集内重启后不丢不重</w:t>
            </w:r>
          </w:p>
        </w:tc>
      </w:tr>
      <w:tr>
        <w:tc>
          <w:tcPr>
            <w:tcW w:type="dxa" w:w="24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认领冲突</w:t>
            </w:r>
          </w:p>
        </w:tc>
        <w:tc>
          <w:tcPr>
            <w:tcW w:type="dxa" w:w="21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0个双成功</w:t>
            </w:r>
          </w:p>
        </w:tc>
        <w:tc>
          <w:tcPr>
            <w:tcW w:type="dxa" w:w="45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并发测试100次</w:t>
            </w:r>
          </w:p>
        </w:tc>
      </w:tr>
      <w:tr>
        <w:tc>
          <w:tcPr>
            <w:tcW w:type="dxa" w:w="24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内容效率</w:t>
            </w:r>
          </w:p>
        </w:tc>
        <w:tc>
          <w:tcPr>
            <w:tcW w:type="dxa" w:w="21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先测基线，再目标下降≥40%</w:t>
            </w:r>
          </w:p>
        </w:tc>
        <w:tc>
          <w:tcPr>
            <w:tcW w:type="dxa" w:w="45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认领到提交审核的中位耗时</w:t>
            </w:r>
          </w:p>
        </w:tc>
      </w:tr>
    </w:tbl>
    <w:p>
      <w:pPr>
        <w:pStyle w:val="Heading1"/>
      </w:pPr>
      <w:r>
        <w:t xml:space="preserve">四、上线门禁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rPr>
          <w:tblHeader/>
        </w:trPr>
        <w:tc>
          <w:tcPr>
            <w:tcW w:type="dxa" w:w="21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18203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门禁</w:t>
            </w:r>
          </w:p>
        </w:tc>
        <w:tc>
          <w:tcPr>
            <w:tcW w:type="dxa" w:w="69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18203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必须满足</w:t>
            </w:r>
          </w:p>
        </w:tc>
      </w:tr>
      <w:tr>
        <w:tc>
          <w:tcPr>
            <w:tcW w:type="dxa" w:w="21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代码</w:t>
            </w:r>
          </w:p>
        </w:tc>
        <w:tc>
          <w:tcPr>
            <w:tcW w:type="dxa" w:w="69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主分支测试通过；无高危依赖；配置不含密钥</w:t>
            </w:r>
          </w:p>
        </w:tc>
      </w:tr>
      <w:tr>
        <w:tc>
          <w:tcPr>
            <w:tcW w:type="dxa" w:w="21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数据库</w:t>
            </w:r>
          </w:p>
        </w:tc>
        <w:tc>
          <w:tcPr>
            <w:tcW w:type="dxa" w:w="69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迁移可执行；备份完成；恢复演练通过</w:t>
            </w:r>
          </w:p>
        </w:tc>
      </w:tr>
      <w:tr>
        <w:tc>
          <w:tcPr>
            <w:tcW w:type="dxa" w:w="21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账号</w:t>
            </w:r>
          </w:p>
        </w:tc>
        <w:tc>
          <w:tcPr>
            <w:tcW w:type="dxa" w:w="69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每个账号负责人明确；发布上限和时间段已配置</w:t>
            </w:r>
          </w:p>
        </w:tc>
      </w:tr>
      <w:tr>
        <w:tc>
          <w:tcPr>
            <w:tcW w:type="dxa" w:w="21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MCP</w:t>
            </w:r>
          </w:p>
        </w:tc>
        <w:tc>
          <w:tcPr>
            <w:tcW w:type="dxa" w:w="69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版本锁定；健康检查通过；回退版本可用</w:t>
            </w:r>
          </w:p>
        </w:tc>
      </w:tr>
      <w:tr>
        <w:tc>
          <w:tcPr>
            <w:tcW w:type="dxa" w:w="21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模型</w:t>
            </w:r>
          </w:p>
        </w:tc>
        <w:tc>
          <w:tcPr>
            <w:tcW w:type="dxa" w:w="69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模型与提示词版本固定；预算/限流/超时配置完成</w:t>
            </w:r>
          </w:p>
        </w:tc>
      </w:tr>
      <w:tr>
        <w:tc>
          <w:tcPr>
            <w:tcW w:type="dxa" w:w="21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安全</w:t>
            </w:r>
          </w:p>
        </w:tc>
        <w:tc>
          <w:tcPr>
            <w:tcW w:type="dxa" w:w="69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Tailscale、登录、RBAC、日志脱敏完成</w:t>
            </w:r>
          </w:p>
        </w:tc>
      </w:tr>
      <w:tr>
        <w:tc>
          <w:tcPr>
            <w:tcW w:type="dxa" w:w="21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运维</w:t>
            </w:r>
          </w:p>
        </w:tc>
        <w:tc>
          <w:tcPr>
            <w:tcW w:type="dxa" w:w="69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开机自启、关闭休眠、磁盘告警、飞书告警完成</w:t>
            </w:r>
          </w:p>
        </w:tc>
      </w:tr>
      <w:tr>
        <w:tc>
          <w:tcPr>
            <w:tcW w:type="dxa" w:w="21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业务</w:t>
            </w:r>
          </w:p>
        </w:tc>
        <w:tc>
          <w:tcPr>
            <w:tcW w:type="dxa" w:w="69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至少一名审核员值守；异常人工发布流程明确</w:t>
            </w:r>
          </w:p>
        </w:tc>
      </w:tr>
    </w:tbl>
    <w:p>
      <w:pPr>
        <w:pStyle w:val="Heading1"/>
      </w:pPr>
      <w:r>
        <w:t xml:space="preserve">五、回滚条件</w:t>
      </w:r>
    </w:p>
    <w:p>
      <w:pPr>
        <w:pStyle w:val="ListParagraph"/>
        <w:numPr>
          <w:ilvl w:val="0"/>
          <w:numId w:val="2"/>
        </w:numPr>
        <w:spacing w:after="65" w:line="290"/>
      </w:pPr>
      <w:r>
        <w:rPr>
          <w:rFonts w:ascii="Arial" w:cs="Arial" w:eastAsia="Arial" w:hAnsi="Arial"/>
          <w:color w:val="182033"/>
          <w:sz w:val="20"/>
          <w:szCs w:val="20"/>
        </w:rPr>
        <w:t xml:space="preserve">连续出现重复发布</w:t>
      </w:r>
    </w:p>
    <w:p>
      <w:pPr>
        <w:pStyle w:val="ListParagraph"/>
        <w:numPr>
          <w:ilvl w:val="0"/>
          <w:numId w:val="2"/>
        </w:numPr>
        <w:spacing w:after="65" w:line="290"/>
      </w:pPr>
      <w:r>
        <w:rPr>
          <w:rFonts w:ascii="Arial" w:cs="Arial" w:eastAsia="Arial" w:hAnsi="Arial"/>
          <w:color w:val="182033"/>
          <w:sz w:val="20"/>
          <w:szCs w:val="20"/>
        </w:rPr>
        <w:t xml:space="preserve">出现账号串号或权限越权</w:t>
      </w:r>
    </w:p>
    <w:p>
      <w:pPr>
        <w:pStyle w:val="ListParagraph"/>
        <w:numPr>
          <w:ilvl w:val="0"/>
          <w:numId w:val="2"/>
        </w:numPr>
        <w:spacing w:after="65" w:line="290"/>
      </w:pPr>
      <w:r>
        <w:rPr>
          <w:rFonts w:ascii="Arial" w:cs="Arial" w:eastAsia="Arial" w:hAnsi="Arial"/>
          <w:color w:val="182033"/>
          <w:sz w:val="20"/>
          <w:szCs w:val="20"/>
        </w:rPr>
        <w:t xml:space="preserve">关键页面改版导致发布结果无法确认</w:t>
      </w:r>
    </w:p>
    <w:p>
      <w:pPr>
        <w:pStyle w:val="ListParagraph"/>
        <w:numPr>
          <w:ilvl w:val="0"/>
          <w:numId w:val="2"/>
        </w:numPr>
        <w:spacing w:after="65" w:line="290"/>
      </w:pPr>
      <w:r>
        <w:rPr>
          <w:rFonts w:ascii="Arial" w:cs="Arial" w:eastAsia="Arial" w:hAnsi="Arial"/>
          <w:color w:val="182033"/>
          <w:sz w:val="20"/>
          <w:szCs w:val="20"/>
        </w:rPr>
        <w:t xml:space="preserve">磁盘不足或数据库异常可能损坏数据</w:t>
      </w:r>
    </w:p>
    <w:p>
      <w:pPr>
        <w:pStyle w:val="ListParagraph"/>
        <w:numPr>
          <w:ilvl w:val="0"/>
          <w:numId w:val="2"/>
        </w:numPr>
        <w:spacing w:after="65" w:line="290"/>
      </w:pPr>
      <w:r>
        <w:rPr>
          <w:rFonts w:ascii="Arial" w:cs="Arial" w:eastAsia="Arial" w:hAnsi="Arial"/>
          <w:color w:val="182033"/>
          <w:sz w:val="20"/>
          <w:szCs w:val="20"/>
        </w:rPr>
        <w:t xml:space="preserve">错误率持续超过门槛且无法自动熔断</w:t>
      </w:r>
    </w:p>
    <w:sectPr>
      <w:headerReference w:type="default" r:id="rId7"/>
      <w:footerReference w:type="default" r:id="rId8"/>
      <w:pgSz w:w="11906" w:h="16838" w:orient="portrait"/>
      <w:pgMar w:top="900" w:right="900" w:bottom="900" w:left="9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57087"/>
        <w:sz w:val="16"/>
        <w:szCs w:val="16"/>
      </w:rPr>
      <w:t xml:space="preserve">第 </w:t>
    </w:r>
    <w:r>
      <w:rPr>
        <w:rFonts w:ascii="Arial" w:cs="Arial" w:eastAsia="Arial" w:hAnsi="Arial"/>
        <w:color w:val="65708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57087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310"/>
      <w:jc w:val="right"/>
    </w:pPr>
    <w:r>
      <w:rPr>
        <w:rFonts w:ascii="Arial" w:cs="Arial" w:eastAsia="Arial" w:hAnsi="Arial"/>
        <w:color w:val="657087"/>
        <w:sz w:val="16"/>
        <w:szCs w:val="16"/>
      </w:rPr>
      <w:t xml:space="preserve">AI 新媒体运营中台｜测试、验收与上线清单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  <w:lvl w:ilvl="1" w15:tentative="1">
      <w:start w:val="1"/>
      <w:numFmt w:val="bullet"/>
      <w:lvlText w:val="–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82033"/>
        <w:sz w:val="21"/>
        <w:szCs w:val="21"/>
      </w:rPr>
    </w:rPrDefault>
    <w:pPrDefault>
      <w:pPr>
        <w:spacing w:after="100" w:line="31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70" w:before="280"/>
      <w:outlineLvl w:val="0"/>
    </w:pPr>
    <w:rPr>
      <w:rFonts w:ascii="Arial" w:cs="Arial" w:eastAsia="Arial" w:hAnsi="Arial"/>
      <w:b/>
      <w:bCs/>
      <w:color w:val="182033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30" w:before="220"/>
      <w:outlineLvl w:val="1"/>
    </w:pPr>
    <w:rPr>
      <w:rFonts w:ascii="Arial" w:cs="Arial" w:eastAsia="Arial" w:hAnsi="Arial"/>
      <w:b/>
      <w:bCs/>
      <w:color w:val="FF4D5A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90" w:before="170"/>
      <w:outlineLvl w:val="2"/>
    </w:pPr>
    <w:rPr>
      <w:rFonts w:ascii="Arial" w:cs="Arial" w:eastAsia="Arial" w:hAnsi="Arial"/>
      <w:b/>
      <w:bCs/>
      <w:color w:val="1820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测试、验收与上线清单</dc:title>
  <dc:creator>Codex</dc:creator>
  <cp:lastModifiedBy>Un-named</cp:lastModifiedBy>
  <cp:revision>1</cp:revision>
  <dcterms:created xsi:type="dcterms:W3CDTF">2026-08-15T12:34:00.547Z</dcterms:created>
  <dcterms:modified xsi:type="dcterms:W3CDTF">2026-08-15T12:34:00.547Z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