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Codex实施路线、决策清单与ROI模板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让单人+Codex模式保持节奏、证据和成本意识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一、Codex工作方式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每个阶段先输出计划和验收标准，再改代码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一次只打通一个可运行闭环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所有外部真实发布、账号登录和删除操作需大哥确认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每个功能同时交付代码、迁移、测试、文档和回滚说明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遇到MCP不确定行为，先写PoC，不在产品层猜测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每次演示都使用同一套验收数据，避免“看起来能用”</w:t>
      </w:r>
    </w:p>
    <w:p>
      <w:pPr>
        <w:pStyle w:val="Heading1"/>
      </w:pPr>
      <w:r>
        <w:t xml:space="preserve">二、建议迭代顺序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426"/>
      </w:tblGrid>
      <w:tr>
        <w:trPr>
          <w:tblHeader/>
        </w:trP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迭代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项目骨架、Docker、数据库、登录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本机一键启动；可登录；健康检查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账号运行时与单账号MCP Connector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可按需启动、登录、停止和查看日志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5账号隔离与队列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串号0；并发2；其余排队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选题、认领和状态机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冲突锁、转交、放弃和审计通过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模型网关、编辑器、版本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生成≤3分钟；版本不覆盖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素材、审核和最终快照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版权、排序、预览和驳回通过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幂等发布、确认与人工恢复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不重复；失败证据完整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飞书通知、备份、Tailscale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异常可达；远程安全访问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公开数据快照与简单看板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数据来源和时间清晰</w:t>
            </w:r>
          </w:p>
        </w:tc>
      </w:tr>
      <w:tr>
        <w:tc>
          <w:tcPr>
            <w:tcW w:type="dxa" w:w="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自动采集/Obsidian等P1/P2</w:t>
            </w:r>
          </w:p>
        </w:tc>
        <w:tc>
          <w:tcPr>
            <w:tcW w:type="dxa" w:w="3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在MVP稳定后按价值加入</w:t>
            </w:r>
          </w:p>
        </w:tc>
      </w:tr>
    </w:tbl>
    <w:p>
      <w:pPr>
        <w:pStyle w:val="Heading1"/>
      </w:pPr>
      <w:r>
        <w:t xml:space="preserve">三、大哥需要决策的事项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5个账号的名称、定位、负责人和发布上限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成员名单及角色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是否允许同一选题被多个账号使用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审核员和免审核例外（建议MVP无例外）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内容生成模型/API和预算上限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素材版权规则和保留周期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异地访问成员与Tailscale授权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真实账号PoC允许的测试频率和内容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数据保留、备份周期和可接受停机时间</w:t>
      </w:r>
    </w:p>
    <w:p>
      <w:pPr>
        <w:pStyle w:val="Heading1"/>
      </w:pPr>
      <w:r>
        <w:t xml:space="preserve">四、运营产能与ROI模板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200"/>
        <w:gridCol w:w="2926"/>
      </w:tblGrid>
      <w:tr>
        <w:trPr>
          <w:tblHeader/>
        </w:trP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当前基线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MVP后目标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计算方式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每账号每日内容数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待填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待填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发布成功篇数/账号/工作日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单篇选题耗时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待测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下降目标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从开始搜索到选题确认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单篇创作耗时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待测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中位数下降≥40%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认领到提交审核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审核耗时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待测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待定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提交到审核完成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每月人工工时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待测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节省值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总耗时×人员成本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模型成本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0/待测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预算上限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调用token/图片/请求成本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维护工时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0/待测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可接受值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MCP维护+异常处置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业务结果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曝光/线索/品牌待选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账号分别设目标</w:t>
            </w:r>
          </w:p>
        </w:tc>
        <w:tc>
          <w:tcPr>
            <w:tcW w:type="dxa" w:w="2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不能只用点赞衡量</w:t>
            </w:r>
          </w:p>
        </w:tc>
      </w:tr>
    </w:tbl>
    <w:p>
      <w:pPr>
        <w:pStyle w:val="Heading1"/>
      </w:pPr>
      <w:r>
        <w:t xml:space="preserve">五、运营策略分层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账号类型</w:t>
            </w:r>
          </w:p>
        </w:tc>
        <w:tc>
          <w:tcPr>
            <w:tcW w:type="dxa" w:w="6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实验账号</w:t>
            </w:r>
          </w:p>
        </w:tc>
        <w:tc>
          <w:tcPr>
            <w:tcW w:type="dxa" w:w="6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允许较高选题测试频率，但仍遵守限速和审核</w:t>
            </w:r>
          </w:p>
        </w:tc>
      </w:tr>
      <w:tr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稳定品牌账号</w:t>
            </w:r>
          </w:p>
        </w:tc>
        <w:tc>
          <w:tcPr>
            <w:tcW w:type="dxa" w:w="6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低频高质量，审核更严格，禁止自动放行</w:t>
            </w:r>
          </w:p>
        </w:tc>
      </w:tr>
      <w:tr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获客账号</w:t>
            </w:r>
          </w:p>
        </w:tc>
        <w:tc>
          <w:tcPr>
            <w:tcW w:type="dxa" w:w="6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关注有效咨询、线索和转化，不只看互动</w:t>
            </w:r>
          </w:p>
        </w:tc>
      </w:tr>
      <w:tr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知识沉淀账号</w:t>
            </w:r>
          </w:p>
        </w:tc>
        <w:tc>
          <w:tcPr>
            <w:tcW w:type="dxa" w:w="6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关注收藏率、搜索流量和内容寿命</w:t>
            </w:r>
          </w:p>
        </w:tc>
      </w:tr>
      <w:tr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新账号</w:t>
            </w:r>
          </w:p>
        </w:tc>
        <w:tc>
          <w:tcPr>
            <w:tcW w:type="dxa" w:w="6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先建立稳定人设和内容支柱，不追求高频</w:t>
            </w:r>
          </w:p>
        </w:tc>
      </w:tr>
    </w:tbl>
    <w:p>
      <w:pPr>
        <w:pStyle w:val="Heading1"/>
      </w:pPr>
      <w:r>
        <w:t xml:space="preserve">六、项目完成定义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完成不是“页面做出来”：而是5账号真实PoC通过、MVP主链路可运行、重复发布为0、失败可恢复、权限和日志可审计，并且实际运营人员愿意连续使用。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新媒体运营中台｜Codex实施路线、决策清单与ROI模板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Codex实施路线、决策清单与ROI模板</dc:title>
  <dc:creator>Codex</dc:creator>
  <cp:lastModifiedBy>Un-named</cp:lastModifiedBy>
  <cp:revision>1</cp:revision>
  <dcterms:created xsi:type="dcterms:W3CDTF">2026-08-15T12:34:00.554Z</dcterms:created>
  <dcterms:modified xsi:type="dcterms:W3CDTF">2026-08-15T12:34:00.554Z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