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E1A3" w14:textId="77777777" w:rsidR="00CF1CF8" w:rsidRDefault="00CF1CF8" w:rsidP="00CF1CF8">
      <w:pPr>
        <w:spacing w:before="200" w:after="200"/>
      </w:pPr>
      <w:r>
        <w:rPr>
          <w:rFonts w:ascii="Times New Roman" w:eastAsia="Times New Roman" w:hAnsi="Times New Roman" w:cs="Times New Roman"/>
          <w:b/>
          <w:bCs/>
          <w:sz w:val="36"/>
          <w:szCs w:val="36"/>
        </w:rPr>
        <w:t>Resumen ejecutivo</w:t>
      </w:r>
    </w:p>
    <w:p w14:paraId="7B71EB79" w14:textId="77777777" w:rsidR="00CF1CF8" w:rsidRDefault="00CF1CF8" w:rsidP="00CF1CF8">
      <w:pPr>
        <w:spacing w:after="200"/>
        <w:jc w:val="both"/>
      </w:pPr>
      <w:r>
        <w:rPr>
          <w:rFonts w:ascii="Times New Roman" w:eastAsia="Times New Roman" w:hAnsi="Times New Roman" w:cs="Times New Roman"/>
        </w:rPr>
        <w:t xml:space="preserve">Durante julio de 2026 RICORP registró </w:t>
      </w:r>
      <w:r>
        <w:rPr>
          <w:rFonts w:ascii="Times New Roman" w:eastAsia="Times New Roman" w:hAnsi="Times New Roman" w:cs="Times New Roman"/>
          <w:b/>
          <w:bCs/>
        </w:rPr>
        <w:t>555</w:t>
      </w:r>
      <w:r>
        <w:rPr>
          <w:rFonts w:ascii="Times New Roman" w:eastAsia="Times New Roman" w:hAnsi="Times New Roman" w:cs="Times New Roman"/>
        </w:rPr>
        <w:t xml:space="preserve"> movimientos de cobranza sobre los fondos de titularización administrados, de los cuales </w:t>
      </w:r>
      <w:r>
        <w:rPr>
          <w:rFonts w:ascii="Times New Roman" w:eastAsia="Times New Roman" w:hAnsi="Times New Roman" w:cs="Times New Roman"/>
          <w:b/>
          <w:bCs/>
        </w:rPr>
        <w:t>480</w:t>
      </w:r>
      <w:r>
        <w:rPr>
          <w:rFonts w:ascii="Times New Roman" w:eastAsia="Times New Roman" w:hAnsi="Times New Roman" w:cs="Times New Roman"/>
        </w:rPr>
        <w:t xml:space="preserve"> fueron efectivamente cobrados, alcanzando un monto total de </w:t>
      </w:r>
      <w:r>
        <w:rPr>
          <w:rFonts w:ascii="Times New Roman" w:eastAsia="Times New Roman" w:hAnsi="Times New Roman" w:cs="Times New Roman"/>
          <w:b/>
          <w:bCs/>
        </w:rPr>
        <w:t>$10,480,000.00</w:t>
      </w:r>
      <w:r>
        <w:rPr>
          <w:rFonts w:ascii="Times New Roman" w:eastAsia="Times New Roman" w:hAnsi="Times New Roman" w:cs="Times New Roman"/>
        </w:rPr>
        <w:t xml:space="preserve">, con un monto promedio por movimiento cobrado de </w:t>
      </w:r>
      <w:r>
        <w:rPr>
          <w:rFonts w:ascii="Times New Roman" w:eastAsia="Times New Roman" w:hAnsi="Times New Roman" w:cs="Times New Roman"/>
          <w:b/>
          <w:bCs/>
        </w:rPr>
        <w:t>$21,833.33</w:t>
      </w:r>
      <w:r>
        <w:rPr>
          <w:rFonts w:ascii="Times New Roman" w:eastAsia="Times New Roman" w:hAnsi="Times New Roman" w:cs="Times New Roman"/>
        </w:rPr>
        <w:t xml:space="preserve">. El tipo de activo subyacente Cuentas por cobrar comerciales concentró el mayor volumen de movimientos y el mayor monto cobrado del mes, mientras que Rentas inmobiliarias registró la menor participación. La tasa de cobranza a tiempo se ubicó en </w:t>
      </w:r>
      <w:r>
        <w:rPr>
          <w:rFonts w:ascii="Times New Roman" w:eastAsia="Times New Roman" w:hAnsi="Times New Roman" w:cs="Times New Roman"/>
          <w:b/>
          <w:bCs/>
        </w:rPr>
        <w:t>79.2%</w:t>
      </w:r>
      <w:r>
        <w:rPr>
          <w:rFonts w:ascii="Times New Roman" w:eastAsia="Times New Roman" w:hAnsi="Times New Roman" w:cs="Times New Roman"/>
        </w:rPr>
        <w:t>, en línea con el comportamiento esperado para el periodo.</w:t>
      </w:r>
    </w:p>
    <w:p w14:paraId="5C63892D" w14:textId="77777777" w:rsidR="00CF1CF8" w:rsidRDefault="00CF1CF8" w:rsidP="00CF1CF8">
      <w:pPr>
        <w:spacing w:after="200"/>
        <w:jc w:val="both"/>
      </w:pPr>
      <w:r>
        <w:rPr>
          <w:rFonts w:ascii="Times New Roman" w:eastAsia="Times New Roman" w:hAnsi="Times New Roman" w:cs="Times New Roman"/>
        </w:rPr>
        <w:t xml:space="preserve">La tasa de incobrabilidad del mes fue de </w:t>
      </w:r>
      <w:r>
        <w:rPr>
          <w:rFonts w:ascii="Times New Roman" w:eastAsia="Times New Roman" w:hAnsi="Times New Roman" w:cs="Times New Roman"/>
          <w:b/>
          <w:bCs/>
        </w:rPr>
        <w:t>3.1%</w:t>
      </w:r>
      <w:r>
        <w:rPr>
          <w:rFonts w:ascii="Times New Roman" w:eastAsia="Times New Roman" w:hAnsi="Times New Roman" w:cs="Times New Roman"/>
        </w:rPr>
        <w:t xml:space="preserve">, ligeramente por encima del rango habitual observado en periodos anteriores. Viva </w:t>
      </w:r>
      <w:proofErr w:type="spellStart"/>
      <w:r>
        <w:rPr>
          <w:rFonts w:ascii="Times New Roman" w:eastAsia="Times New Roman" w:hAnsi="Times New Roman" w:cs="Times New Roman"/>
        </w:rPr>
        <w:t>Outdoor</w:t>
      </w:r>
      <w:proofErr w:type="spellEnd"/>
      <w:r>
        <w:rPr>
          <w:rFonts w:ascii="Times New Roman" w:eastAsia="Times New Roman" w:hAnsi="Times New Roman" w:cs="Times New Roman"/>
        </w:rPr>
        <w:t xml:space="preserve"> y Grupo Simco lideraron la cobranza por originador, cada uno con participación significativa sobre el monto total cobrado. La tasa de incobrabilidad es el único punto que amerita seguimiento de Cobranza durante el tercer trimestre de 2026.</w:t>
      </w:r>
    </w:p>
    <w:p w14:paraId="719265E0" w14:textId="77777777" w:rsidR="00CF1CF8" w:rsidRDefault="00CF1CF8" w:rsidP="00CF1CF8">
      <w:pPr>
        <w:spacing w:before="200" w:after="200"/>
      </w:pPr>
      <w:r>
        <w:rPr>
          <w:rFonts w:ascii="Times New Roman" w:eastAsia="Times New Roman" w:hAnsi="Times New Roman" w:cs="Times New Roman"/>
          <w:b/>
          <w:bCs/>
          <w:sz w:val="26"/>
          <w:szCs w:val="26"/>
        </w:rPr>
        <w:t>Indicadores clave del periodo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4"/>
        <w:gridCol w:w="4414"/>
      </w:tblGrid>
      <w:tr w:rsidR="00CF1CF8" w14:paraId="7400A4CC"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185B3D1C" w14:textId="77777777" w:rsidR="00CF1CF8" w:rsidRDefault="00CF1CF8" w:rsidP="001E4256">
            <w:r>
              <w:rPr>
                <w:rFonts w:ascii="Times New Roman" w:eastAsia="Times New Roman" w:hAnsi="Times New Roman" w:cs="Times New Roman"/>
                <w:b/>
                <w:bCs/>
              </w:rPr>
              <w:t>Indicador</w:t>
            </w:r>
          </w:p>
        </w:tc>
        <w:tc>
          <w:tcPr>
            <w:tcW w:w="2500" w:type="pct"/>
            <w:tcBorders>
              <w:top w:val="single" w:sz="4" w:space="0" w:color="000000"/>
              <w:left w:val="single" w:sz="4" w:space="0" w:color="000000"/>
              <w:bottom w:val="single" w:sz="4" w:space="0" w:color="000000"/>
              <w:right w:val="single" w:sz="4" w:space="0" w:color="000000"/>
            </w:tcBorders>
          </w:tcPr>
          <w:p w14:paraId="7F442306" w14:textId="77777777" w:rsidR="00CF1CF8" w:rsidRDefault="00CF1CF8" w:rsidP="001E4256">
            <w:pPr>
              <w:jc w:val="center"/>
            </w:pPr>
            <w:r>
              <w:rPr>
                <w:rFonts w:ascii="Times New Roman" w:eastAsia="Times New Roman" w:hAnsi="Times New Roman" w:cs="Times New Roman"/>
                <w:b/>
                <w:bCs/>
              </w:rPr>
              <w:t>Valor</w:t>
            </w:r>
          </w:p>
        </w:tc>
      </w:tr>
      <w:tr w:rsidR="00CF1CF8" w14:paraId="07FD963E"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57BF1D9E" w14:textId="77777777" w:rsidR="00CF1CF8" w:rsidRDefault="00CF1CF8" w:rsidP="001E4256">
            <w:r>
              <w:rPr>
                <w:rFonts w:ascii="Times New Roman" w:eastAsia="Times New Roman" w:hAnsi="Times New Roman" w:cs="Times New Roman"/>
              </w:rPr>
              <w:t>Monto total cobrado</w:t>
            </w:r>
          </w:p>
        </w:tc>
        <w:tc>
          <w:tcPr>
            <w:tcW w:w="2500" w:type="pct"/>
            <w:tcBorders>
              <w:top w:val="single" w:sz="4" w:space="0" w:color="000000"/>
              <w:left w:val="single" w:sz="4" w:space="0" w:color="000000"/>
              <w:bottom w:val="single" w:sz="4" w:space="0" w:color="000000"/>
              <w:right w:val="single" w:sz="4" w:space="0" w:color="000000"/>
            </w:tcBorders>
          </w:tcPr>
          <w:p w14:paraId="59E02BCF" w14:textId="77777777" w:rsidR="00CF1CF8" w:rsidRDefault="00CF1CF8" w:rsidP="001E4256">
            <w:pPr>
              <w:jc w:val="center"/>
            </w:pPr>
            <w:r>
              <w:rPr>
                <w:rFonts w:ascii="Times New Roman" w:eastAsia="Times New Roman" w:hAnsi="Times New Roman" w:cs="Times New Roman"/>
              </w:rPr>
              <w:t>$10,480,000.00</w:t>
            </w:r>
          </w:p>
        </w:tc>
      </w:tr>
      <w:tr w:rsidR="00CF1CF8" w14:paraId="0C1FB34B"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26798D89" w14:textId="77777777" w:rsidR="00CF1CF8" w:rsidRDefault="00CF1CF8" w:rsidP="001E4256">
            <w:r>
              <w:rPr>
                <w:rFonts w:ascii="Times New Roman" w:eastAsia="Times New Roman" w:hAnsi="Times New Roman" w:cs="Times New Roman"/>
              </w:rPr>
              <w:t>Movimientos cobrados</w:t>
            </w:r>
          </w:p>
        </w:tc>
        <w:tc>
          <w:tcPr>
            <w:tcW w:w="2500" w:type="pct"/>
            <w:tcBorders>
              <w:top w:val="single" w:sz="4" w:space="0" w:color="000000"/>
              <w:left w:val="single" w:sz="4" w:space="0" w:color="000000"/>
              <w:bottom w:val="single" w:sz="4" w:space="0" w:color="000000"/>
              <w:right w:val="single" w:sz="4" w:space="0" w:color="000000"/>
            </w:tcBorders>
          </w:tcPr>
          <w:p w14:paraId="20377F69" w14:textId="77777777" w:rsidR="00CF1CF8" w:rsidRDefault="00CF1CF8" w:rsidP="001E4256">
            <w:pPr>
              <w:jc w:val="center"/>
            </w:pPr>
            <w:r>
              <w:rPr>
                <w:rFonts w:ascii="Times New Roman" w:eastAsia="Times New Roman" w:hAnsi="Times New Roman" w:cs="Times New Roman"/>
              </w:rPr>
              <w:t>480</w:t>
            </w:r>
          </w:p>
        </w:tc>
      </w:tr>
      <w:tr w:rsidR="00CF1CF8" w14:paraId="285CE91D"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372DF70C" w14:textId="77777777" w:rsidR="00CF1CF8" w:rsidRDefault="00CF1CF8" w:rsidP="001E4256">
            <w:r>
              <w:rPr>
                <w:rFonts w:ascii="Times New Roman" w:eastAsia="Times New Roman" w:hAnsi="Times New Roman" w:cs="Times New Roman"/>
              </w:rPr>
              <w:t>Monto promedio por movimiento</w:t>
            </w:r>
          </w:p>
        </w:tc>
        <w:tc>
          <w:tcPr>
            <w:tcW w:w="2500" w:type="pct"/>
            <w:tcBorders>
              <w:top w:val="single" w:sz="4" w:space="0" w:color="000000"/>
              <w:left w:val="single" w:sz="4" w:space="0" w:color="000000"/>
              <w:bottom w:val="single" w:sz="4" w:space="0" w:color="000000"/>
              <w:right w:val="single" w:sz="4" w:space="0" w:color="000000"/>
            </w:tcBorders>
          </w:tcPr>
          <w:p w14:paraId="796B670A" w14:textId="77777777" w:rsidR="00CF1CF8" w:rsidRDefault="00CF1CF8" w:rsidP="001E4256">
            <w:pPr>
              <w:jc w:val="center"/>
            </w:pPr>
            <w:r>
              <w:rPr>
                <w:rFonts w:ascii="Times New Roman" w:eastAsia="Times New Roman" w:hAnsi="Times New Roman" w:cs="Times New Roman"/>
              </w:rPr>
              <w:t>$21,833.33</w:t>
            </w:r>
          </w:p>
        </w:tc>
      </w:tr>
      <w:tr w:rsidR="00CF1CF8" w14:paraId="01FBCD1F"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0F67C864" w14:textId="77777777" w:rsidR="00CF1CF8" w:rsidRDefault="00CF1CF8" w:rsidP="001E4256">
            <w:r>
              <w:rPr>
                <w:rFonts w:ascii="Times New Roman" w:eastAsia="Times New Roman" w:hAnsi="Times New Roman" w:cs="Times New Roman"/>
              </w:rPr>
              <w:t>Tasa de cobranza a tiempo</w:t>
            </w:r>
          </w:p>
        </w:tc>
        <w:tc>
          <w:tcPr>
            <w:tcW w:w="2500" w:type="pct"/>
            <w:tcBorders>
              <w:top w:val="single" w:sz="4" w:space="0" w:color="000000"/>
              <w:left w:val="single" w:sz="4" w:space="0" w:color="000000"/>
              <w:bottom w:val="single" w:sz="4" w:space="0" w:color="000000"/>
              <w:right w:val="single" w:sz="4" w:space="0" w:color="000000"/>
            </w:tcBorders>
          </w:tcPr>
          <w:p w14:paraId="1B7F696A" w14:textId="77777777" w:rsidR="00CF1CF8" w:rsidRDefault="00CF1CF8" w:rsidP="001E4256">
            <w:pPr>
              <w:jc w:val="center"/>
            </w:pPr>
            <w:r>
              <w:rPr>
                <w:rFonts w:ascii="Times New Roman" w:eastAsia="Times New Roman" w:hAnsi="Times New Roman" w:cs="Times New Roman"/>
              </w:rPr>
              <w:t>79.2%</w:t>
            </w:r>
          </w:p>
        </w:tc>
      </w:tr>
      <w:tr w:rsidR="00CF1CF8" w14:paraId="1604AA99"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33F8C7EC" w14:textId="77777777" w:rsidR="00CF1CF8" w:rsidRDefault="00CF1CF8" w:rsidP="001E4256">
            <w:r>
              <w:rPr>
                <w:rFonts w:ascii="Times New Roman" w:eastAsia="Times New Roman" w:hAnsi="Times New Roman" w:cs="Times New Roman"/>
              </w:rPr>
              <w:t>Tasa de incobrabilidad</w:t>
            </w:r>
          </w:p>
        </w:tc>
        <w:tc>
          <w:tcPr>
            <w:tcW w:w="2500" w:type="pct"/>
            <w:tcBorders>
              <w:top w:val="single" w:sz="4" w:space="0" w:color="000000"/>
              <w:left w:val="single" w:sz="4" w:space="0" w:color="000000"/>
              <w:bottom w:val="single" w:sz="4" w:space="0" w:color="000000"/>
              <w:right w:val="single" w:sz="4" w:space="0" w:color="000000"/>
            </w:tcBorders>
          </w:tcPr>
          <w:p w14:paraId="6A1A8246" w14:textId="77777777" w:rsidR="00CF1CF8" w:rsidRDefault="00CF1CF8" w:rsidP="001E4256">
            <w:pPr>
              <w:jc w:val="center"/>
            </w:pPr>
            <w:r>
              <w:rPr>
                <w:rFonts w:ascii="Times New Roman" w:eastAsia="Times New Roman" w:hAnsi="Times New Roman" w:cs="Times New Roman"/>
              </w:rPr>
              <w:t>3.1%</w:t>
            </w:r>
          </w:p>
        </w:tc>
      </w:tr>
    </w:tbl>
    <w:p w14:paraId="4C116A07" w14:textId="77777777" w:rsidR="00CF1CF8" w:rsidRDefault="00CF1CF8" w:rsidP="00CF1CF8">
      <w:pPr>
        <w:spacing w:before="200" w:after="200"/>
      </w:pPr>
      <w:r>
        <w:rPr>
          <w:rFonts w:ascii="Times New Roman" w:eastAsia="Times New Roman" w:hAnsi="Times New Roman" w:cs="Times New Roman"/>
          <w:b/>
          <w:bCs/>
          <w:sz w:val="26"/>
          <w:szCs w:val="26"/>
        </w:rPr>
        <w:t>Cobranza por tipo de activo subyacente</w:t>
      </w:r>
    </w:p>
    <w:p w14:paraId="531D5C18" w14:textId="70B2FDA4" w:rsidR="00CF1CF8" w:rsidRDefault="00CF1CF8" w:rsidP="00CF1CF8">
      <w:pPr>
        <w:spacing w:after="200"/>
        <w:jc w:val="both"/>
      </w:pPr>
      <w:r>
        <w:rPr>
          <w:rFonts w:ascii="Times New Roman" w:eastAsia="Times New Roman" w:hAnsi="Times New Roman" w:cs="Times New Roman"/>
        </w:rPr>
        <w:t xml:space="preserve">La tabla siguiente muestra la distribución de movimientos cobrados y monto total por tipo de activo subyacente durante el mes. El orden de las filas se mantiene fijo para facilitar la comparación entre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4"/>
        <w:gridCol w:w="2207"/>
        <w:gridCol w:w="2207"/>
      </w:tblGrid>
      <w:tr w:rsidR="00CF1CF8" w14:paraId="7E8BFC30"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2862DE7C" w14:textId="5E3942F0" w:rsidR="00CF1CF8" w:rsidRDefault="00CF1CF8" w:rsidP="001E4256">
            <w:r>
              <w:rPr>
                <w:rFonts w:ascii="Times New Roman" w:eastAsia="Times New Roman" w:hAnsi="Times New Roman" w:cs="Times New Roman"/>
                <w:b/>
                <w:bCs/>
              </w:rPr>
              <w:t>Tipo de activo subyacente</w:t>
            </w:r>
          </w:p>
        </w:tc>
        <w:tc>
          <w:tcPr>
            <w:tcW w:w="1250" w:type="pct"/>
            <w:tcBorders>
              <w:top w:val="single" w:sz="4" w:space="0" w:color="000000"/>
              <w:left w:val="single" w:sz="4" w:space="0" w:color="000000"/>
              <w:bottom w:val="single" w:sz="4" w:space="0" w:color="000000"/>
              <w:right w:val="single" w:sz="4" w:space="0" w:color="000000"/>
            </w:tcBorders>
          </w:tcPr>
          <w:p w14:paraId="73FE05BF" w14:textId="77777777" w:rsidR="00CF1CF8" w:rsidRDefault="00CF1CF8" w:rsidP="001E4256">
            <w:pPr>
              <w:jc w:val="center"/>
            </w:pPr>
            <w:r>
              <w:rPr>
                <w:rFonts w:ascii="Times New Roman" w:eastAsia="Times New Roman" w:hAnsi="Times New Roman" w:cs="Times New Roman"/>
                <w:b/>
                <w:bCs/>
              </w:rPr>
              <w:t>Movimientos cobrados</w:t>
            </w:r>
          </w:p>
        </w:tc>
        <w:tc>
          <w:tcPr>
            <w:tcW w:w="1250" w:type="pct"/>
            <w:tcBorders>
              <w:top w:val="single" w:sz="4" w:space="0" w:color="000000"/>
              <w:left w:val="single" w:sz="4" w:space="0" w:color="000000"/>
              <w:bottom w:val="single" w:sz="4" w:space="0" w:color="000000"/>
              <w:right w:val="single" w:sz="4" w:space="0" w:color="000000"/>
            </w:tcBorders>
          </w:tcPr>
          <w:p w14:paraId="732F7442" w14:textId="77777777" w:rsidR="00CF1CF8" w:rsidRDefault="00CF1CF8" w:rsidP="001E4256">
            <w:pPr>
              <w:jc w:val="center"/>
            </w:pPr>
            <w:r>
              <w:rPr>
                <w:rFonts w:ascii="Times New Roman" w:eastAsia="Times New Roman" w:hAnsi="Times New Roman" w:cs="Times New Roman"/>
                <w:b/>
                <w:bCs/>
              </w:rPr>
              <w:t>Monto cobrado</w:t>
            </w:r>
          </w:p>
        </w:tc>
      </w:tr>
      <w:tr w:rsidR="00CF1CF8" w14:paraId="01BD9D50"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5B56B326" w14:textId="77777777" w:rsidR="00CF1CF8" w:rsidRDefault="00CF1CF8" w:rsidP="001E4256">
            <w:r>
              <w:rPr>
                <w:rFonts w:ascii="Times New Roman" w:eastAsia="Times New Roman" w:hAnsi="Times New Roman" w:cs="Times New Roman"/>
              </w:rPr>
              <w:t>Cartera de créditos</w:t>
            </w:r>
          </w:p>
        </w:tc>
        <w:tc>
          <w:tcPr>
            <w:tcW w:w="1250" w:type="pct"/>
            <w:tcBorders>
              <w:top w:val="single" w:sz="4" w:space="0" w:color="000000"/>
              <w:left w:val="single" w:sz="4" w:space="0" w:color="000000"/>
              <w:bottom w:val="single" w:sz="4" w:space="0" w:color="000000"/>
              <w:right w:val="single" w:sz="4" w:space="0" w:color="000000"/>
            </w:tcBorders>
          </w:tcPr>
          <w:p w14:paraId="2823A06F" w14:textId="77777777" w:rsidR="00CF1CF8" w:rsidRDefault="00CF1CF8" w:rsidP="001E4256">
            <w:pPr>
              <w:jc w:val="center"/>
            </w:pPr>
            <w:r>
              <w:rPr>
                <w:rFonts w:ascii="Times New Roman" w:eastAsia="Times New Roman" w:hAnsi="Times New Roman" w:cs="Times New Roman"/>
              </w:rPr>
              <w:t>95</w:t>
            </w:r>
          </w:p>
        </w:tc>
        <w:tc>
          <w:tcPr>
            <w:tcW w:w="1250" w:type="pct"/>
            <w:tcBorders>
              <w:top w:val="single" w:sz="4" w:space="0" w:color="000000"/>
              <w:left w:val="single" w:sz="4" w:space="0" w:color="000000"/>
              <w:bottom w:val="single" w:sz="4" w:space="0" w:color="000000"/>
              <w:right w:val="single" w:sz="4" w:space="0" w:color="000000"/>
            </w:tcBorders>
          </w:tcPr>
          <w:p w14:paraId="79CE7DD0" w14:textId="77777777" w:rsidR="00CF1CF8" w:rsidRDefault="00CF1CF8" w:rsidP="001E4256">
            <w:pPr>
              <w:jc w:val="center"/>
            </w:pPr>
            <w:r>
              <w:rPr>
                <w:rFonts w:ascii="Times New Roman" w:eastAsia="Times New Roman" w:hAnsi="Times New Roman" w:cs="Times New Roman"/>
              </w:rPr>
              <w:t>$2,150,000.00</w:t>
            </w:r>
          </w:p>
        </w:tc>
      </w:tr>
      <w:tr w:rsidR="00CF1CF8" w14:paraId="27D44F48"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6248A634" w14:textId="77777777" w:rsidR="00CF1CF8" w:rsidRDefault="00CF1CF8" w:rsidP="001E4256">
            <w:r>
              <w:rPr>
                <w:rFonts w:ascii="Times New Roman" w:eastAsia="Times New Roman" w:hAnsi="Times New Roman" w:cs="Times New Roman"/>
              </w:rPr>
              <w:t>Cartera hipotecaria</w:t>
            </w:r>
          </w:p>
        </w:tc>
        <w:tc>
          <w:tcPr>
            <w:tcW w:w="1250" w:type="pct"/>
            <w:tcBorders>
              <w:top w:val="single" w:sz="4" w:space="0" w:color="000000"/>
              <w:left w:val="single" w:sz="4" w:space="0" w:color="000000"/>
              <w:bottom w:val="single" w:sz="4" w:space="0" w:color="000000"/>
              <w:right w:val="single" w:sz="4" w:space="0" w:color="000000"/>
            </w:tcBorders>
          </w:tcPr>
          <w:p w14:paraId="181D162D" w14:textId="77777777" w:rsidR="00CF1CF8" w:rsidRDefault="00CF1CF8" w:rsidP="001E4256">
            <w:pPr>
              <w:jc w:val="center"/>
            </w:pPr>
            <w:r>
              <w:rPr>
                <w:rFonts w:ascii="Times New Roman" w:eastAsia="Times New Roman" w:hAnsi="Times New Roman" w:cs="Times New Roman"/>
              </w:rPr>
              <w:t>40</w:t>
            </w:r>
          </w:p>
        </w:tc>
        <w:tc>
          <w:tcPr>
            <w:tcW w:w="1250" w:type="pct"/>
            <w:tcBorders>
              <w:top w:val="single" w:sz="4" w:space="0" w:color="000000"/>
              <w:left w:val="single" w:sz="4" w:space="0" w:color="000000"/>
              <w:bottom w:val="single" w:sz="4" w:space="0" w:color="000000"/>
              <w:right w:val="single" w:sz="4" w:space="0" w:color="000000"/>
            </w:tcBorders>
          </w:tcPr>
          <w:p w14:paraId="2EE87B70" w14:textId="77777777" w:rsidR="00CF1CF8" w:rsidRDefault="00CF1CF8" w:rsidP="001E4256">
            <w:pPr>
              <w:jc w:val="center"/>
            </w:pPr>
            <w:r>
              <w:rPr>
                <w:rFonts w:ascii="Times New Roman" w:eastAsia="Times New Roman" w:hAnsi="Times New Roman" w:cs="Times New Roman"/>
              </w:rPr>
              <w:t>$1,380,000.00</w:t>
            </w:r>
          </w:p>
        </w:tc>
      </w:tr>
      <w:tr w:rsidR="00CF1CF8" w14:paraId="66FEF1D7"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16F23D99" w14:textId="77777777" w:rsidR="00CF1CF8" w:rsidRDefault="00CF1CF8" w:rsidP="001E4256">
            <w:r>
              <w:rPr>
                <w:rFonts w:ascii="Times New Roman" w:eastAsia="Times New Roman" w:hAnsi="Times New Roman" w:cs="Times New Roman"/>
              </w:rPr>
              <w:t>Cuentas por cobrar comerciales</w:t>
            </w:r>
          </w:p>
        </w:tc>
        <w:tc>
          <w:tcPr>
            <w:tcW w:w="1250" w:type="pct"/>
            <w:tcBorders>
              <w:top w:val="single" w:sz="4" w:space="0" w:color="000000"/>
              <w:left w:val="single" w:sz="4" w:space="0" w:color="000000"/>
              <w:bottom w:val="single" w:sz="4" w:space="0" w:color="000000"/>
              <w:right w:val="single" w:sz="4" w:space="0" w:color="000000"/>
            </w:tcBorders>
          </w:tcPr>
          <w:p w14:paraId="6631D226" w14:textId="77777777" w:rsidR="00CF1CF8" w:rsidRDefault="00CF1CF8" w:rsidP="001E4256">
            <w:pPr>
              <w:jc w:val="center"/>
            </w:pPr>
            <w:r>
              <w:rPr>
                <w:rFonts w:ascii="Times New Roman" w:eastAsia="Times New Roman" w:hAnsi="Times New Roman" w:cs="Times New Roman"/>
              </w:rPr>
              <w:t>130</w:t>
            </w:r>
          </w:p>
        </w:tc>
        <w:tc>
          <w:tcPr>
            <w:tcW w:w="1250" w:type="pct"/>
            <w:tcBorders>
              <w:top w:val="single" w:sz="4" w:space="0" w:color="000000"/>
              <w:left w:val="single" w:sz="4" w:space="0" w:color="000000"/>
              <w:bottom w:val="single" w:sz="4" w:space="0" w:color="000000"/>
              <w:right w:val="single" w:sz="4" w:space="0" w:color="000000"/>
            </w:tcBorders>
          </w:tcPr>
          <w:p w14:paraId="2057E528" w14:textId="77777777" w:rsidR="00CF1CF8" w:rsidRDefault="00CF1CF8" w:rsidP="001E4256">
            <w:pPr>
              <w:jc w:val="center"/>
            </w:pPr>
            <w:r>
              <w:rPr>
                <w:rFonts w:ascii="Times New Roman" w:eastAsia="Times New Roman" w:hAnsi="Times New Roman" w:cs="Times New Roman"/>
              </w:rPr>
              <w:t>$2,890,000.00</w:t>
            </w:r>
          </w:p>
        </w:tc>
      </w:tr>
      <w:tr w:rsidR="00CF1CF8" w14:paraId="75680464"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5D90BBCA" w14:textId="77777777" w:rsidR="00CF1CF8" w:rsidRDefault="00CF1CF8" w:rsidP="001E4256">
            <w:r>
              <w:rPr>
                <w:rFonts w:ascii="Times New Roman" w:eastAsia="Times New Roman" w:hAnsi="Times New Roman" w:cs="Times New Roman"/>
              </w:rPr>
              <w:t>Flujos de peaje/publicidad exterior</w:t>
            </w:r>
          </w:p>
        </w:tc>
        <w:tc>
          <w:tcPr>
            <w:tcW w:w="1250" w:type="pct"/>
            <w:tcBorders>
              <w:top w:val="single" w:sz="4" w:space="0" w:color="000000"/>
              <w:left w:val="single" w:sz="4" w:space="0" w:color="000000"/>
              <w:bottom w:val="single" w:sz="4" w:space="0" w:color="000000"/>
              <w:right w:val="single" w:sz="4" w:space="0" w:color="000000"/>
            </w:tcBorders>
          </w:tcPr>
          <w:p w14:paraId="148129CC" w14:textId="77777777" w:rsidR="00CF1CF8" w:rsidRDefault="00CF1CF8" w:rsidP="001E4256">
            <w:pPr>
              <w:jc w:val="center"/>
            </w:pPr>
            <w:r>
              <w:rPr>
                <w:rFonts w:ascii="Times New Roman" w:eastAsia="Times New Roman" w:hAnsi="Times New Roman" w:cs="Times New Roman"/>
              </w:rPr>
              <w:t>75</w:t>
            </w:r>
          </w:p>
        </w:tc>
        <w:tc>
          <w:tcPr>
            <w:tcW w:w="1250" w:type="pct"/>
            <w:tcBorders>
              <w:top w:val="single" w:sz="4" w:space="0" w:color="000000"/>
              <w:left w:val="single" w:sz="4" w:space="0" w:color="000000"/>
              <w:bottom w:val="single" w:sz="4" w:space="0" w:color="000000"/>
              <w:right w:val="single" w:sz="4" w:space="0" w:color="000000"/>
            </w:tcBorders>
          </w:tcPr>
          <w:p w14:paraId="3A2D42CA" w14:textId="77777777" w:rsidR="00CF1CF8" w:rsidRDefault="00CF1CF8" w:rsidP="001E4256">
            <w:pPr>
              <w:jc w:val="center"/>
            </w:pPr>
            <w:r>
              <w:rPr>
                <w:rFonts w:ascii="Times New Roman" w:eastAsia="Times New Roman" w:hAnsi="Times New Roman" w:cs="Times New Roman"/>
              </w:rPr>
              <w:t>$1,120,000.00</w:t>
            </w:r>
          </w:p>
        </w:tc>
      </w:tr>
      <w:tr w:rsidR="00CF1CF8" w14:paraId="456CF4A7"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327D5555" w14:textId="77777777" w:rsidR="00CF1CF8" w:rsidRDefault="00CF1CF8" w:rsidP="001E4256">
            <w:r>
              <w:rPr>
                <w:rFonts w:ascii="Times New Roman" w:eastAsia="Times New Roman" w:hAnsi="Times New Roman" w:cs="Times New Roman"/>
              </w:rPr>
              <w:t>Flujos de remesas</w:t>
            </w:r>
          </w:p>
        </w:tc>
        <w:tc>
          <w:tcPr>
            <w:tcW w:w="1250" w:type="pct"/>
            <w:tcBorders>
              <w:top w:val="single" w:sz="4" w:space="0" w:color="000000"/>
              <w:left w:val="single" w:sz="4" w:space="0" w:color="000000"/>
              <w:bottom w:val="single" w:sz="4" w:space="0" w:color="000000"/>
              <w:right w:val="single" w:sz="4" w:space="0" w:color="000000"/>
            </w:tcBorders>
          </w:tcPr>
          <w:p w14:paraId="0D3F7207" w14:textId="77777777" w:rsidR="00CF1CF8" w:rsidRDefault="00CF1CF8" w:rsidP="001E4256">
            <w:pPr>
              <w:jc w:val="center"/>
            </w:pPr>
            <w:r>
              <w:rPr>
                <w:rFonts w:ascii="Times New Roman" w:eastAsia="Times New Roman" w:hAnsi="Times New Roman" w:cs="Times New Roman"/>
              </w:rPr>
              <w:t>90</w:t>
            </w:r>
          </w:p>
        </w:tc>
        <w:tc>
          <w:tcPr>
            <w:tcW w:w="1250" w:type="pct"/>
            <w:tcBorders>
              <w:top w:val="single" w:sz="4" w:space="0" w:color="000000"/>
              <w:left w:val="single" w:sz="4" w:space="0" w:color="000000"/>
              <w:bottom w:val="single" w:sz="4" w:space="0" w:color="000000"/>
              <w:right w:val="single" w:sz="4" w:space="0" w:color="000000"/>
            </w:tcBorders>
          </w:tcPr>
          <w:p w14:paraId="56062958" w14:textId="77777777" w:rsidR="00CF1CF8" w:rsidRDefault="00CF1CF8" w:rsidP="001E4256">
            <w:pPr>
              <w:jc w:val="center"/>
            </w:pPr>
            <w:r>
              <w:rPr>
                <w:rFonts w:ascii="Times New Roman" w:eastAsia="Times New Roman" w:hAnsi="Times New Roman" w:cs="Times New Roman"/>
              </w:rPr>
              <w:t>$2,140,000.00</w:t>
            </w:r>
          </w:p>
        </w:tc>
      </w:tr>
      <w:tr w:rsidR="00CF1CF8" w14:paraId="50BD0D58"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7FF282C8" w14:textId="77777777" w:rsidR="00CF1CF8" w:rsidRDefault="00CF1CF8" w:rsidP="001E4256">
            <w:r>
              <w:rPr>
                <w:rFonts w:ascii="Times New Roman" w:eastAsia="Times New Roman" w:hAnsi="Times New Roman" w:cs="Times New Roman"/>
              </w:rPr>
              <w:t>Rentas inmobiliarias</w:t>
            </w:r>
          </w:p>
        </w:tc>
        <w:tc>
          <w:tcPr>
            <w:tcW w:w="1250" w:type="pct"/>
            <w:tcBorders>
              <w:top w:val="single" w:sz="4" w:space="0" w:color="000000"/>
              <w:left w:val="single" w:sz="4" w:space="0" w:color="000000"/>
              <w:bottom w:val="single" w:sz="4" w:space="0" w:color="000000"/>
              <w:right w:val="single" w:sz="4" w:space="0" w:color="000000"/>
            </w:tcBorders>
          </w:tcPr>
          <w:p w14:paraId="159023E0" w14:textId="77777777" w:rsidR="00CF1CF8" w:rsidRDefault="00CF1CF8" w:rsidP="001E4256">
            <w:pPr>
              <w:jc w:val="center"/>
            </w:pPr>
            <w:r>
              <w:rPr>
                <w:rFonts w:ascii="Times New Roman" w:eastAsia="Times New Roman" w:hAnsi="Times New Roman" w:cs="Times New Roman"/>
              </w:rPr>
              <w:t>50</w:t>
            </w:r>
          </w:p>
        </w:tc>
        <w:tc>
          <w:tcPr>
            <w:tcW w:w="1250" w:type="pct"/>
            <w:tcBorders>
              <w:top w:val="single" w:sz="4" w:space="0" w:color="000000"/>
              <w:left w:val="single" w:sz="4" w:space="0" w:color="000000"/>
              <w:bottom w:val="single" w:sz="4" w:space="0" w:color="000000"/>
              <w:right w:val="single" w:sz="4" w:space="0" w:color="000000"/>
            </w:tcBorders>
          </w:tcPr>
          <w:p w14:paraId="55BD0D88" w14:textId="77777777" w:rsidR="00CF1CF8" w:rsidRDefault="00CF1CF8" w:rsidP="001E4256">
            <w:pPr>
              <w:jc w:val="center"/>
            </w:pPr>
            <w:r>
              <w:rPr>
                <w:rFonts w:ascii="Times New Roman" w:eastAsia="Times New Roman" w:hAnsi="Times New Roman" w:cs="Times New Roman"/>
              </w:rPr>
              <w:t>$800,000.00</w:t>
            </w:r>
          </w:p>
        </w:tc>
      </w:tr>
    </w:tbl>
    <w:p w14:paraId="7FB5DB3B" w14:textId="77777777" w:rsidR="00CF1CF8" w:rsidRDefault="00CF1CF8" w:rsidP="00CF1CF8">
      <w:pPr>
        <w:spacing w:before="200" w:after="200"/>
      </w:pPr>
      <w:r>
        <w:rPr>
          <w:rFonts w:ascii="Times New Roman" w:eastAsia="Times New Roman" w:hAnsi="Times New Roman" w:cs="Times New Roman"/>
          <w:b/>
          <w:bCs/>
          <w:sz w:val="26"/>
          <w:szCs w:val="26"/>
        </w:rPr>
        <w:t>Cobranza por originador</w:t>
      </w:r>
    </w:p>
    <w:p w14:paraId="7EA866B5" w14:textId="77777777" w:rsidR="00CF1CF8" w:rsidRDefault="00CF1CF8" w:rsidP="00CF1CF8">
      <w:pPr>
        <w:spacing w:after="200"/>
        <w:jc w:val="both"/>
      </w:pPr>
      <w:r>
        <w:rPr>
          <w:rFonts w:ascii="Times New Roman" w:eastAsia="Times New Roman" w:hAnsi="Times New Roman" w:cs="Times New Roman"/>
        </w:rPr>
        <w:t>A continuación, se presenta el monto cobrado y el número de movimientos por cada originador durante el 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4"/>
        <w:gridCol w:w="2207"/>
        <w:gridCol w:w="2207"/>
      </w:tblGrid>
      <w:tr w:rsidR="00CF1CF8" w14:paraId="2BE2F009"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1D792CC3" w14:textId="77777777" w:rsidR="00CF1CF8" w:rsidRDefault="00CF1CF8" w:rsidP="001E4256">
            <w:r>
              <w:rPr>
                <w:rFonts w:ascii="Times New Roman" w:eastAsia="Times New Roman" w:hAnsi="Times New Roman" w:cs="Times New Roman"/>
                <w:b/>
                <w:bCs/>
              </w:rPr>
              <w:t>Originador</w:t>
            </w:r>
          </w:p>
        </w:tc>
        <w:tc>
          <w:tcPr>
            <w:tcW w:w="1250" w:type="pct"/>
            <w:tcBorders>
              <w:top w:val="single" w:sz="4" w:space="0" w:color="000000"/>
              <w:left w:val="single" w:sz="4" w:space="0" w:color="000000"/>
              <w:bottom w:val="single" w:sz="4" w:space="0" w:color="000000"/>
              <w:right w:val="single" w:sz="4" w:space="0" w:color="000000"/>
            </w:tcBorders>
          </w:tcPr>
          <w:p w14:paraId="4CB6E3D2" w14:textId="77777777" w:rsidR="00CF1CF8" w:rsidRDefault="00CF1CF8" w:rsidP="001E4256">
            <w:pPr>
              <w:jc w:val="center"/>
            </w:pPr>
            <w:r>
              <w:rPr>
                <w:rFonts w:ascii="Times New Roman" w:eastAsia="Times New Roman" w:hAnsi="Times New Roman" w:cs="Times New Roman"/>
                <w:b/>
                <w:bCs/>
              </w:rPr>
              <w:t>Movimientos cobrados</w:t>
            </w:r>
          </w:p>
        </w:tc>
        <w:tc>
          <w:tcPr>
            <w:tcW w:w="1250" w:type="pct"/>
            <w:tcBorders>
              <w:top w:val="single" w:sz="4" w:space="0" w:color="000000"/>
              <w:left w:val="single" w:sz="4" w:space="0" w:color="000000"/>
              <w:bottom w:val="single" w:sz="4" w:space="0" w:color="000000"/>
              <w:right w:val="single" w:sz="4" w:space="0" w:color="000000"/>
            </w:tcBorders>
          </w:tcPr>
          <w:p w14:paraId="1F4EC4DC" w14:textId="77777777" w:rsidR="00CF1CF8" w:rsidRDefault="00CF1CF8" w:rsidP="001E4256">
            <w:pPr>
              <w:jc w:val="center"/>
            </w:pPr>
            <w:r>
              <w:rPr>
                <w:rFonts w:ascii="Times New Roman" w:eastAsia="Times New Roman" w:hAnsi="Times New Roman" w:cs="Times New Roman"/>
                <w:b/>
                <w:bCs/>
              </w:rPr>
              <w:t>Monto cobrado</w:t>
            </w:r>
          </w:p>
        </w:tc>
      </w:tr>
      <w:tr w:rsidR="00CF1CF8" w14:paraId="2BA97EE4"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3C1F4104" w14:textId="77777777" w:rsidR="00CF1CF8" w:rsidRDefault="00CF1CF8" w:rsidP="001E4256">
            <w:r>
              <w:rPr>
                <w:rFonts w:ascii="Times New Roman" w:eastAsia="Times New Roman" w:hAnsi="Times New Roman" w:cs="Times New Roman"/>
              </w:rPr>
              <w:t xml:space="preserve">Viva </w:t>
            </w:r>
            <w:proofErr w:type="spellStart"/>
            <w:r>
              <w:rPr>
                <w:rFonts w:ascii="Times New Roman" w:eastAsia="Times New Roman" w:hAnsi="Times New Roman" w:cs="Times New Roman"/>
              </w:rPr>
              <w:t>Outdoor</w:t>
            </w:r>
            <w:proofErr w:type="spellEnd"/>
          </w:p>
        </w:tc>
        <w:tc>
          <w:tcPr>
            <w:tcW w:w="1250" w:type="pct"/>
            <w:tcBorders>
              <w:top w:val="single" w:sz="4" w:space="0" w:color="000000"/>
              <w:left w:val="single" w:sz="4" w:space="0" w:color="000000"/>
              <w:bottom w:val="single" w:sz="4" w:space="0" w:color="000000"/>
              <w:right w:val="single" w:sz="4" w:space="0" w:color="000000"/>
            </w:tcBorders>
          </w:tcPr>
          <w:p w14:paraId="160E15B1" w14:textId="77777777" w:rsidR="00CF1CF8" w:rsidRDefault="00CF1CF8" w:rsidP="001E4256">
            <w:pPr>
              <w:jc w:val="center"/>
            </w:pPr>
            <w:r>
              <w:rPr>
                <w:rFonts w:ascii="Times New Roman" w:eastAsia="Times New Roman" w:hAnsi="Times New Roman" w:cs="Times New Roman"/>
              </w:rPr>
              <w:t>85</w:t>
            </w:r>
          </w:p>
        </w:tc>
        <w:tc>
          <w:tcPr>
            <w:tcW w:w="1250" w:type="pct"/>
            <w:tcBorders>
              <w:top w:val="single" w:sz="4" w:space="0" w:color="000000"/>
              <w:left w:val="single" w:sz="4" w:space="0" w:color="000000"/>
              <w:bottom w:val="single" w:sz="4" w:space="0" w:color="000000"/>
              <w:right w:val="single" w:sz="4" w:space="0" w:color="000000"/>
            </w:tcBorders>
          </w:tcPr>
          <w:p w14:paraId="3562D59C" w14:textId="77777777" w:rsidR="00CF1CF8" w:rsidRDefault="00CF1CF8" w:rsidP="001E4256">
            <w:pPr>
              <w:jc w:val="center"/>
            </w:pPr>
            <w:r>
              <w:rPr>
                <w:rFonts w:ascii="Times New Roman" w:eastAsia="Times New Roman" w:hAnsi="Times New Roman" w:cs="Times New Roman"/>
              </w:rPr>
              <w:t>$1,720,000.00</w:t>
            </w:r>
          </w:p>
        </w:tc>
      </w:tr>
      <w:tr w:rsidR="00CF1CF8" w14:paraId="193C9AB2"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2075B3AB" w14:textId="77777777" w:rsidR="00CF1CF8" w:rsidRDefault="00CF1CF8" w:rsidP="001E4256">
            <w:r>
              <w:rPr>
                <w:rFonts w:ascii="Times New Roman" w:eastAsia="Times New Roman" w:hAnsi="Times New Roman" w:cs="Times New Roman"/>
              </w:rPr>
              <w:t>Grupo Simco</w:t>
            </w:r>
          </w:p>
        </w:tc>
        <w:tc>
          <w:tcPr>
            <w:tcW w:w="1250" w:type="pct"/>
            <w:tcBorders>
              <w:top w:val="single" w:sz="4" w:space="0" w:color="000000"/>
              <w:left w:val="single" w:sz="4" w:space="0" w:color="000000"/>
              <w:bottom w:val="single" w:sz="4" w:space="0" w:color="000000"/>
              <w:right w:val="single" w:sz="4" w:space="0" w:color="000000"/>
            </w:tcBorders>
          </w:tcPr>
          <w:p w14:paraId="5E7A5B7F" w14:textId="77777777" w:rsidR="00CF1CF8" w:rsidRDefault="00CF1CF8" w:rsidP="001E4256">
            <w:pPr>
              <w:jc w:val="center"/>
            </w:pPr>
            <w:r>
              <w:rPr>
                <w:rFonts w:ascii="Times New Roman" w:eastAsia="Times New Roman" w:hAnsi="Times New Roman" w:cs="Times New Roman"/>
              </w:rPr>
              <w:t>55</w:t>
            </w:r>
          </w:p>
        </w:tc>
        <w:tc>
          <w:tcPr>
            <w:tcW w:w="1250" w:type="pct"/>
            <w:tcBorders>
              <w:top w:val="single" w:sz="4" w:space="0" w:color="000000"/>
              <w:left w:val="single" w:sz="4" w:space="0" w:color="000000"/>
              <w:bottom w:val="single" w:sz="4" w:space="0" w:color="000000"/>
              <w:right w:val="single" w:sz="4" w:space="0" w:color="000000"/>
            </w:tcBorders>
          </w:tcPr>
          <w:p w14:paraId="1714EFB4" w14:textId="77777777" w:rsidR="00CF1CF8" w:rsidRDefault="00CF1CF8" w:rsidP="001E4256">
            <w:pPr>
              <w:jc w:val="center"/>
            </w:pPr>
            <w:r>
              <w:rPr>
                <w:rFonts w:ascii="Times New Roman" w:eastAsia="Times New Roman" w:hAnsi="Times New Roman" w:cs="Times New Roman"/>
              </w:rPr>
              <w:t>$1,340,000.00</w:t>
            </w:r>
          </w:p>
        </w:tc>
      </w:tr>
      <w:tr w:rsidR="00CF1CF8" w14:paraId="11D8330B"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45074B06" w14:textId="77777777" w:rsidR="00CF1CF8" w:rsidRDefault="00CF1CF8" w:rsidP="001E4256">
            <w:r>
              <w:rPr>
                <w:rFonts w:ascii="Times New Roman" w:eastAsia="Times New Roman" w:hAnsi="Times New Roman" w:cs="Times New Roman"/>
              </w:rPr>
              <w:t>Caja de Crédito de Sonsonate</w:t>
            </w:r>
          </w:p>
        </w:tc>
        <w:tc>
          <w:tcPr>
            <w:tcW w:w="1250" w:type="pct"/>
            <w:tcBorders>
              <w:top w:val="single" w:sz="4" w:space="0" w:color="000000"/>
              <w:left w:val="single" w:sz="4" w:space="0" w:color="000000"/>
              <w:bottom w:val="single" w:sz="4" w:space="0" w:color="000000"/>
              <w:right w:val="single" w:sz="4" w:space="0" w:color="000000"/>
            </w:tcBorders>
          </w:tcPr>
          <w:p w14:paraId="43D5ED09" w14:textId="77777777" w:rsidR="00CF1CF8" w:rsidRDefault="00CF1CF8" w:rsidP="001E4256">
            <w:pPr>
              <w:jc w:val="center"/>
            </w:pPr>
            <w:r>
              <w:rPr>
                <w:rFonts w:ascii="Times New Roman" w:eastAsia="Times New Roman" w:hAnsi="Times New Roman" w:cs="Times New Roman"/>
              </w:rPr>
              <w:t>60</w:t>
            </w:r>
          </w:p>
        </w:tc>
        <w:tc>
          <w:tcPr>
            <w:tcW w:w="1250" w:type="pct"/>
            <w:tcBorders>
              <w:top w:val="single" w:sz="4" w:space="0" w:color="000000"/>
              <w:left w:val="single" w:sz="4" w:space="0" w:color="000000"/>
              <w:bottom w:val="single" w:sz="4" w:space="0" w:color="000000"/>
              <w:right w:val="single" w:sz="4" w:space="0" w:color="000000"/>
            </w:tcBorders>
          </w:tcPr>
          <w:p w14:paraId="00F35388" w14:textId="77777777" w:rsidR="00CF1CF8" w:rsidRDefault="00CF1CF8" w:rsidP="001E4256">
            <w:pPr>
              <w:jc w:val="center"/>
            </w:pPr>
            <w:r>
              <w:rPr>
                <w:rFonts w:ascii="Times New Roman" w:eastAsia="Times New Roman" w:hAnsi="Times New Roman" w:cs="Times New Roman"/>
              </w:rPr>
              <w:t>$1,180,000.00</w:t>
            </w:r>
          </w:p>
        </w:tc>
      </w:tr>
      <w:tr w:rsidR="00CF1CF8" w14:paraId="604A58D8"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2E2AEE09" w14:textId="77777777" w:rsidR="00CF1CF8" w:rsidRDefault="00CF1CF8" w:rsidP="001E4256">
            <w:r>
              <w:rPr>
                <w:rFonts w:ascii="Times New Roman" w:eastAsia="Times New Roman" w:hAnsi="Times New Roman" w:cs="Times New Roman"/>
              </w:rPr>
              <w:t>Banco Azteca El Salvador</w:t>
            </w:r>
          </w:p>
        </w:tc>
        <w:tc>
          <w:tcPr>
            <w:tcW w:w="1250" w:type="pct"/>
            <w:tcBorders>
              <w:top w:val="single" w:sz="4" w:space="0" w:color="000000"/>
              <w:left w:val="single" w:sz="4" w:space="0" w:color="000000"/>
              <w:bottom w:val="single" w:sz="4" w:space="0" w:color="000000"/>
              <w:right w:val="single" w:sz="4" w:space="0" w:color="000000"/>
            </w:tcBorders>
          </w:tcPr>
          <w:p w14:paraId="3FFAA7B9" w14:textId="77777777" w:rsidR="00CF1CF8" w:rsidRDefault="00CF1CF8" w:rsidP="001E4256">
            <w:pPr>
              <w:jc w:val="center"/>
            </w:pPr>
            <w:r>
              <w:rPr>
                <w:rFonts w:ascii="Times New Roman" w:eastAsia="Times New Roman" w:hAnsi="Times New Roman" w:cs="Times New Roman"/>
              </w:rPr>
              <w:t>50</w:t>
            </w:r>
          </w:p>
        </w:tc>
        <w:tc>
          <w:tcPr>
            <w:tcW w:w="1250" w:type="pct"/>
            <w:tcBorders>
              <w:top w:val="single" w:sz="4" w:space="0" w:color="000000"/>
              <w:left w:val="single" w:sz="4" w:space="0" w:color="000000"/>
              <w:bottom w:val="single" w:sz="4" w:space="0" w:color="000000"/>
              <w:right w:val="single" w:sz="4" w:space="0" w:color="000000"/>
            </w:tcBorders>
          </w:tcPr>
          <w:p w14:paraId="0E013B3D" w14:textId="77777777" w:rsidR="00CF1CF8" w:rsidRDefault="00CF1CF8" w:rsidP="001E4256">
            <w:pPr>
              <w:jc w:val="center"/>
            </w:pPr>
            <w:r>
              <w:rPr>
                <w:rFonts w:ascii="Times New Roman" w:eastAsia="Times New Roman" w:hAnsi="Times New Roman" w:cs="Times New Roman"/>
              </w:rPr>
              <w:t>$1,050,000.00</w:t>
            </w:r>
          </w:p>
        </w:tc>
      </w:tr>
      <w:tr w:rsidR="00CF1CF8" w14:paraId="57EFFD70"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1F3F2D76" w14:textId="77777777" w:rsidR="00CF1CF8" w:rsidRDefault="00CF1CF8" w:rsidP="001E4256">
            <w:r>
              <w:rPr>
                <w:rFonts w:ascii="Times New Roman" w:eastAsia="Times New Roman" w:hAnsi="Times New Roman" w:cs="Times New Roman"/>
              </w:rPr>
              <w:t>Grupo Roble</w:t>
            </w:r>
          </w:p>
        </w:tc>
        <w:tc>
          <w:tcPr>
            <w:tcW w:w="1250" w:type="pct"/>
            <w:tcBorders>
              <w:top w:val="single" w:sz="4" w:space="0" w:color="000000"/>
              <w:left w:val="single" w:sz="4" w:space="0" w:color="000000"/>
              <w:bottom w:val="single" w:sz="4" w:space="0" w:color="000000"/>
              <w:right w:val="single" w:sz="4" w:space="0" w:color="000000"/>
            </w:tcBorders>
          </w:tcPr>
          <w:p w14:paraId="55BFDD49" w14:textId="77777777" w:rsidR="00CF1CF8" w:rsidRDefault="00CF1CF8" w:rsidP="001E4256">
            <w:pPr>
              <w:jc w:val="center"/>
            </w:pPr>
            <w:r>
              <w:rPr>
                <w:rFonts w:ascii="Times New Roman" w:eastAsia="Times New Roman" w:hAnsi="Times New Roman" w:cs="Times New Roman"/>
              </w:rPr>
              <w:t>35</w:t>
            </w:r>
          </w:p>
        </w:tc>
        <w:tc>
          <w:tcPr>
            <w:tcW w:w="1250" w:type="pct"/>
            <w:tcBorders>
              <w:top w:val="single" w:sz="4" w:space="0" w:color="000000"/>
              <w:left w:val="single" w:sz="4" w:space="0" w:color="000000"/>
              <w:bottom w:val="single" w:sz="4" w:space="0" w:color="000000"/>
              <w:right w:val="single" w:sz="4" w:space="0" w:color="000000"/>
            </w:tcBorders>
          </w:tcPr>
          <w:p w14:paraId="3C99160E" w14:textId="77777777" w:rsidR="00CF1CF8" w:rsidRDefault="00CF1CF8" w:rsidP="001E4256">
            <w:pPr>
              <w:jc w:val="center"/>
            </w:pPr>
            <w:r>
              <w:rPr>
                <w:rFonts w:ascii="Times New Roman" w:eastAsia="Times New Roman" w:hAnsi="Times New Roman" w:cs="Times New Roman"/>
              </w:rPr>
              <w:t>$890,000.00</w:t>
            </w:r>
          </w:p>
        </w:tc>
      </w:tr>
      <w:tr w:rsidR="00CF1CF8" w14:paraId="1433D9D0"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2CDA902C" w14:textId="77777777" w:rsidR="00CF1CF8" w:rsidRDefault="00CF1CF8" w:rsidP="001E4256">
            <w:r>
              <w:rPr>
                <w:rFonts w:ascii="Times New Roman" w:eastAsia="Times New Roman" w:hAnsi="Times New Roman" w:cs="Times New Roman"/>
              </w:rPr>
              <w:lastRenderedPageBreak/>
              <w:t>Inmobiliaria Santa Elena</w:t>
            </w:r>
          </w:p>
        </w:tc>
        <w:tc>
          <w:tcPr>
            <w:tcW w:w="1250" w:type="pct"/>
            <w:tcBorders>
              <w:top w:val="single" w:sz="4" w:space="0" w:color="000000"/>
              <w:left w:val="single" w:sz="4" w:space="0" w:color="000000"/>
              <w:bottom w:val="single" w:sz="4" w:space="0" w:color="000000"/>
              <w:right w:val="single" w:sz="4" w:space="0" w:color="000000"/>
            </w:tcBorders>
          </w:tcPr>
          <w:p w14:paraId="57D9C3B2" w14:textId="77777777" w:rsidR="00CF1CF8" w:rsidRDefault="00CF1CF8" w:rsidP="001E4256">
            <w:pPr>
              <w:jc w:val="center"/>
            </w:pPr>
            <w:r>
              <w:rPr>
                <w:rFonts w:ascii="Times New Roman" w:eastAsia="Times New Roman" w:hAnsi="Times New Roman" w:cs="Times New Roman"/>
              </w:rPr>
              <w:t>40</w:t>
            </w:r>
          </w:p>
        </w:tc>
        <w:tc>
          <w:tcPr>
            <w:tcW w:w="1250" w:type="pct"/>
            <w:tcBorders>
              <w:top w:val="single" w:sz="4" w:space="0" w:color="000000"/>
              <w:left w:val="single" w:sz="4" w:space="0" w:color="000000"/>
              <w:bottom w:val="single" w:sz="4" w:space="0" w:color="000000"/>
              <w:right w:val="single" w:sz="4" w:space="0" w:color="000000"/>
            </w:tcBorders>
          </w:tcPr>
          <w:p w14:paraId="58356A17" w14:textId="77777777" w:rsidR="00CF1CF8" w:rsidRDefault="00CF1CF8" w:rsidP="001E4256">
            <w:pPr>
              <w:jc w:val="center"/>
            </w:pPr>
            <w:r>
              <w:rPr>
                <w:rFonts w:ascii="Times New Roman" w:eastAsia="Times New Roman" w:hAnsi="Times New Roman" w:cs="Times New Roman"/>
              </w:rPr>
              <w:t>$860,000.00</w:t>
            </w:r>
          </w:p>
        </w:tc>
      </w:tr>
      <w:tr w:rsidR="00CF1CF8" w14:paraId="093829B7"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2437B1CB" w14:textId="77777777" w:rsidR="00CF1CF8" w:rsidRDefault="00CF1CF8" w:rsidP="001E4256">
            <w:r>
              <w:rPr>
                <w:rFonts w:ascii="Times New Roman" w:eastAsia="Times New Roman" w:hAnsi="Times New Roman" w:cs="Times New Roman"/>
              </w:rPr>
              <w:t>Plaza Mundo Apopa</w:t>
            </w:r>
          </w:p>
        </w:tc>
        <w:tc>
          <w:tcPr>
            <w:tcW w:w="1250" w:type="pct"/>
            <w:tcBorders>
              <w:top w:val="single" w:sz="4" w:space="0" w:color="000000"/>
              <w:left w:val="single" w:sz="4" w:space="0" w:color="000000"/>
              <w:bottom w:val="single" w:sz="4" w:space="0" w:color="000000"/>
              <w:right w:val="single" w:sz="4" w:space="0" w:color="000000"/>
            </w:tcBorders>
          </w:tcPr>
          <w:p w14:paraId="07AC7930" w14:textId="77777777" w:rsidR="00CF1CF8" w:rsidRDefault="00CF1CF8" w:rsidP="001E4256">
            <w:pPr>
              <w:jc w:val="center"/>
            </w:pPr>
            <w:r>
              <w:rPr>
                <w:rFonts w:ascii="Times New Roman" w:eastAsia="Times New Roman" w:hAnsi="Times New Roman" w:cs="Times New Roman"/>
              </w:rPr>
              <w:t>35</w:t>
            </w:r>
          </w:p>
        </w:tc>
        <w:tc>
          <w:tcPr>
            <w:tcW w:w="1250" w:type="pct"/>
            <w:tcBorders>
              <w:top w:val="single" w:sz="4" w:space="0" w:color="000000"/>
              <w:left w:val="single" w:sz="4" w:space="0" w:color="000000"/>
              <w:bottom w:val="single" w:sz="4" w:space="0" w:color="000000"/>
              <w:right w:val="single" w:sz="4" w:space="0" w:color="000000"/>
            </w:tcBorders>
          </w:tcPr>
          <w:p w14:paraId="7EB1E201" w14:textId="77777777" w:rsidR="00CF1CF8" w:rsidRDefault="00CF1CF8" w:rsidP="001E4256">
            <w:pPr>
              <w:jc w:val="center"/>
            </w:pPr>
            <w:r>
              <w:rPr>
                <w:rFonts w:ascii="Times New Roman" w:eastAsia="Times New Roman" w:hAnsi="Times New Roman" w:cs="Times New Roman"/>
              </w:rPr>
              <w:t>$780,000.00</w:t>
            </w:r>
          </w:p>
        </w:tc>
      </w:tr>
      <w:tr w:rsidR="00CF1CF8" w14:paraId="5CD364F0"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4AA513F1" w14:textId="77777777" w:rsidR="00CF1CF8" w:rsidRDefault="00CF1CF8" w:rsidP="001E4256">
            <w:r>
              <w:rPr>
                <w:rFonts w:ascii="Times New Roman" w:eastAsia="Times New Roman" w:hAnsi="Times New Roman" w:cs="Times New Roman"/>
              </w:rPr>
              <w:t>Cooperativa ACACYPAC</w:t>
            </w:r>
          </w:p>
        </w:tc>
        <w:tc>
          <w:tcPr>
            <w:tcW w:w="1250" w:type="pct"/>
            <w:tcBorders>
              <w:top w:val="single" w:sz="4" w:space="0" w:color="000000"/>
              <w:left w:val="single" w:sz="4" w:space="0" w:color="000000"/>
              <w:bottom w:val="single" w:sz="4" w:space="0" w:color="000000"/>
              <w:right w:val="single" w:sz="4" w:space="0" w:color="000000"/>
            </w:tcBorders>
          </w:tcPr>
          <w:p w14:paraId="39FAE2D0" w14:textId="77777777" w:rsidR="00CF1CF8" w:rsidRDefault="00CF1CF8" w:rsidP="001E4256">
            <w:pPr>
              <w:jc w:val="center"/>
            </w:pPr>
            <w:r>
              <w:rPr>
                <w:rFonts w:ascii="Times New Roman" w:eastAsia="Times New Roman" w:hAnsi="Times New Roman" w:cs="Times New Roman"/>
              </w:rPr>
              <w:t>30</w:t>
            </w:r>
          </w:p>
        </w:tc>
        <w:tc>
          <w:tcPr>
            <w:tcW w:w="1250" w:type="pct"/>
            <w:tcBorders>
              <w:top w:val="single" w:sz="4" w:space="0" w:color="000000"/>
              <w:left w:val="single" w:sz="4" w:space="0" w:color="000000"/>
              <w:bottom w:val="single" w:sz="4" w:space="0" w:color="000000"/>
              <w:right w:val="single" w:sz="4" w:space="0" w:color="000000"/>
            </w:tcBorders>
          </w:tcPr>
          <w:p w14:paraId="68DC0C5E" w14:textId="77777777" w:rsidR="00CF1CF8" w:rsidRDefault="00CF1CF8" w:rsidP="001E4256">
            <w:pPr>
              <w:jc w:val="center"/>
            </w:pPr>
            <w:r>
              <w:rPr>
                <w:rFonts w:ascii="Times New Roman" w:eastAsia="Times New Roman" w:hAnsi="Times New Roman" w:cs="Times New Roman"/>
              </w:rPr>
              <w:t>$650,000.00</w:t>
            </w:r>
          </w:p>
        </w:tc>
      </w:tr>
      <w:tr w:rsidR="00CF1CF8" w14:paraId="41C04920"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34D42F84" w14:textId="77777777" w:rsidR="00CF1CF8" w:rsidRDefault="00CF1CF8" w:rsidP="001E4256">
            <w:r>
              <w:rPr>
                <w:rFonts w:ascii="Times New Roman" w:eastAsia="Times New Roman" w:hAnsi="Times New Roman" w:cs="Times New Roman"/>
              </w:rPr>
              <w:t>Distribuidoras Grupo Zablah</w:t>
            </w:r>
          </w:p>
        </w:tc>
        <w:tc>
          <w:tcPr>
            <w:tcW w:w="1250" w:type="pct"/>
            <w:tcBorders>
              <w:top w:val="single" w:sz="4" w:space="0" w:color="000000"/>
              <w:left w:val="single" w:sz="4" w:space="0" w:color="000000"/>
              <w:bottom w:val="single" w:sz="4" w:space="0" w:color="000000"/>
              <w:right w:val="single" w:sz="4" w:space="0" w:color="000000"/>
            </w:tcBorders>
          </w:tcPr>
          <w:p w14:paraId="4B2FBD1C" w14:textId="77777777" w:rsidR="00CF1CF8" w:rsidRDefault="00CF1CF8" w:rsidP="001E4256">
            <w:pPr>
              <w:jc w:val="center"/>
            </w:pPr>
            <w:r>
              <w:rPr>
                <w:rFonts w:ascii="Times New Roman" w:eastAsia="Times New Roman" w:hAnsi="Times New Roman" w:cs="Times New Roman"/>
              </w:rPr>
              <w:t>20</w:t>
            </w:r>
          </w:p>
        </w:tc>
        <w:tc>
          <w:tcPr>
            <w:tcW w:w="1250" w:type="pct"/>
            <w:tcBorders>
              <w:top w:val="single" w:sz="4" w:space="0" w:color="000000"/>
              <w:left w:val="single" w:sz="4" w:space="0" w:color="000000"/>
              <w:bottom w:val="single" w:sz="4" w:space="0" w:color="000000"/>
              <w:right w:val="single" w:sz="4" w:space="0" w:color="000000"/>
            </w:tcBorders>
          </w:tcPr>
          <w:p w14:paraId="0176B311" w14:textId="77777777" w:rsidR="00CF1CF8" w:rsidRDefault="00CF1CF8" w:rsidP="001E4256">
            <w:pPr>
              <w:jc w:val="center"/>
            </w:pPr>
            <w:r>
              <w:rPr>
                <w:rFonts w:ascii="Times New Roman" w:eastAsia="Times New Roman" w:hAnsi="Times New Roman" w:cs="Times New Roman"/>
              </w:rPr>
              <w:t>$480,000.00</w:t>
            </w:r>
          </w:p>
        </w:tc>
      </w:tr>
      <w:tr w:rsidR="00CF1CF8" w14:paraId="3DEC3A7D"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08C22214" w14:textId="77777777" w:rsidR="00CF1CF8" w:rsidRDefault="00CF1CF8" w:rsidP="001E4256">
            <w:r>
              <w:rPr>
                <w:rFonts w:ascii="Times New Roman" w:eastAsia="Times New Roman" w:hAnsi="Times New Roman" w:cs="Times New Roman"/>
              </w:rPr>
              <w:t>Caja de Crédito de San Vicente</w:t>
            </w:r>
          </w:p>
        </w:tc>
        <w:tc>
          <w:tcPr>
            <w:tcW w:w="1250" w:type="pct"/>
            <w:tcBorders>
              <w:top w:val="single" w:sz="4" w:space="0" w:color="000000"/>
              <w:left w:val="single" w:sz="4" w:space="0" w:color="000000"/>
              <w:bottom w:val="single" w:sz="4" w:space="0" w:color="000000"/>
              <w:right w:val="single" w:sz="4" w:space="0" w:color="000000"/>
            </w:tcBorders>
          </w:tcPr>
          <w:p w14:paraId="1AA202DA" w14:textId="77777777" w:rsidR="00CF1CF8" w:rsidRDefault="00CF1CF8" w:rsidP="001E4256">
            <w:pPr>
              <w:jc w:val="center"/>
            </w:pPr>
            <w:r>
              <w:rPr>
                <w:rFonts w:ascii="Times New Roman" w:eastAsia="Times New Roman" w:hAnsi="Times New Roman" w:cs="Times New Roman"/>
              </w:rPr>
              <w:t>20</w:t>
            </w:r>
          </w:p>
        </w:tc>
        <w:tc>
          <w:tcPr>
            <w:tcW w:w="1250" w:type="pct"/>
            <w:tcBorders>
              <w:top w:val="single" w:sz="4" w:space="0" w:color="000000"/>
              <w:left w:val="single" w:sz="4" w:space="0" w:color="000000"/>
              <w:bottom w:val="single" w:sz="4" w:space="0" w:color="000000"/>
              <w:right w:val="single" w:sz="4" w:space="0" w:color="000000"/>
            </w:tcBorders>
          </w:tcPr>
          <w:p w14:paraId="545437C4" w14:textId="77777777" w:rsidR="00CF1CF8" w:rsidRDefault="00CF1CF8" w:rsidP="001E4256">
            <w:pPr>
              <w:jc w:val="center"/>
            </w:pPr>
            <w:r>
              <w:rPr>
                <w:rFonts w:ascii="Times New Roman" w:eastAsia="Times New Roman" w:hAnsi="Times New Roman" w:cs="Times New Roman"/>
              </w:rPr>
              <w:t>$460,000.00</w:t>
            </w:r>
          </w:p>
        </w:tc>
      </w:tr>
      <w:tr w:rsidR="00CF1CF8" w14:paraId="00039291"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2A8C908C" w14:textId="77777777" w:rsidR="00CF1CF8" w:rsidRDefault="00CF1CF8" w:rsidP="001E4256">
            <w:r>
              <w:rPr>
                <w:rFonts w:ascii="Times New Roman" w:eastAsia="Times New Roman" w:hAnsi="Times New Roman" w:cs="Times New Roman"/>
              </w:rPr>
              <w:t>Hotel Decameron</w:t>
            </w:r>
          </w:p>
        </w:tc>
        <w:tc>
          <w:tcPr>
            <w:tcW w:w="1250" w:type="pct"/>
            <w:tcBorders>
              <w:top w:val="single" w:sz="4" w:space="0" w:color="000000"/>
              <w:left w:val="single" w:sz="4" w:space="0" w:color="000000"/>
              <w:bottom w:val="single" w:sz="4" w:space="0" w:color="000000"/>
              <w:right w:val="single" w:sz="4" w:space="0" w:color="000000"/>
            </w:tcBorders>
          </w:tcPr>
          <w:p w14:paraId="6D921B1B" w14:textId="77777777" w:rsidR="00CF1CF8" w:rsidRDefault="00CF1CF8" w:rsidP="001E4256">
            <w:pPr>
              <w:jc w:val="center"/>
            </w:pPr>
            <w:r>
              <w:rPr>
                <w:rFonts w:ascii="Times New Roman" w:eastAsia="Times New Roman" w:hAnsi="Times New Roman" w:cs="Times New Roman"/>
              </w:rPr>
              <w:t>20</w:t>
            </w:r>
          </w:p>
        </w:tc>
        <w:tc>
          <w:tcPr>
            <w:tcW w:w="1250" w:type="pct"/>
            <w:tcBorders>
              <w:top w:val="single" w:sz="4" w:space="0" w:color="000000"/>
              <w:left w:val="single" w:sz="4" w:space="0" w:color="000000"/>
              <w:bottom w:val="single" w:sz="4" w:space="0" w:color="000000"/>
              <w:right w:val="single" w:sz="4" w:space="0" w:color="000000"/>
            </w:tcBorders>
          </w:tcPr>
          <w:p w14:paraId="1926C941" w14:textId="77777777" w:rsidR="00CF1CF8" w:rsidRDefault="00CF1CF8" w:rsidP="001E4256">
            <w:pPr>
              <w:jc w:val="center"/>
            </w:pPr>
            <w:r>
              <w:rPr>
                <w:rFonts w:ascii="Times New Roman" w:eastAsia="Times New Roman" w:hAnsi="Times New Roman" w:cs="Times New Roman"/>
              </w:rPr>
              <w:t>$420,000.00</w:t>
            </w:r>
          </w:p>
        </w:tc>
      </w:tr>
      <w:tr w:rsidR="00CF1CF8" w14:paraId="56DD00D5"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241A70E3" w14:textId="77777777" w:rsidR="00CF1CF8" w:rsidRDefault="00CF1CF8" w:rsidP="001E4256">
            <w:r>
              <w:rPr>
                <w:rFonts w:ascii="Times New Roman" w:eastAsia="Times New Roman" w:hAnsi="Times New Roman" w:cs="Times New Roman"/>
              </w:rPr>
              <w:t>Constructora Cuscatlán</w:t>
            </w:r>
          </w:p>
        </w:tc>
        <w:tc>
          <w:tcPr>
            <w:tcW w:w="1250" w:type="pct"/>
            <w:tcBorders>
              <w:top w:val="single" w:sz="4" w:space="0" w:color="000000"/>
              <w:left w:val="single" w:sz="4" w:space="0" w:color="000000"/>
              <w:bottom w:val="single" w:sz="4" w:space="0" w:color="000000"/>
              <w:right w:val="single" w:sz="4" w:space="0" w:color="000000"/>
            </w:tcBorders>
          </w:tcPr>
          <w:p w14:paraId="25696E63" w14:textId="77777777" w:rsidR="00CF1CF8" w:rsidRDefault="00CF1CF8" w:rsidP="001E4256">
            <w:pPr>
              <w:jc w:val="center"/>
            </w:pPr>
            <w:r>
              <w:rPr>
                <w:rFonts w:ascii="Times New Roman" w:eastAsia="Times New Roman" w:hAnsi="Times New Roman" w:cs="Times New Roman"/>
              </w:rPr>
              <w:t>18</w:t>
            </w:r>
          </w:p>
        </w:tc>
        <w:tc>
          <w:tcPr>
            <w:tcW w:w="1250" w:type="pct"/>
            <w:tcBorders>
              <w:top w:val="single" w:sz="4" w:space="0" w:color="000000"/>
              <w:left w:val="single" w:sz="4" w:space="0" w:color="000000"/>
              <w:bottom w:val="single" w:sz="4" w:space="0" w:color="000000"/>
              <w:right w:val="single" w:sz="4" w:space="0" w:color="000000"/>
            </w:tcBorders>
          </w:tcPr>
          <w:p w14:paraId="58BC9CEC" w14:textId="77777777" w:rsidR="00CF1CF8" w:rsidRDefault="00CF1CF8" w:rsidP="001E4256">
            <w:pPr>
              <w:jc w:val="center"/>
            </w:pPr>
            <w:r>
              <w:rPr>
                <w:rFonts w:ascii="Times New Roman" w:eastAsia="Times New Roman" w:hAnsi="Times New Roman" w:cs="Times New Roman"/>
              </w:rPr>
              <w:t>$380,000.00</w:t>
            </w:r>
          </w:p>
        </w:tc>
      </w:tr>
      <w:tr w:rsidR="00CF1CF8" w14:paraId="48CF7C25" w14:textId="77777777" w:rsidTr="001E4256">
        <w:tc>
          <w:tcPr>
            <w:tcW w:w="2500" w:type="pct"/>
            <w:tcBorders>
              <w:top w:val="single" w:sz="4" w:space="0" w:color="000000"/>
              <w:left w:val="single" w:sz="4" w:space="0" w:color="000000"/>
              <w:bottom w:val="single" w:sz="4" w:space="0" w:color="000000"/>
              <w:right w:val="single" w:sz="4" w:space="0" w:color="000000"/>
            </w:tcBorders>
          </w:tcPr>
          <w:p w14:paraId="7775CD88" w14:textId="77777777" w:rsidR="00CF1CF8" w:rsidRDefault="00CF1CF8" w:rsidP="001E4256">
            <w:r>
              <w:rPr>
                <w:rFonts w:ascii="Times New Roman" w:eastAsia="Times New Roman" w:hAnsi="Times New Roman" w:cs="Times New Roman"/>
              </w:rPr>
              <w:t>Cooperativa ACACSEMERSA</w:t>
            </w:r>
          </w:p>
        </w:tc>
        <w:tc>
          <w:tcPr>
            <w:tcW w:w="1250" w:type="pct"/>
            <w:tcBorders>
              <w:top w:val="single" w:sz="4" w:space="0" w:color="000000"/>
              <w:left w:val="single" w:sz="4" w:space="0" w:color="000000"/>
              <w:bottom w:val="single" w:sz="4" w:space="0" w:color="000000"/>
              <w:right w:val="single" w:sz="4" w:space="0" w:color="000000"/>
            </w:tcBorders>
          </w:tcPr>
          <w:p w14:paraId="7D5AD8A8" w14:textId="77777777" w:rsidR="00CF1CF8" w:rsidRDefault="00CF1CF8" w:rsidP="001E4256">
            <w:pPr>
              <w:jc w:val="center"/>
            </w:pPr>
            <w:r>
              <w:rPr>
                <w:rFonts w:ascii="Times New Roman" w:eastAsia="Times New Roman" w:hAnsi="Times New Roman" w:cs="Times New Roman"/>
              </w:rPr>
              <w:t>12</w:t>
            </w:r>
          </w:p>
        </w:tc>
        <w:tc>
          <w:tcPr>
            <w:tcW w:w="1250" w:type="pct"/>
            <w:tcBorders>
              <w:top w:val="single" w:sz="4" w:space="0" w:color="000000"/>
              <w:left w:val="single" w:sz="4" w:space="0" w:color="000000"/>
              <w:bottom w:val="single" w:sz="4" w:space="0" w:color="000000"/>
              <w:right w:val="single" w:sz="4" w:space="0" w:color="000000"/>
            </w:tcBorders>
          </w:tcPr>
          <w:p w14:paraId="2136A7C9" w14:textId="77777777" w:rsidR="00CF1CF8" w:rsidRDefault="00CF1CF8" w:rsidP="001E4256">
            <w:pPr>
              <w:jc w:val="center"/>
            </w:pPr>
            <w:r>
              <w:rPr>
                <w:rFonts w:ascii="Times New Roman" w:eastAsia="Times New Roman" w:hAnsi="Times New Roman" w:cs="Times New Roman"/>
              </w:rPr>
              <w:t>$270,000.00</w:t>
            </w:r>
          </w:p>
        </w:tc>
      </w:tr>
    </w:tbl>
    <w:p w14:paraId="5ADA8523" w14:textId="77777777" w:rsidR="00CF1CF8" w:rsidRDefault="00CF1CF8" w:rsidP="00CF1CF8">
      <w:pPr>
        <w:spacing w:before="200" w:after="200"/>
      </w:pPr>
      <w:r>
        <w:rPr>
          <w:rFonts w:ascii="Times New Roman" w:eastAsia="Times New Roman" w:hAnsi="Times New Roman" w:cs="Times New Roman"/>
          <w:b/>
          <w:bCs/>
          <w:sz w:val="26"/>
          <w:szCs w:val="26"/>
        </w:rPr>
        <w:t>Hallazgos y recomendaciones</w:t>
      </w:r>
    </w:p>
    <w:p w14:paraId="0C32668F" w14:textId="77777777" w:rsidR="00CF1CF8" w:rsidRDefault="00CF1CF8" w:rsidP="00CF1CF8">
      <w:pPr>
        <w:spacing w:before="200" w:after="200"/>
      </w:pPr>
      <w:r>
        <w:rPr>
          <w:rFonts w:ascii="Times New Roman" w:eastAsia="Times New Roman" w:hAnsi="Times New Roman" w:cs="Times New Roman"/>
          <w:b/>
          <w:bCs/>
        </w:rPr>
        <w:t>Hallazgos del periodo.</w:t>
      </w:r>
    </w:p>
    <w:p w14:paraId="0495436F" w14:textId="77777777" w:rsidR="00CF1CF8" w:rsidRDefault="00CF1CF8" w:rsidP="00CF1CF8">
      <w:pPr>
        <w:spacing w:after="200"/>
        <w:jc w:val="both"/>
      </w:pPr>
      <w:r>
        <w:rPr>
          <w:rFonts w:ascii="Times New Roman" w:eastAsia="Times New Roman" w:hAnsi="Times New Roman" w:cs="Times New Roman"/>
        </w:rPr>
        <w:t>1. Cuentas por cobrar comerciales y Flujos de remesas concentraron en conjunto cerca del 48% del monto cobrado del mes, mientras que Rentas inmobiliarias tuvo la participación más baja del periodo.</w:t>
      </w:r>
    </w:p>
    <w:p w14:paraId="6D48B7BD" w14:textId="77777777" w:rsidR="00CF1CF8" w:rsidRDefault="00CF1CF8" w:rsidP="00CF1CF8">
      <w:pPr>
        <w:spacing w:after="200"/>
        <w:jc w:val="both"/>
      </w:pPr>
      <w:r>
        <w:rPr>
          <w:rFonts w:ascii="Times New Roman" w:eastAsia="Times New Roman" w:hAnsi="Times New Roman" w:cs="Times New Roman"/>
        </w:rPr>
        <w:t xml:space="preserve">2. La cobranza por originador mostró una diferencia notable entre el de mayor desempeño (Viva </w:t>
      </w:r>
      <w:proofErr w:type="spellStart"/>
      <w:r>
        <w:rPr>
          <w:rFonts w:ascii="Times New Roman" w:eastAsia="Times New Roman" w:hAnsi="Times New Roman" w:cs="Times New Roman"/>
        </w:rPr>
        <w:t>Outdoor</w:t>
      </w:r>
      <w:proofErr w:type="spellEnd"/>
      <w:r>
        <w:rPr>
          <w:rFonts w:ascii="Times New Roman" w:eastAsia="Times New Roman" w:hAnsi="Times New Roman" w:cs="Times New Roman"/>
        </w:rPr>
        <w:t>, $1,720,000.00) y el de menor desempeño (Cooperativa ACACSEMERSA, $270,000.00), una brecha que amerita revisión conjunta con el equipo de administración de fondos.</w:t>
      </w:r>
    </w:p>
    <w:p w14:paraId="19BDB344" w14:textId="77777777" w:rsidR="00CF1CF8" w:rsidRDefault="00CF1CF8" w:rsidP="00CF1CF8">
      <w:pPr>
        <w:spacing w:after="200"/>
        <w:jc w:val="both"/>
      </w:pPr>
      <w:r>
        <w:rPr>
          <w:rFonts w:ascii="Times New Roman" w:eastAsia="Times New Roman" w:hAnsi="Times New Roman" w:cs="Times New Roman"/>
        </w:rPr>
        <w:t>3. La tasa de incobrabilidad de 3.1% se ubicó por encima del comportamiento típico observado en periodos anteriores, sin indicar necesariamente un problema, pero sí un punto a monitorear en la calidad de los activos cedidos.</w:t>
      </w:r>
    </w:p>
    <w:p w14:paraId="1D92F6DF" w14:textId="77777777" w:rsidR="00CF1CF8" w:rsidRDefault="00CF1CF8" w:rsidP="00CF1CF8">
      <w:pPr>
        <w:spacing w:before="200" w:after="200"/>
      </w:pPr>
      <w:r>
        <w:rPr>
          <w:rFonts w:ascii="Times New Roman" w:eastAsia="Times New Roman" w:hAnsi="Times New Roman" w:cs="Times New Roman"/>
          <w:b/>
          <w:bCs/>
        </w:rPr>
        <w:t>Recomendaciones.</w:t>
      </w:r>
    </w:p>
    <w:p w14:paraId="2A158136" w14:textId="77777777" w:rsidR="00CF1CF8" w:rsidRDefault="00CF1CF8" w:rsidP="00CF1CF8">
      <w:pPr>
        <w:spacing w:after="200"/>
        <w:jc w:val="both"/>
      </w:pPr>
      <w:r>
        <w:rPr>
          <w:rFonts w:ascii="Times New Roman" w:eastAsia="Times New Roman" w:hAnsi="Times New Roman" w:cs="Times New Roman"/>
        </w:rPr>
        <w:t>1. Monitorear la concentración de cobranza en Cuentas por cobrar comerciales y Flujos de remesas durante el tercer trimestre de 2026 para anticipar variaciones estacionales.</w:t>
      </w:r>
    </w:p>
    <w:p w14:paraId="160AB0F0" w14:textId="77777777" w:rsidR="00CF1CF8" w:rsidRDefault="00CF1CF8" w:rsidP="00CF1CF8">
      <w:pPr>
        <w:spacing w:after="200"/>
        <w:jc w:val="both"/>
      </w:pPr>
      <w:r>
        <w:rPr>
          <w:rFonts w:ascii="Times New Roman" w:eastAsia="Times New Roman" w:hAnsi="Times New Roman" w:cs="Times New Roman"/>
        </w:rPr>
        <w:t>2. Revisar con el equipo de administración de fondos las causas de la brecha de cobranza entre originadores, e identificar oportunidades de acompañamiento para Cooperativa ACACSEMERSA y Constructora Cuscatlán.</w:t>
      </w:r>
    </w:p>
    <w:p w14:paraId="3332A322" w14:textId="77777777" w:rsidR="00CF1CF8" w:rsidRDefault="00CF1CF8" w:rsidP="00CF1CF8">
      <w:pPr>
        <w:spacing w:after="200"/>
        <w:jc w:val="both"/>
      </w:pPr>
      <w:r>
        <w:rPr>
          <w:rFonts w:ascii="Times New Roman" w:eastAsia="Times New Roman" w:hAnsi="Times New Roman" w:cs="Times New Roman"/>
        </w:rPr>
        <w:t>3. Dar seguimiento a los movimientos pendientes que cerraron el mes sin cobrar, priorizando su resolución durante la primera semana de agosto.</w:t>
      </w:r>
    </w:p>
    <w:p w14:paraId="0D3571C7" w14:textId="77777777" w:rsidR="006D76B5" w:rsidRPr="005D0381" w:rsidRDefault="006D76B5" w:rsidP="005D0381"/>
    <w:sectPr w:rsidR="006D76B5" w:rsidRPr="005D0381" w:rsidSect="00807650">
      <w:headerReference w:type="default" r:id="rId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C06C9" w14:textId="77777777" w:rsidR="009F0EEF" w:rsidRDefault="009F0EEF" w:rsidP="00BD6111">
      <w:r>
        <w:separator/>
      </w:r>
    </w:p>
  </w:endnote>
  <w:endnote w:type="continuationSeparator" w:id="0">
    <w:p w14:paraId="59613D5B" w14:textId="77777777" w:rsidR="009F0EEF" w:rsidRDefault="009F0EEF" w:rsidP="00BD6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4395"/>
      <w:gridCol w:w="2454"/>
    </w:tblGrid>
    <w:tr w:rsidR="00BD6111" w:rsidRPr="005851F5" w14:paraId="138B897A" w14:textId="77777777" w:rsidTr="00B0363D">
      <w:trPr>
        <w:trHeight w:val="416"/>
      </w:trPr>
      <w:tc>
        <w:tcPr>
          <w:tcW w:w="1121" w:type="pct"/>
          <w:vAlign w:val="center"/>
        </w:tcPr>
        <w:p w14:paraId="7433D1B6" w14:textId="5284919B" w:rsidR="00BD6111" w:rsidRPr="00807650" w:rsidRDefault="00BD6111" w:rsidP="00B0363D">
          <w:pPr>
            <w:pStyle w:val="Encabezado"/>
            <w:rPr>
              <w:rFonts w:ascii="Times New Roman" w:hAnsi="Times New Roman" w:cs="Times New Roman"/>
              <w:sz w:val="24"/>
              <w:szCs w:val="24"/>
            </w:rPr>
          </w:pPr>
          <w:r w:rsidRPr="00807650">
            <w:rPr>
              <w:rFonts w:ascii="Times New Roman" w:hAnsi="Times New Roman" w:cs="Times New Roman"/>
              <w:sz w:val="24"/>
              <w:szCs w:val="24"/>
            </w:rPr>
            <w:t xml:space="preserve">Página </w:t>
          </w:r>
          <w:r w:rsidRPr="00807650">
            <w:rPr>
              <w:rFonts w:ascii="Times New Roman" w:hAnsi="Times New Roman" w:cs="Times New Roman"/>
              <w:sz w:val="24"/>
              <w:szCs w:val="24"/>
            </w:rPr>
            <w:fldChar w:fldCharType="begin"/>
          </w:r>
          <w:r w:rsidRPr="00807650">
            <w:rPr>
              <w:rFonts w:ascii="Times New Roman" w:hAnsi="Times New Roman" w:cs="Times New Roman"/>
              <w:sz w:val="24"/>
              <w:szCs w:val="24"/>
            </w:rPr>
            <w:instrText xml:space="preserve"> PAGE   \* MERGEFORMAT </w:instrText>
          </w:r>
          <w:r w:rsidRPr="00807650">
            <w:rPr>
              <w:rFonts w:ascii="Times New Roman" w:hAnsi="Times New Roman" w:cs="Times New Roman"/>
              <w:sz w:val="24"/>
              <w:szCs w:val="24"/>
            </w:rPr>
            <w:fldChar w:fldCharType="separate"/>
          </w:r>
          <w:r w:rsidRPr="00807650">
            <w:rPr>
              <w:rFonts w:ascii="Times New Roman" w:hAnsi="Times New Roman" w:cs="Times New Roman"/>
              <w:noProof/>
              <w:sz w:val="24"/>
              <w:szCs w:val="24"/>
            </w:rPr>
            <w:t>48</w:t>
          </w:r>
          <w:r w:rsidRPr="00807650">
            <w:rPr>
              <w:rFonts w:ascii="Times New Roman" w:hAnsi="Times New Roman" w:cs="Times New Roman"/>
              <w:sz w:val="24"/>
              <w:szCs w:val="24"/>
            </w:rPr>
            <w:fldChar w:fldCharType="end"/>
          </w:r>
          <w:r w:rsidRPr="00807650">
            <w:rPr>
              <w:rFonts w:ascii="Times New Roman" w:hAnsi="Times New Roman" w:cs="Times New Roman"/>
              <w:sz w:val="24"/>
              <w:szCs w:val="24"/>
            </w:rPr>
            <w:t xml:space="preserve"> de </w:t>
          </w:r>
          <w:r w:rsidRPr="00807650">
            <w:rPr>
              <w:rFonts w:ascii="Times New Roman" w:hAnsi="Times New Roman" w:cs="Times New Roman"/>
              <w:sz w:val="24"/>
              <w:szCs w:val="24"/>
            </w:rPr>
            <w:fldChar w:fldCharType="begin"/>
          </w:r>
          <w:r w:rsidRPr="00807650">
            <w:rPr>
              <w:rFonts w:ascii="Times New Roman" w:hAnsi="Times New Roman" w:cs="Times New Roman"/>
              <w:sz w:val="24"/>
              <w:szCs w:val="24"/>
            </w:rPr>
            <w:instrText xml:space="preserve"> NUMPAGES   \* MERGEFORMAT </w:instrText>
          </w:r>
          <w:r w:rsidRPr="00807650">
            <w:rPr>
              <w:rFonts w:ascii="Times New Roman" w:hAnsi="Times New Roman" w:cs="Times New Roman"/>
              <w:sz w:val="24"/>
              <w:szCs w:val="24"/>
            </w:rPr>
            <w:fldChar w:fldCharType="separate"/>
          </w:r>
          <w:r w:rsidRPr="00807650">
            <w:rPr>
              <w:rFonts w:ascii="Times New Roman" w:hAnsi="Times New Roman" w:cs="Times New Roman"/>
              <w:noProof/>
              <w:sz w:val="24"/>
              <w:szCs w:val="24"/>
            </w:rPr>
            <w:t>70</w:t>
          </w:r>
          <w:r w:rsidRPr="00807650">
            <w:rPr>
              <w:rFonts w:ascii="Times New Roman" w:hAnsi="Times New Roman" w:cs="Times New Roman"/>
              <w:sz w:val="24"/>
              <w:szCs w:val="24"/>
            </w:rPr>
            <w:fldChar w:fldCharType="end"/>
          </w:r>
        </w:p>
      </w:tc>
      <w:tc>
        <w:tcPr>
          <w:tcW w:w="2489" w:type="pct"/>
          <w:vAlign w:val="center"/>
        </w:tcPr>
        <w:p w14:paraId="088DD712" w14:textId="6E360D54" w:rsidR="00BD6111" w:rsidRPr="00807650" w:rsidRDefault="00807650" w:rsidP="00807650">
          <w:pPr>
            <w:spacing w:after="40"/>
            <w:jc w:val="center"/>
            <w:rPr>
              <w:rFonts w:ascii="Times New Roman" w:hAnsi="Times New Roman" w:cs="Times New Roman"/>
              <w:sz w:val="24"/>
              <w:szCs w:val="24"/>
            </w:rPr>
          </w:pPr>
          <w:r w:rsidRPr="00807650">
            <w:rPr>
              <w:rFonts w:ascii="Times New Roman" w:hAnsi="Times New Roman" w:cs="Times New Roman"/>
              <w:sz w:val="24"/>
              <w:szCs w:val="24"/>
            </w:rPr>
            <w:t xml:space="preserve">Fecha de emisión: 3 de </w:t>
          </w:r>
          <w:r w:rsidR="00CF1CF8">
            <w:rPr>
              <w:rFonts w:ascii="Times New Roman" w:hAnsi="Times New Roman" w:cs="Times New Roman"/>
              <w:sz w:val="24"/>
              <w:szCs w:val="24"/>
            </w:rPr>
            <w:t>agosto</w:t>
          </w:r>
          <w:r w:rsidRPr="00807650">
            <w:rPr>
              <w:rFonts w:ascii="Times New Roman" w:hAnsi="Times New Roman" w:cs="Times New Roman"/>
              <w:sz w:val="24"/>
              <w:szCs w:val="24"/>
            </w:rPr>
            <w:t xml:space="preserve"> de 2026</w:t>
          </w:r>
        </w:p>
      </w:tc>
      <w:tc>
        <w:tcPr>
          <w:tcW w:w="1390" w:type="pct"/>
          <w:vAlign w:val="center"/>
        </w:tcPr>
        <w:p w14:paraId="448092C6" w14:textId="6EAF8F78" w:rsidR="00BD6111" w:rsidRPr="00807650" w:rsidRDefault="00CF1CF8" w:rsidP="00807650">
          <w:pPr>
            <w:spacing w:after="40"/>
            <w:jc w:val="center"/>
            <w:rPr>
              <w:rFonts w:ascii="Times New Roman" w:hAnsi="Times New Roman" w:cs="Times New Roman"/>
              <w:sz w:val="24"/>
              <w:szCs w:val="24"/>
            </w:rPr>
          </w:pPr>
          <w:r>
            <w:rPr>
              <w:rFonts w:ascii="Times New Roman" w:hAnsi="Times New Roman" w:cs="Times New Roman"/>
              <w:sz w:val="24"/>
              <w:szCs w:val="24"/>
            </w:rPr>
            <w:t>Julio 2026</w:t>
          </w:r>
        </w:p>
      </w:tc>
    </w:tr>
  </w:tbl>
  <w:p w14:paraId="2200E84B" w14:textId="77777777" w:rsidR="00BD6111" w:rsidRDefault="00BD61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3FD6E" w14:textId="77777777" w:rsidR="009F0EEF" w:rsidRDefault="009F0EEF" w:rsidP="00BD6111">
      <w:r>
        <w:separator/>
      </w:r>
    </w:p>
  </w:footnote>
  <w:footnote w:type="continuationSeparator" w:id="0">
    <w:p w14:paraId="52679BEE" w14:textId="77777777" w:rsidR="009F0EEF" w:rsidRDefault="009F0EEF" w:rsidP="00BD6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Look w:val="04A0" w:firstRow="1" w:lastRow="0" w:firstColumn="1" w:lastColumn="0" w:noHBand="0" w:noVBand="1"/>
    </w:tblPr>
    <w:tblGrid>
      <w:gridCol w:w="2007"/>
      <w:gridCol w:w="4294"/>
      <w:gridCol w:w="2527"/>
    </w:tblGrid>
    <w:tr w:rsidR="00BD6111" w14:paraId="3A20BD44" w14:textId="77777777" w:rsidTr="00B0363D">
      <w:trPr>
        <w:trHeight w:val="963"/>
      </w:trPr>
      <w:tc>
        <w:tcPr>
          <w:tcW w:w="1137" w:type="pct"/>
          <w:vAlign w:val="center"/>
        </w:tcPr>
        <w:p w14:paraId="221B2DE1" w14:textId="37A01A42" w:rsidR="00BD6111" w:rsidRPr="006D76B5" w:rsidRDefault="00357A11" w:rsidP="00C33679">
          <w:pPr>
            <w:widowControl w:val="0"/>
            <w:autoSpaceDE w:val="0"/>
            <w:autoSpaceDN w:val="0"/>
            <w:adjustRightInd w:val="0"/>
            <w:jc w:val="center"/>
            <w:rPr>
              <w:rFonts w:ascii="Times New Roman" w:hAnsi="Times New Roman" w:cs="Times New Roman"/>
              <w:sz w:val="24"/>
              <w:szCs w:val="24"/>
            </w:rPr>
          </w:pPr>
          <w:bookmarkStart w:id="0" w:name="OLE_LINK1"/>
          <w:r>
            <w:rPr>
              <w:rFonts w:ascii="Times New Roman" w:eastAsia="Times New Roman" w:hAnsi="Times New Roman" w:cs="Times New Roman"/>
              <w:noProof/>
            </w:rPr>
            <w:drawing>
              <wp:inline distT="0" distB="0" distL="0" distR="0" wp14:anchorId="141C383F" wp14:editId="666CB869">
                <wp:extent cx="1082040" cy="351663"/>
                <wp:effectExtent l="0" t="0" r="3810" b="0"/>
                <wp:docPr id="1155941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855" cy="362653"/>
                        </a:xfrm>
                        <a:prstGeom prst="rect">
                          <a:avLst/>
                        </a:prstGeom>
                        <a:noFill/>
                        <a:ln>
                          <a:noFill/>
                        </a:ln>
                      </pic:spPr>
                    </pic:pic>
                  </a:graphicData>
                </a:graphic>
              </wp:inline>
            </w:drawing>
          </w:r>
        </w:p>
      </w:tc>
      <w:tc>
        <w:tcPr>
          <w:tcW w:w="2432" w:type="pct"/>
          <w:vAlign w:val="center"/>
        </w:tcPr>
        <w:p w14:paraId="07BBC86A" w14:textId="245A8896" w:rsidR="00BD6111" w:rsidRPr="006D76B5" w:rsidRDefault="006D76B5" w:rsidP="006D76B5">
          <w:pPr>
            <w:spacing w:after="60"/>
            <w:jc w:val="center"/>
            <w:rPr>
              <w:rFonts w:ascii="Times New Roman" w:hAnsi="Times New Roman" w:cs="Times New Roman"/>
              <w:sz w:val="24"/>
              <w:szCs w:val="24"/>
            </w:rPr>
          </w:pPr>
          <w:r w:rsidRPr="006D76B5">
            <w:rPr>
              <w:rFonts w:ascii="Times New Roman" w:hAnsi="Times New Roman" w:cs="Times New Roman"/>
              <w:sz w:val="24"/>
              <w:szCs w:val="24"/>
            </w:rPr>
            <w:t xml:space="preserve">Reporte ejecutivo de </w:t>
          </w:r>
          <w:r w:rsidR="00CF1CF8">
            <w:rPr>
              <w:rFonts w:ascii="Times New Roman" w:hAnsi="Times New Roman" w:cs="Times New Roman"/>
              <w:sz w:val="24"/>
              <w:szCs w:val="24"/>
            </w:rPr>
            <w:t>cobranza</w:t>
          </w:r>
        </w:p>
      </w:tc>
      <w:tc>
        <w:tcPr>
          <w:tcW w:w="1431" w:type="pct"/>
          <w:vAlign w:val="center"/>
        </w:tcPr>
        <w:p w14:paraId="34299408" w14:textId="3DEBFE37" w:rsidR="00BD6111" w:rsidRPr="006D76B5" w:rsidRDefault="006D76B5" w:rsidP="00B0363D">
          <w:pPr>
            <w:jc w:val="center"/>
            <w:rPr>
              <w:rFonts w:ascii="Times New Roman" w:hAnsi="Times New Roman" w:cs="Times New Roman"/>
              <w:sz w:val="24"/>
              <w:szCs w:val="24"/>
            </w:rPr>
          </w:pPr>
          <w:r w:rsidRPr="006D76B5">
            <w:rPr>
              <w:rFonts w:ascii="Times New Roman" w:hAnsi="Times New Roman" w:cs="Times New Roman"/>
              <w:sz w:val="24"/>
              <w:szCs w:val="24"/>
            </w:rPr>
            <w:t>Preparado para Dirección General</w:t>
          </w:r>
        </w:p>
      </w:tc>
    </w:tr>
    <w:bookmarkEnd w:id="0"/>
  </w:tbl>
  <w:p w14:paraId="739C0B76" w14:textId="77777777" w:rsidR="00BD6111" w:rsidRDefault="00BD611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11"/>
    <w:rsid w:val="00147AD0"/>
    <w:rsid w:val="001F56CA"/>
    <w:rsid w:val="0026207C"/>
    <w:rsid w:val="00357A11"/>
    <w:rsid w:val="003B59ED"/>
    <w:rsid w:val="005D0381"/>
    <w:rsid w:val="00636CCE"/>
    <w:rsid w:val="006D76B5"/>
    <w:rsid w:val="00807650"/>
    <w:rsid w:val="008E7871"/>
    <w:rsid w:val="009F0EEF"/>
    <w:rsid w:val="00A53064"/>
    <w:rsid w:val="00AA10A5"/>
    <w:rsid w:val="00AE642D"/>
    <w:rsid w:val="00B0363D"/>
    <w:rsid w:val="00BD6111"/>
    <w:rsid w:val="00C33679"/>
    <w:rsid w:val="00CF1CF8"/>
    <w:rsid w:val="00DD26EF"/>
    <w:rsid w:val="00DF5A9C"/>
    <w:rsid w:val="00E332B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EBA76"/>
  <w15:chartTrackingRefBased/>
  <w15:docId w15:val="{C4BDE634-81E3-4984-95C1-890368E2E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6B5"/>
    <w:pPr>
      <w:spacing w:after="0" w:line="240" w:lineRule="auto"/>
    </w:pPr>
    <w:rPr>
      <w:rFonts w:ascii="Arial" w:eastAsia="Arial" w:hAnsi="Arial" w:cs="Arial"/>
      <w:kern w:val="0"/>
      <w:lang w:eastAsia="es-SV"/>
      <w14:ligatures w14:val="none"/>
    </w:rPr>
  </w:style>
  <w:style w:type="paragraph" w:styleId="Ttulo1">
    <w:name w:val="heading 1"/>
    <w:basedOn w:val="Normal"/>
    <w:next w:val="Normal"/>
    <w:link w:val="Ttulo1Car"/>
    <w:uiPriority w:val="9"/>
    <w:qFormat/>
    <w:rsid w:val="00BD611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BD611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BD6111"/>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BD6111"/>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BD6111"/>
    <w:pPr>
      <w:keepNext/>
      <w:keepLines/>
      <w:spacing w:before="80" w:after="40" w:line="259"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BD6111"/>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BD6111"/>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BD6111"/>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BD6111"/>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1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61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61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61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61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61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1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1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111"/>
    <w:rPr>
      <w:rFonts w:eastAsiaTheme="majorEastAsia" w:cstheme="majorBidi"/>
      <w:color w:val="272727" w:themeColor="text1" w:themeTint="D8"/>
    </w:rPr>
  </w:style>
  <w:style w:type="paragraph" w:styleId="Ttulo">
    <w:name w:val="Title"/>
    <w:basedOn w:val="Normal"/>
    <w:next w:val="Normal"/>
    <w:link w:val="TtuloCar"/>
    <w:uiPriority w:val="10"/>
    <w:qFormat/>
    <w:rsid w:val="00BD611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BD6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1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BD61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111"/>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BD6111"/>
    <w:rPr>
      <w:i/>
      <w:iCs/>
      <w:color w:val="404040" w:themeColor="text1" w:themeTint="BF"/>
    </w:rPr>
  </w:style>
  <w:style w:type="paragraph" w:styleId="Prrafodelista">
    <w:name w:val="List Paragraph"/>
    <w:basedOn w:val="Normal"/>
    <w:uiPriority w:val="34"/>
    <w:qFormat/>
    <w:rsid w:val="00BD6111"/>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BD6111"/>
    <w:rPr>
      <w:i/>
      <w:iCs/>
      <w:color w:val="0F4761" w:themeColor="accent1" w:themeShade="BF"/>
    </w:rPr>
  </w:style>
  <w:style w:type="paragraph" w:styleId="Citadestacada">
    <w:name w:val="Intense Quote"/>
    <w:basedOn w:val="Normal"/>
    <w:next w:val="Normal"/>
    <w:link w:val="CitadestacadaCar"/>
    <w:uiPriority w:val="30"/>
    <w:qFormat/>
    <w:rsid w:val="00BD611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BD6111"/>
    <w:rPr>
      <w:i/>
      <w:iCs/>
      <w:color w:val="0F4761" w:themeColor="accent1" w:themeShade="BF"/>
    </w:rPr>
  </w:style>
  <w:style w:type="character" w:styleId="Referenciaintensa">
    <w:name w:val="Intense Reference"/>
    <w:basedOn w:val="Fuentedeprrafopredeter"/>
    <w:uiPriority w:val="32"/>
    <w:qFormat/>
    <w:rsid w:val="00BD6111"/>
    <w:rPr>
      <w:b/>
      <w:bCs/>
      <w:smallCaps/>
      <w:color w:val="0F4761" w:themeColor="accent1" w:themeShade="BF"/>
      <w:spacing w:val="5"/>
    </w:rPr>
  </w:style>
  <w:style w:type="paragraph" w:styleId="Encabezado">
    <w:name w:val="header"/>
    <w:basedOn w:val="Normal"/>
    <w:link w:val="EncabezadoCar"/>
    <w:uiPriority w:val="99"/>
    <w:unhideWhenUsed/>
    <w:rsid w:val="00BD6111"/>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EncabezadoCar">
    <w:name w:val="Encabezado Car"/>
    <w:basedOn w:val="Fuentedeprrafopredeter"/>
    <w:link w:val="Encabezado"/>
    <w:uiPriority w:val="99"/>
    <w:rsid w:val="00BD6111"/>
  </w:style>
  <w:style w:type="paragraph" w:styleId="Piedepgina">
    <w:name w:val="footer"/>
    <w:basedOn w:val="Normal"/>
    <w:link w:val="PiedepginaCar"/>
    <w:uiPriority w:val="99"/>
    <w:unhideWhenUsed/>
    <w:rsid w:val="00BD6111"/>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PiedepginaCar">
    <w:name w:val="Pie de página Car"/>
    <w:basedOn w:val="Fuentedeprrafopredeter"/>
    <w:link w:val="Piedepgina"/>
    <w:uiPriority w:val="99"/>
    <w:rsid w:val="00BD6111"/>
  </w:style>
  <w:style w:type="paragraph" w:styleId="Textoindependiente2">
    <w:name w:val="Body Text 2"/>
    <w:basedOn w:val="Normal"/>
    <w:link w:val="Textoindependiente2Car"/>
    <w:rsid w:val="00BD6111"/>
    <w:pPr>
      <w:jc w:val="center"/>
    </w:pPr>
    <w:rPr>
      <w:rFonts w:eastAsia="Times New Roman" w:cs="Times New Roman"/>
      <w:b/>
      <w:i/>
      <w:sz w:val="28"/>
      <w:szCs w:val="20"/>
      <w:u w:val="single"/>
      <w:lang w:val="es-ES" w:eastAsia="es-ES"/>
    </w:rPr>
  </w:style>
  <w:style w:type="character" w:customStyle="1" w:styleId="Textoindependiente2Car">
    <w:name w:val="Texto independiente 2 Car"/>
    <w:basedOn w:val="Fuentedeprrafopredeter"/>
    <w:link w:val="Textoindependiente2"/>
    <w:rsid w:val="00BD6111"/>
    <w:rPr>
      <w:rFonts w:ascii="Arial" w:eastAsia="Times New Roman" w:hAnsi="Arial" w:cs="Times New Roman"/>
      <w:b/>
      <w:i/>
      <w:kern w:val="0"/>
      <w:sz w:val="28"/>
      <w:szCs w:val="20"/>
      <w:u w:val="single"/>
      <w:lang w:val="es-ES" w:eastAsia="es-ES"/>
      <w14:ligatures w14:val="none"/>
    </w:rPr>
  </w:style>
  <w:style w:type="table" w:styleId="Tablaconcuadrcula">
    <w:name w:val="Table Grid"/>
    <w:basedOn w:val="Tablanormal"/>
    <w:uiPriority w:val="39"/>
    <w:rsid w:val="00B03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569</Words>
  <Characters>3130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Giovanni Varela Guzman</dc:creator>
  <cp:keywords/>
  <dc:description/>
  <cp:lastModifiedBy>Erick Giovanni Varela Guzman</cp:lastModifiedBy>
  <cp:revision>8</cp:revision>
  <dcterms:created xsi:type="dcterms:W3CDTF">2026-06-19T20:27:00Z</dcterms:created>
  <dcterms:modified xsi:type="dcterms:W3CDTF">2026-08-11T16:31:00Z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2026-06-19T20:40:47Z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14feb3b5-364b-4c9b-a136-abb271d6ee62</vt:lpwstr>
  </property>
  <property fmtid="{D5CDD505-2E9C-101B-9397-08002B2CF9AE}" pid="7" name="MSIP_Label_defa4170-0d19-0005-0000-bc88714345d2_ActionId">
    <vt:lpwstr>1d70505b-bea1-4b1e-ab4d-a8c3cae277ed</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