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200"/>
      </w:pPr>
      <w:r>
        <w:rPr>
          <w:rFonts w:ascii="Times New Roman" w:eastAsia="Times New Roman" w:hAnsi="Times New Roman" w:cs="Times New Roman"/>
          <w:b/>
          <w:bCs/>
          <w:sz w:val="36"/>
          <w:szCs w:val="36"/>
        </w:rPr>
        <w:t xml:space="preserve">Resumen ejecutivo</w:t>
      </w:r>
    </w:p>
    <w:p>
      <w:pPr>
        <w:spacing w:after="200"/>
        <w:jc w:val="both"/>
      </w:pPr>
      <w:r>
        <w:rPr>
          <w:rFonts w:ascii="Times New Roman" w:eastAsia="Times New Roman" w:hAnsi="Times New Roman" w:cs="Times New Roman"/>
        </w:rPr>
        <w:t xml:space="preserve">Durante septiembre de 2026 RICORP registró </w:t>
      </w:r>
      <w:r>
        <w:rPr>
          <w:rFonts w:ascii="Times New Roman" w:eastAsia="Times New Roman" w:hAnsi="Times New Roman" w:cs="Times New Roman"/>
          <w:b/>
          <w:bCs/>
        </w:rPr>
        <w:t xml:space="preserve">555</w:t>
      </w:r>
      <w:r>
        <w:rPr>
          <w:rFonts w:ascii="Times New Roman" w:eastAsia="Times New Roman" w:hAnsi="Times New Roman" w:cs="Times New Roman"/>
        </w:rPr>
        <w:t xml:space="preserve"> movimientos de cobranza sobre los fondos de titularización administrados, de los cuales </w:t>
      </w:r>
      <w:r>
        <w:rPr>
          <w:rFonts w:ascii="Times New Roman" w:eastAsia="Times New Roman" w:hAnsi="Times New Roman" w:cs="Times New Roman"/>
          <w:b/>
          <w:bCs/>
        </w:rPr>
        <w:t xml:space="preserve">470</w:t>
      </w:r>
      <w:r>
        <w:rPr>
          <w:rFonts w:ascii="Times New Roman" w:eastAsia="Times New Roman" w:hAnsi="Times New Roman" w:cs="Times New Roman"/>
        </w:rPr>
        <w:t xml:space="preserve"> fueron efectivamente cobrados, alcanzando un monto total de </w:t>
      </w:r>
      <w:r>
        <w:rPr>
          <w:rFonts w:ascii="Times New Roman" w:eastAsia="Times New Roman" w:hAnsi="Times New Roman" w:cs="Times New Roman"/>
          <w:b/>
          <w:bCs/>
        </w:rPr>
        <w:t xml:space="preserve">$11,005,814.79</w:t>
      </w:r>
      <w:r>
        <w:rPr>
          <w:rFonts w:ascii="Times New Roman" w:eastAsia="Times New Roman" w:hAnsi="Times New Roman" w:cs="Times New Roman"/>
        </w:rPr>
        <w:t xml:space="preserve">, con un monto promedio por movimiento cobrado de </w:t>
      </w:r>
      <w:r>
        <w:rPr>
          <w:rFonts w:ascii="Times New Roman" w:eastAsia="Times New Roman" w:hAnsi="Times New Roman" w:cs="Times New Roman"/>
          <w:b/>
          <w:bCs/>
        </w:rPr>
        <w:t xml:space="preserve">$23,416.63</w:t>
      </w:r>
      <w:r>
        <w:rPr>
          <w:rFonts w:ascii="Times New Roman" w:eastAsia="Times New Roman" w:hAnsi="Times New Roman" w:cs="Times New Roman"/>
        </w:rPr>
        <w:t xml:space="preserve">. El tipo de activo subyacente Cartera de créditos concentró el mayor volumen de movimientos y el mayor monto cobrado del mes, mientras que Rentas inmobiliarias registró la menor participación. La tasa de cobranza a tiempo se ubicó en </w:t>
      </w:r>
      <w:r>
        <w:rPr>
          <w:rFonts w:ascii="Times New Roman" w:eastAsia="Times New Roman" w:hAnsi="Times New Roman" w:cs="Times New Roman"/>
          <w:b/>
          <w:bCs/>
        </w:rPr>
        <w:t xml:space="preserve">73.6%</w:t>
      </w:r>
      <w:r>
        <w:rPr>
          <w:rFonts w:ascii="Times New Roman" w:eastAsia="Times New Roman" w:hAnsi="Times New Roman" w:cs="Times New Roman"/>
        </w:rPr>
        <w:t xml:space="preserve">, por debajo de la meta de 78.0% establecida para el periodo.</w:t>
      </w:r>
    </w:p>
    <w:p>
      <w:pPr>
        <w:spacing w:after="200"/>
        <w:jc w:val="both"/>
      </w:pPr>
      <w:r>
        <w:rPr>
          <w:rFonts w:ascii="Times New Roman" w:eastAsia="Times New Roman" w:hAnsi="Times New Roman" w:cs="Times New Roman"/>
        </w:rPr>
        <w:t xml:space="preserve">La tasa de incobrabilidad del mes fue de </w:t>
      </w:r>
      <w:r>
        <w:rPr>
          <w:rFonts w:ascii="Times New Roman" w:eastAsia="Times New Roman" w:hAnsi="Times New Roman" w:cs="Times New Roman"/>
          <w:b/>
          <w:bCs/>
        </w:rPr>
        <w:t xml:space="preserve">3.8%</w:t>
      </w:r>
      <w:r>
        <w:rPr>
          <w:rFonts w:ascii="Times New Roman" w:eastAsia="Times New Roman" w:hAnsi="Times New Roman" w:cs="Times New Roman"/>
        </w:rPr>
        <w:t xml:space="preserve">, por encima del límite de 3.0% definido como meta para el periodo. Viva Outdoor y Banco Azteca El Salvador lideraron la cobranza por originador, cada uno con participación significativa sobre el monto total cobrado. La tasa de incobrabilidad es el único punto que amerita seguimiento de Cobranza en el periodo siguiente.</w:t>
      </w:r>
    </w:p>
    <w:p>
      <w:pPr>
        <w:spacing w:before="200" w:after="200"/>
      </w:pPr>
      <w:r>
        <w:rPr>
          <w:rFonts w:ascii="Times New Roman" w:eastAsia="Times New Roman" w:hAnsi="Times New Roman" w:cs="Times New Roman"/>
          <w:b/>
          <w:bCs/>
          <w:sz w:val="26"/>
          <w:szCs w:val="26"/>
        </w:rPr>
        <w:t xml:space="preserve">Indicadores clave del periodo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4"/>
        <w:gridCol w:w="4414"/>
      </w:tblGrid>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b/>
                <w:bCs/>
              </w:rPr>
              <w:t xml:space="preserve">Indicador</w:t>
            </w:r>
          </w:p>
        </w:tc>
        <w:tc>
          <w:tcPr>
            <w:tcW w:w="250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b/>
                <w:bCs/>
              </w:rPr>
              <w:t xml:space="preserve">Valor</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Monto total cobrado</w:t>
            </w:r>
          </w:p>
        </w:tc>
        <w:tc>
          <w:tcPr>
            <w:tcW w:w="250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$11,005,814.79</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Movimientos cobrados</w:t>
            </w:r>
          </w:p>
        </w:tc>
        <w:tc>
          <w:tcPr>
            <w:tcW w:w="250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470</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Monto promedio por movimiento</w:t>
            </w:r>
          </w:p>
        </w:tc>
        <w:tc>
          <w:tcPr>
            <w:tcW w:w="250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$23,416.63</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Tasa de cobranza a tiempo</w:t>
            </w:r>
          </w:p>
        </w:tc>
        <w:tc>
          <w:tcPr>
            <w:tcW w:w="250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73.6%</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Tasa de incobrabilidad</w:t>
            </w:r>
          </w:p>
        </w:tc>
        <w:tc>
          <w:tcPr>
            <w:tcW w:w="250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3.8%</w:t>
            </w:r>
          </w:p>
        </w:tc>
      </w:tr>
    </w:tbl>
    <w:p>
      <w:pPr>
        <w:spacing w:before="200" w:after="200"/>
      </w:pPr>
      <w:r>
        <w:rPr>
          <w:rFonts w:ascii="Times New Roman" w:eastAsia="Times New Roman" w:hAnsi="Times New Roman" w:cs="Times New Roman"/>
          <w:b/>
          <w:bCs/>
          <w:sz w:val="26"/>
          <w:szCs w:val="26"/>
        </w:rPr>
        <w:t xml:space="preserve">Cobranza por tipo de activo subyacente</w:t>
      </w:r>
    </w:p>
    <w:p>
      <w:pPr>
        <w:spacing w:after="200"/>
        <w:jc w:val="both"/>
      </w:pPr>
      <w:r>
        <w:rPr>
          <w:rFonts w:ascii="Times New Roman" w:eastAsia="Times New Roman" w:hAnsi="Times New Roman" w:cs="Times New Roman"/>
        </w:rPr>
        <w:t xml:space="preserve">La tabla siguiente muestra la distribución de movimientos cobrados y monto total por tipo de activo subyacente durante el mes. El orden de las filas se mantiene fijo para facilitar la comparación entre periodos.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4"/>
        <w:gridCol w:w="2207"/>
        <w:gridCol w:w="2207"/>
      </w:tblGrid>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b/>
                <w:bCs/>
              </w:rPr>
              <w:t xml:space="preserve">Tipo de activo subyacente</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b/>
                <w:bCs/>
              </w:rPr>
              <w:t xml:space="preserve">Movimientos cobrados</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b/>
                <w:bCs/>
              </w:rPr>
              <w:t xml:space="preserve">Monto cobrado</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Cartera de créditos</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133</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$3,215,203.39</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Cartera hipotecaria</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30</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$502,368.67</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Cuentas por cobrar comerciales</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87</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$2,083,047.12</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Flujos de peaje/publicidad exterior</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96</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$2,416,943.73</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Flujos de remesas</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106</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$2,393,386.79</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Rentas inmobiliarias</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18</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$394,865.09</w:t>
            </w:r>
          </w:p>
        </w:tc>
      </w:tr>
    </w:tbl>
    <w:p>
      <w:pPr>
        <w:spacing w:before="200" w:after="200"/>
      </w:pPr>
      <w:r>
        <w:rPr>
          <w:rFonts w:ascii="Times New Roman" w:eastAsia="Times New Roman" w:hAnsi="Times New Roman" w:cs="Times New Roman"/>
          <w:b/>
          <w:bCs/>
          <w:sz w:val="26"/>
          <w:szCs w:val="26"/>
        </w:rPr>
        <w:t xml:space="preserve">Cobranza por originador</w:t>
      </w:r>
    </w:p>
    <w:p>
      <w:pPr>
        <w:spacing w:after="200"/>
        <w:jc w:val="both"/>
      </w:pPr>
      <w:r>
        <w:rPr>
          <w:rFonts w:ascii="Times New Roman" w:eastAsia="Times New Roman" w:hAnsi="Times New Roman" w:cs="Times New Roman"/>
        </w:rPr>
        <w:t xml:space="preserve">A continuación, se presenta el monto cobrado y el número de movimientos por cada originador durante el 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4"/>
        <w:gridCol w:w="2207"/>
        <w:gridCol w:w="2207"/>
      </w:tblGrid>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b/>
                <w:bCs/>
              </w:rPr>
              <w:t xml:space="preserve">Originador</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b/>
                <w:bCs/>
              </w:rPr>
              <w:t xml:space="preserve">Movimientos cobrados</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b/>
                <w:bCs/>
              </w:rPr>
              <w:t xml:space="preserve">Monto cobrado</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Viva Outdoor</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93</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$2,161,025.51</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Banco Azteca El Salvador</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75</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$1,604,717.29</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Grupo Simco</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65</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$1,531,149.31</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Caja de Crédito de Sonsonate</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49</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$1,269,305.55</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Cooperativa ACACYPAC</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33</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$893,577.25</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Inmobiliaria Santa Elena</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33</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$799,249.47</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Plaza Mundo Apopa</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36</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$789,241.22</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Grupo Roble</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23</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$488,663.44</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Cooperativa ACACSEMERSA</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12</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$411,963.85</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Hotel Decameron</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16</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$335,605.63</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Distribuidoras Grupo Zablah</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12</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$277,831.77</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Constructora Cuscatlán</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12</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$233,413.35</w:t>
            </w:r>
          </w:p>
        </w:tc>
      </w:tr>
      <w:tr>
        <w:tc>
          <w:tcPr>
            <w:tcW w:w="2500" w:type="pct"/>
            <w:tcBorders>
              <w:top w:val="single" w:sz="4" w:space="0" w:color="000000"/>
              <w:left w:val="single" w:sz="4" w:space="0" w:color="000000"/>
              <w:bottom w:val="single" w:sz="4" w:space="0" w:color="000000"/>
              <w:right w:val="single" w:sz="4" w:space="0" w:color="000000"/>
            </w:tcBorders>
          </w:tcPr>
          <w:p>
            <w:r>
              <w:rPr>
                <w:rFonts w:ascii="Times New Roman" w:eastAsia="Times New Roman" w:hAnsi="Times New Roman" w:cs="Times New Roman"/>
              </w:rPr>
              <w:t xml:space="preserve">Caja de Crédito de San Vicente</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11</w:t>
            </w:r>
          </w:p>
        </w:tc>
        <w:tc>
          <w:tcPr>
            <w:tcW w:w="1250" w:type="pct"/>
            <w:tcBorders>
              <w:top w:val="single" w:sz="4" w:space="0" w:color="000000"/>
              <w:left w:val="single" w:sz="4" w:space="0" w:color="000000"/>
              <w:bottom w:val="single" w:sz="4" w:space="0" w:color="000000"/>
              <w:right w:val="single" w:sz="4" w:space="0" w:color="000000"/>
            </w:tcBorders>
          </w:tcPr>
          <w:p>
            <w:pPr>
              <w:jc w:val="center"/>
            </w:pPr>
            <w:r>
              <w:rPr>
                <w:rFonts w:ascii="Times New Roman" w:eastAsia="Times New Roman" w:hAnsi="Times New Roman" w:cs="Times New Roman"/>
              </w:rPr>
              <w:t xml:space="preserve">$210,071.15</w:t>
            </w:r>
          </w:p>
        </w:tc>
      </w:tr>
    </w:tbl>
    <w:p>
      <w:pPr>
        <w:spacing w:before="200" w:after="200"/>
      </w:pPr>
      <w:r>
        <w:rPr>
          <w:rFonts w:ascii="Times New Roman" w:eastAsia="Times New Roman" w:hAnsi="Times New Roman" w:cs="Times New Roman"/>
          <w:b/>
          <w:bCs/>
          <w:sz w:val="26"/>
          <w:szCs w:val="26"/>
        </w:rPr>
        <w:t xml:space="preserve">Hallazgos y recomendaciones</w:t>
      </w:r>
    </w:p>
    <w:p>
      <w:pPr>
        <w:spacing w:before="200" w:after="200"/>
      </w:pPr>
      <w:r>
        <w:rPr>
          <w:rFonts w:ascii="Times New Roman" w:eastAsia="Times New Roman" w:hAnsi="Times New Roman" w:cs="Times New Roman"/>
          <w:b/>
          <w:bCs/>
        </w:rPr>
        <w:t xml:space="preserve">Hallazgos del periodo.</w:t>
      </w:r>
    </w:p>
    <w:p>
      <w:pPr>
        <w:spacing w:after="200"/>
        <w:jc w:val="both"/>
      </w:pPr>
      <w:r>
        <w:rPr>
          <w:rFonts w:ascii="Times New Roman" w:eastAsia="Times New Roman" w:hAnsi="Times New Roman" w:cs="Times New Roman"/>
        </w:rPr>
        <w:t xml:space="preserve">1. Cartera de créditos y Flujos de peaje/publicidad exterior concentraron en conjunto cerca del 51% del monto cobrado del mes, mientras que Rentas inmobiliarias tuvo la participación más baja del periodo.</w:t>
      </w:r>
    </w:p>
    <w:p>
      <w:pPr>
        <w:spacing w:after="200"/>
        <w:jc w:val="both"/>
      </w:pPr>
      <w:r>
        <w:rPr>
          <w:rFonts w:ascii="Times New Roman" w:eastAsia="Times New Roman" w:hAnsi="Times New Roman" w:cs="Times New Roman"/>
        </w:rPr>
        <w:t xml:space="preserve">2. La cobranza por originador mostró una diferencia notable entre el de mayor desempeño (Viva Outdoor, $2,161,025.51) y el de menor desempeño (Caja de Crédito de San Vicente, $210,071.15), una brecha que amerita revisión conjunta con el equipo de administración de fondos.</w:t>
      </w:r>
    </w:p>
    <w:p>
      <w:pPr>
        <w:spacing w:after="200"/>
        <w:jc w:val="both"/>
      </w:pPr>
      <w:r>
        <w:rPr>
          <w:rFonts w:ascii="Times New Roman" w:eastAsia="Times New Roman" w:hAnsi="Times New Roman" w:cs="Times New Roman"/>
        </w:rPr>
        <w:t xml:space="preserve">3. La tasa de incobrabilidad de 3.8% se ubicó por encima de la meta de 3.0% definida para el periodo, un punto a monitorear en la calidad de los activos cedidos.</w:t>
      </w:r>
    </w:p>
    <w:p>
      <w:pPr>
        <w:spacing w:before="200" w:after="200"/>
      </w:pPr>
      <w:r>
        <w:rPr>
          <w:rFonts w:ascii="Times New Roman" w:eastAsia="Times New Roman" w:hAnsi="Times New Roman" w:cs="Times New Roman"/>
          <w:b/>
          <w:bCs/>
        </w:rPr>
        <w:t xml:space="preserve">Recomendaciones.</w:t>
      </w:r>
    </w:p>
    <w:p>
      <w:pPr>
        <w:spacing w:after="200"/>
        <w:jc w:val="both"/>
      </w:pPr>
      <w:r>
        <w:rPr>
          <w:rFonts w:ascii="Times New Roman" w:eastAsia="Times New Roman" w:hAnsi="Times New Roman" w:cs="Times New Roman"/>
        </w:rPr>
        <w:t xml:space="preserve">1. Monitorear la concentración de cobranza en Cartera de créditos y Flujos de peaje/publicidad exterior durante los próximos periodos para anticipar variaciones estacionales.</w:t>
      </w:r>
    </w:p>
    <w:p>
      <w:pPr>
        <w:spacing w:after="200"/>
        <w:jc w:val="both"/>
      </w:pPr>
      <w:r>
        <w:rPr>
          <w:rFonts w:ascii="Times New Roman" w:eastAsia="Times New Roman" w:hAnsi="Times New Roman" w:cs="Times New Roman"/>
        </w:rPr>
        <w:t xml:space="preserve">2. Revisar con el equipo de administración de fondos las causas de la brecha de cobranza entre originadores, e identificar oportunidades de acompañamiento para Caja de Crédito de San Vicente y Constructora Cuscatlán.</w:t>
      </w:r>
    </w:p>
    <w:p>
      <w:pPr>
        <w:spacing w:after="200"/>
        <w:jc w:val="both"/>
      </w:pPr>
      <w:r>
        <w:rPr>
          <w:rFonts w:ascii="Times New Roman" w:eastAsia="Times New Roman" w:hAnsi="Times New Roman" w:cs="Times New Roman"/>
        </w:rPr>
        <w:t xml:space="preserve">3. Dar seguimiento a los 64 movimientos pendientes que cerraron el mes sin cobrar, priorizando su resolución durante la primera semana de octubre.</w:t>
      </w:r>
    </w:p>
    <w:sectPr w:rsidR="006D76B5" w:rsidRPr="005D0381" w:rsidSect="00807650">
      <w:headerReference w:type="default" r:id="rId6"/>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C06C9" w14:textId="77777777" w:rsidR="009F0EEF" w:rsidRDefault="009F0EEF" w:rsidP="00BD6111">
      <w:r>
        <w:separator/>
      </w:r>
    </w:p>
  </w:endnote>
  <w:endnote w:type="continuationSeparator" w:id="0">
    <w:p w14:paraId="59613D5B" w14:textId="77777777" w:rsidR="009F0EEF" w:rsidRDefault="009F0EEF" w:rsidP="00BD6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4395"/>
      <w:gridCol w:w="2454"/>
    </w:tblGrid>
    <w:tr w:rsidR="00BD6111" w:rsidRPr="005851F5" w14:paraId="138B897A" w14:textId="77777777" w:rsidTr="00B0363D">
      <w:trPr>
        <w:trHeight w:val="416"/>
      </w:trPr>
      <w:tc>
        <w:tcPr>
          <w:tcW w:w="1121" w:type="pct"/>
          <w:vAlign w:val="center"/>
        </w:tcPr>
        <w:p w14:paraId="7433D1B6" w14:textId="5284919B" w:rsidR="00BD6111" w:rsidRPr="00807650" w:rsidRDefault="00BD6111" w:rsidP="00B0363D">
          <w:pPr>
            <w:pStyle w:val="Encabezado"/>
            <w:rPr>
              <w:rFonts w:ascii="Times New Roman" w:hAnsi="Times New Roman" w:cs="Times New Roman"/>
              <w:sz w:val="24"/>
              <w:szCs w:val="24"/>
            </w:rPr>
          </w:pPr>
          <w:r w:rsidRPr="00807650">
            <w:rPr>
              <w:rFonts w:ascii="Times New Roman" w:hAnsi="Times New Roman" w:cs="Times New Roman"/>
              <w:sz w:val="24"/>
              <w:szCs w:val="24"/>
            </w:rPr>
            <w:t xml:space="preserve">Página </w:t>
          </w:r>
          <w:r w:rsidRPr="00807650">
            <w:rPr>
              <w:rFonts w:ascii="Times New Roman" w:hAnsi="Times New Roman" w:cs="Times New Roman"/>
              <w:sz w:val="24"/>
              <w:szCs w:val="24"/>
            </w:rPr>
            <w:fldChar w:fldCharType="begin"/>
          </w:r>
          <w:r w:rsidRPr="00807650">
            <w:rPr>
              <w:rFonts w:ascii="Times New Roman" w:hAnsi="Times New Roman" w:cs="Times New Roman"/>
              <w:sz w:val="24"/>
              <w:szCs w:val="24"/>
            </w:rPr>
            <w:instrText xml:space="preserve"> PAGE   \* MERGEFORMAT </w:instrText>
          </w:r>
          <w:r w:rsidRPr="00807650">
            <w:rPr>
              <w:rFonts w:ascii="Times New Roman" w:hAnsi="Times New Roman" w:cs="Times New Roman"/>
              <w:sz w:val="24"/>
              <w:szCs w:val="24"/>
            </w:rPr>
            <w:fldChar w:fldCharType="separate"/>
          </w:r>
          <w:r w:rsidRPr="00807650">
            <w:rPr>
              <w:rFonts w:ascii="Times New Roman" w:hAnsi="Times New Roman" w:cs="Times New Roman"/>
              <w:noProof/>
              <w:sz w:val="24"/>
              <w:szCs w:val="24"/>
            </w:rPr>
            <w:t>48</w:t>
          </w:r>
          <w:r w:rsidRPr="00807650">
            <w:rPr>
              <w:rFonts w:ascii="Times New Roman" w:hAnsi="Times New Roman" w:cs="Times New Roman"/>
              <w:sz w:val="24"/>
              <w:szCs w:val="24"/>
            </w:rPr>
            <w:fldChar w:fldCharType="end"/>
          </w:r>
          <w:r w:rsidRPr="00807650">
            <w:rPr>
              <w:rFonts w:ascii="Times New Roman" w:hAnsi="Times New Roman" w:cs="Times New Roman"/>
              <w:sz w:val="24"/>
              <w:szCs w:val="24"/>
            </w:rPr>
            <w:t xml:space="preserve"> de </w:t>
          </w:r>
          <w:r w:rsidRPr="00807650">
            <w:rPr>
              <w:rFonts w:ascii="Times New Roman" w:hAnsi="Times New Roman" w:cs="Times New Roman"/>
              <w:sz w:val="24"/>
              <w:szCs w:val="24"/>
            </w:rPr>
            <w:fldChar w:fldCharType="begin"/>
          </w:r>
          <w:r w:rsidRPr="00807650">
            <w:rPr>
              <w:rFonts w:ascii="Times New Roman" w:hAnsi="Times New Roman" w:cs="Times New Roman"/>
              <w:sz w:val="24"/>
              <w:szCs w:val="24"/>
            </w:rPr>
            <w:instrText xml:space="preserve"> NUMPAGES   \* MERGEFORMAT </w:instrText>
          </w:r>
          <w:r w:rsidRPr="00807650">
            <w:rPr>
              <w:rFonts w:ascii="Times New Roman" w:hAnsi="Times New Roman" w:cs="Times New Roman"/>
              <w:sz w:val="24"/>
              <w:szCs w:val="24"/>
            </w:rPr>
            <w:fldChar w:fldCharType="separate"/>
          </w:r>
          <w:r w:rsidRPr="00807650">
            <w:rPr>
              <w:rFonts w:ascii="Times New Roman" w:hAnsi="Times New Roman" w:cs="Times New Roman"/>
              <w:noProof/>
              <w:sz w:val="24"/>
              <w:szCs w:val="24"/>
            </w:rPr>
            <w:t>70</w:t>
          </w:r>
          <w:r w:rsidRPr="00807650">
            <w:rPr>
              <w:rFonts w:ascii="Times New Roman" w:hAnsi="Times New Roman" w:cs="Times New Roman"/>
              <w:sz w:val="24"/>
              <w:szCs w:val="24"/>
            </w:rPr>
            <w:fldChar w:fldCharType="end"/>
          </w:r>
        </w:p>
      </w:tc>
      <w:tc>
        <w:tcPr>
          <w:tcW w:w="2489" w:type="pct"/>
          <w:vAlign w:val="center"/>
        </w:tcPr>
        <w:p w14:paraId="088DD712" w14:textId="6E360D54" w:rsidR="00BD6111" w:rsidRPr="00807650" w:rsidRDefault="00807650" w:rsidP="00807650">
          <w:pPr>
            <w:spacing w:after="40"/>
            <w:jc w:val="center"/>
            <w:rPr>
              <w:rFonts w:ascii="Times New Roman" w:hAnsi="Times New Roman" w:cs="Times New Roman"/>
              <w:sz w:val="24"/>
              <w:szCs w:val="24"/>
            </w:rPr>
          </w:pPr>
          <w:r w:rsidRPr="00807650">
            <w:rPr>
              <w:rFonts w:ascii="Times New Roman" w:hAnsi="Times New Roman" w:cs="Times New Roman"/>
              <w:sz w:val="24"/>
              <w:szCs w:val="24"/>
            </w:rPr>
            <w:t xml:space="preserve">Fecha de emisión: 3 de octubre de 2026</w:t>
          </w:r>
          <w:r w:rsidR="00CF1CF8">
            <w:rPr>
              <w:rFonts w:ascii="Times New Roman" w:hAnsi="Times New Roman" w:cs="Times New Roman"/>
              <w:sz w:val="24"/>
              <w:szCs w:val="24"/>
            </w:rPr>
            <w:t/>
          </w:r>
          <w:r w:rsidRPr="00807650">
            <w:rPr>
              <w:rFonts w:ascii="Times New Roman" w:hAnsi="Times New Roman" w:cs="Times New Roman"/>
              <w:sz w:val="24"/>
              <w:szCs w:val="24"/>
            </w:rPr>
            <w:t/>
          </w:r>
        </w:p>
      </w:tc>
      <w:tc>
        <w:tcPr>
          <w:tcW w:w="1390" w:type="pct"/>
          <w:vAlign w:val="center"/>
        </w:tcPr>
        <w:p w14:paraId="448092C6" w14:textId="6EAF8F78" w:rsidR="00BD6111" w:rsidRPr="00807650" w:rsidRDefault="00CF1CF8" w:rsidP="00807650">
          <w:pPr>
            <w:spacing w:after="40"/>
            <w:jc w:val="center"/>
            <w:rPr>
              <w:rFonts w:ascii="Times New Roman" w:hAnsi="Times New Roman" w:cs="Times New Roman"/>
              <w:sz w:val="24"/>
              <w:szCs w:val="24"/>
            </w:rPr>
          </w:pPr>
          <w:r>
            <w:rPr>
              <w:rFonts w:ascii="Times New Roman" w:hAnsi="Times New Roman" w:cs="Times New Roman"/>
              <w:sz w:val="24"/>
              <w:szCs w:val="24"/>
            </w:rPr>
            <w:t>Septiembre 2026</w:t>
          </w:r>
        </w:p>
      </w:tc>
    </w:tr>
  </w:tbl>
  <w:p w14:paraId="2200E84B" w14:textId="77777777" w:rsidR="00BD6111" w:rsidRDefault="00BD61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3FD6E" w14:textId="77777777" w:rsidR="009F0EEF" w:rsidRDefault="009F0EEF" w:rsidP="00BD6111">
      <w:r>
        <w:separator/>
      </w:r>
    </w:p>
  </w:footnote>
  <w:footnote w:type="continuationSeparator" w:id="0">
    <w:p w14:paraId="52679BEE" w14:textId="77777777" w:rsidR="009F0EEF" w:rsidRDefault="009F0EEF" w:rsidP="00BD6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Look w:val="04A0" w:firstRow="1" w:lastRow="0" w:firstColumn="1" w:lastColumn="0" w:noHBand="0" w:noVBand="1"/>
    </w:tblPr>
    <w:tblGrid>
      <w:gridCol w:w="2007"/>
      <w:gridCol w:w="4294"/>
      <w:gridCol w:w="2527"/>
    </w:tblGrid>
    <w:tr w:rsidR="00BD6111" w14:paraId="3A20BD44" w14:textId="77777777" w:rsidTr="00B0363D">
      <w:trPr>
        <w:trHeight w:val="963"/>
      </w:trPr>
      <w:tc>
        <w:tcPr>
          <w:tcW w:w="1137" w:type="pct"/>
          <w:vAlign w:val="center"/>
        </w:tcPr>
        <w:p w14:paraId="221B2DE1" w14:textId="37A01A42" w:rsidR="00BD6111" w:rsidRPr="006D76B5" w:rsidRDefault="00357A11" w:rsidP="00C33679">
          <w:pPr>
            <w:widowControl w:val="0"/>
            <w:autoSpaceDE w:val="0"/>
            <w:autoSpaceDN w:val="0"/>
            <w:adjustRightInd w:val="0"/>
            <w:jc w:val="center"/>
            <w:rPr>
              <w:rFonts w:ascii="Times New Roman" w:hAnsi="Times New Roman" w:cs="Times New Roman"/>
              <w:sz w:val="24"/>
              <w:szCs w:val="24"/>
            </w:rPr>
          </w:pPr>
          <w:bookmarkStart w:id="0" w:name="OLE_LINK1"/>
          <w:r>
            <w:rPr>
              <w:rFonts w:ascii="Times New Roman" w:eastAsia="Times New Roman" w:hAnsi="Times New Roman" w:cs="Times New Roman"/>
              <w:noProof/>
            </w:rPr>
            <w:drawing>
              <wp:inline distT="0" distB="0" distL="0" distR="0" wp14:anchorId="141C383F" wp14:editId="666CB869">
                <wp:extent cx="1082040" cy="351663"/>
                <wp:effectExtent l="0" t="0" r="3810" b="0"/>
                <wp:docPr id="1155941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855" cy="362653"/>
                        </a:xfrm>
                        <a:prstGeom prst="rect">
                          <a:avLst/>
                        </a:prstGeom>
                        <a:noFill/>
                        <a:ln>
                          <a:noFill/>
                        </a:ln>
                      </pic:spPr>
                    </pic:pic>
                  </a:graphicData>
                </a:graphic>
              </wp:inline>
            </w:drawing>
          </w:r>
        </w:p>
      </w:tc>
      <w:tc>
        <w:tcPr>
          <w:tcW w:w="2432" w:type="pct"/>
          <w:vAlign w:val="center"/>
        </w:tcPr>
        <w:p w14:paraId="07BBC86A" w14:textId="245A8896" w:rsidR="00BD6111" w:rsidRPr="006D76B5" w:rsidRDefault="006D76B5" w:rsidP="006D76B5">
          <w:pPr>
            <w:spacing w:after="60"/>
            <w:jc w:val="center"/>
            <w:rPr>
              <w:rFonts w:ascii="Times New Roman" w:hAnsi="Times New Roman" w:cs="Times New Roman"/>
              <w:sz w:val="24"/>
              <w:szCs w:val="24"/>
            </w:rPr>
          </w:pPr>
          <w:r w:rsidRPr="006D76B5">
            <w:rPr>
              <w:rFonts w:ascii="Times New Roman" w:hAnsi="Times New Roman" w:cs="Times New Roman"/>
              <w:sz w:val="24"/>
              <w:szCs w:val="24"/>
            </w:rPr>
            <w:t xml:space="preserve">Reporte ejecutivo de </w:t>
          </w:r>
          <w:r w:rsidR="00CF1CF8">
            <w:rPr>
              <w:rFonts w:ascii="Times New Roman" w:hAnsi="Times New Roman" w:cs="Times New Roman"/>
              <w:sz w:val="24"/>
              <w:szCs w:val="24"/>
            </w:rPr>
            <w:t>cobranza</w:t>
          </w:r>
        </w:p>
      </w:tc>
      <w:tc>
        <w:tcPr>
          <w:tcW w:w="1431" w:type="pct"/>
          <w:vAlign w:val="center"/>
        </w:tcPr>
        <w:p w14:paraId="34299408" w14:textId="3DEBFE37" w:rsidR="00BD6111" w:rsidRPr="006D76B5" w:rsidRDefault="006D76B5" w:rsidP="00B0363D">
          <w:pPr>
            <w:jc w:val="center"/>
            <w:rPr>
              <w:rFonts w:ascii="Times New Roman" w:hAnsi="Times New Roman" w:cs="Times New Roman"/>
              <w:sz w:val="24"/>
              <w:szCs w:val="24"/>
            </w:rPr>
          </w:pPr>
          <w:r w:rsidRPr="006D76B5">
            <w:rPr>
              <w:rFonts w:ascii="Times New Roman" w:hAnsi="Times New Roman" w:cs="Times New Roman"/>
              <w:sz w:val="24"/>
              <w:szCs w:val="24"/>
            </w:rPr>
            <w:t>Preparado para Dirección General</w:t>
          </w:r>
        </w:p>
      </w:tc>
    </w:tr>
    <w:bookmarkEnd w:id="0"/>
  </w:tbl>
  <w:p w14:paraId="739C0B76" w14:textId="77777777" w:rsidR="00BD6111" w:rsidRDefault="00BD611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11"/>
    <w:rsid w:val="00147AD0"/>
    <w:rsid w:val="001F56CA"/>
    <w:rsid w:val="0026207C"/>
    <w:rsid w:val="00357A11"/>
    <w:rsid w:val="003B59ED"/>
    <w:rsid w:val="005D0381"/>
    <w:rsid w:val="00636CCE"/>
    <w:rsid w:val="006D76B5"/>
    <w:rsid w:val="00807650"/>
    <w:rsid w:val="008E7871"/>
    <w:rsid w:val="009F0EEF"/>
    <w:rsid w:val="00A53064"/>
    <w:rsid w:val="00AA10A5"/>
    <w:rsid w:val="00AE642D"/>
    <w:rsid w:val="00B0363D"/>
    <w:rsid w:val="00BD6111"/>
    <w:rsid w:val="00C33679"/>
    <w:rsid w:val="00CF1CF8"/>
    <w:rsid w:val="00DD26EF"/>
    <w:rsid w:val="00DF5A9C"/>
    <w:rsid w:val="00E332B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EBA76"/>
  <w15:chartTrackingRefBased/>
  <w15:docId w15:val="{C4BDE634-81E3-4984-95C1-890368E2E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6B5"/>
    <w:pPr>
      <w:spacing w:after="0" w:line="240" w:lineRule="auto"/>
    </w:pPr>
    <w:rPr>
      <w:rFonts w:ascii="Arial" w:eastAsia="Arial" w:hAnsi="Arial" w:cs="Arial"/>
      <w:kern w:val="0"/>
      <w:lang w:eastAsia="es-SV"/>
      <w14:ligatures w14:val="none"/>
    </w:rPr>
  </w:style>
  <w:style w:type="paragraph" w:styleId="Ttulo1">
    <w:name w:val="heading 1"/>
    <w:basedOn w:val="Normal"/>
    <w:next w:val="Normal"/>
    <w:link w:val="Ttulo1Car"/>
    <w:uiPriority w:val="9"/>
    <w:qFormat/>
    <w:rsid w:val="00BD6111"/>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BD6111"/>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BD6111"/>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BD6111"/>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BD6111"/>
    <w:pPr>
      <w:keepNext/>
      <w:keepLines/>
      <w:spacing w:before="80" w:after="40" w:line="259"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BD6111"/>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BD6111"/>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BD6111"/>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BD6111"/>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1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61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61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61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61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61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1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1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111"/>
    <w:rPr>
      <w:rFonts w:eastAsiaTheme="majorEastAsia" w:cstheme="majorBidi"/>
      <w:color w:val="272727" w:themeColor="text1" w:themeTint="D8"/>
    </w:rPr>
  </w:style>
  <w:style w:type="paragraph" w:styleId="Ttulo">
    <w:name w:val="Title"/>
    <w:basedOn w:val="Normal"/>
    <w:next w:val="Normal"/>
    <w:link w:val="TtuloCar"/>
    <w:uiPriority w:val="10"/>
    <w:qFormat/>
    <w:rsid w:val="00BD611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BD61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11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BD61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111"/>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BD6111"/>
    <w:rPr>
      <w:i/>
      <w:iCs/>
      <w:color w:val="404040" w:themeColor="text1" w:themeTint="BF"/>
    </w:rPr>
  </w:style>
  <w:style w:type="paragraph" w:styleId="Prrafodelista">
    <w:name w:val="List Paragraph"/>
    <w:basedOn w:val="Normal"/>
    <w:uiPriority w:val="34"/>
    <w:qFormat/>
    <w:rsid w:val="00BD6111"/>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BD6111"/>
    <w:rPr>
      <w:i/>
      <w:iCs/>
      <w:color w:val="0F4761" w:themeColor="accent1" w:themeShade="BF"/>
    </w:rPr>
  </w:style>
  <w:style w:type="paragraph" w:styleId="Citadestacada">
    <w:name w:val="Intense Quote"/>
    <w:basedOn w:val="Normal"/>
    <w:next w:val="Normal"/>
    <w:link w:val="CitadestacadaCar"/>
    <w:uiPriority w:val="30"/>
    <w:qFormat/>
    <w:rsid w:val="00BD611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BD6111"/>
    <w:rPr>
      <w:i/>
      <w:iCs/>
      <w:color w:val="0F4761" w:themeColor="accent1" w:themeShade="BF"/>
    </w:rPr>
  </w:style>
  <w:style w:type="character" w:styleId="Referenciaintensa">
    <w:name w:val="Intense Reference"/>
    <w:basedOn w:val="Fuentedeprrafopredeter"/>
    <w:uiPriority w:val="32"/>
    <w:qFormat/>
    <w:rsid w:val="00BD6111"/>
    <w:rPr>
      <w:b/>
      <w:bCs/>
      <w:smallCaps/>
      <w:color w:val="0F4761" w:themeColor="accent1" w:themeShade="BF"/>
      <w:spacing w:val="5"/>
    </w:rPr>
  </w:style>
  <w:style w:type="paragraph" w:styleId="Encabezado">
    <w:name w:val="header"/>
    <w:basedOn w:val="Normal"/>
    <w:link w:val="EncabezadoCar"/>
    <w:uiPriority w:val="99"/>
    <w:unhideWhenUsed/>
    <w:rsid w:val="00BD6111"/>
    <w:pPr>
      <w:tabs>
        <w:tab w:val="center" w:pos="4419"/>
        <w:tab w:val="right" w:pos="8838"/>
      </w:tabs>
    </w:pPr>
    <w:rPr>
      <w:rFonts w:asciiTheme="minorHAnsi" w:eastAsiaTheme="minorHAnsi" w:hAnsiTheme="minorHAnsi" w:cstheme="minorBidi"/>
      <w:kern w:val="2"/>
      <w:lang w:eastAsia="en-US"/>
      <w14:ligatures w14:val="standardContextual"/>
    </w:rPr>
  </w:style>
  <w:style w:type="character" w:customStyle="1" w:styleId="EncabezadoCar">
    <w:name w:val="Encabezado Car"/>
    <w:basedOn w:val="Fuentedeprrafopredeter"/>
    <w:link w:val="Encabezado"/>
    <w:uiPriority w:val="99"/>
    <w:rsid w:val="00BD6111"/>
  </w:style>
  <w:style w:type="paragraph" w:styleId="Piedepgina">
    <w:name w:val="footer"/>
    <w:basedOn w:val="Normal"/>
    <w:link w:val="PiedepginaCar"/>
    <w:uiPriority w:val="99"/>
    <w:unhideWhenUsed/>
    <w:rsid w:val="00BD6111"/>
    <w:pPr>
      <w:tabs>
        <w:tab w:val="center" w:pos="4419"/>
        <w:tab w:val="right" w:pos="8838"/>
      </w:tabs>
    </w:pPr>
    <w:rPr>
      <w:rFonts w:asciiTheme="minorHAnsi" w:eastAsiaTheme="minorHAnsi" w:hAnsiTheme="minorHAnsi" w:cstheme="minorBidi"/>
      <w:kern w:val="2"/>
      <w:lang w:eastAsia="en-US"/>
      <w14:ligatures w14:val="standardContextual"/>
    </w:rPr>
  </w:style>
  <w:style w:type="character" w:customStyle="1" w:styleId="PiedepginaCar">
    <w:name w:val="Pie de página Car"/>
    <w:basedOn w:val="Fuentedeprrafopredeter"/>
    <w:link w:val="Piedepgina"/>
    <w:uiPriority w:val="99"/>
    <w:rsid w:val="00BD6111"/>
  </w:style>
  <w:style w:type="paragraph" w:styleId="Textoindependiente2">
    <w:name w:val="Body Text 2"/>
    <w:basedOn w:val="Normal"/>
    <w:link w:val="Textoindependiente2Car"/>
    <w:rsid w:val="00BD6111"/>
    <w:pPr>
      <w:jc w:val="center"/>
    </w:pPr>
    <w:rPr>
      <w:rFonts w:eastAsia="Times New Roman" w:cs="Times New Roman"/>
      <w:b/>
      <w:i/>
      <w:sz w:val="28"/>
      <w:szCs w:val="20"/>
      <w:u w:val="single"/>
      <w:lang w:val="es-ES" w:eastAsia="es-ES"/>
    </w:rPr>
  </w:style>
  <w:style w:type="character" w:customStyle="1" w:styleId="Textoindependiente2Car">
    <w:name w:val="Texto independiente 2 Car"/>
    <w:basedOn w:val="Fuentedeprrafopredeter"/>
    <w:link w:val="Textoindependiente2"/>
    <w:rsid w:val="00BD6111"/>
    <w:rPr>
      <w:rFonts w:ascii="Arial" w:eastAsia="Times New Roman" w:hAnsi="Arial" w:cs="Times New Roman"/>
      <w:b/>
      <w:i/>
      <w:kern w:val="0"/>
      <w:sz w:val="28"/>
      <w:szCs w:val="20"/>
      <w:u w:val="single"/>
      <w:lang w:val="es-ES" w:eastAsia="es-ES"/>
      <w14:ligatures w14:val="none"/>
    </w:rPr>
  </w:style>
  <w:style w:type="table" w:styleId="Tablaconcuadrcula">
    <w:name w:val="Table Grid"/>
    <w:basedOn w:val="Tablanormal"/>
    <w:uiPriority w:val="39"/>
    <w:rsid w:val="00B03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569</Words>
  <Characters>3130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Giovanni Varela Guzman</dc:creator>
  <cp:keywords/>
  <dc:description/>
  <cp:lastModifiedBy>Erick Giovanni Varela Guzman</cp:lastModifiedBy>
  <cp:revision>8</cp:revision>
  <dcterms:created xsi:type="dcterms:W3CDTF">2026-06-19T20:27:00Z</dcterms:created>
  <dcterms:modified xsi:type="dcterms:W3CDTF">2026-08-11T16:31:00Z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2026-06-19T20:40:47Z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14feb3b5-364b-4c9b-a136-abb271d6ee62</vt:lpwstr>
  </property>
  <property fmtid="{D5CDD505-2E9C-101B-9397-08002B2CF9AE}" pid="7" name="MSIP_Label_defa4170-0d19-0005-0000-bc88714345d2_ActionId">
    <vt:lpwstr>1d70505b-bea1-4b1e-ab4d-a8c3cae277ed</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