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6"/>
        </w:rPr>
        <w:t>Dazzi 等（2019）堤防溃口模型</w:t>
        <w:br/>
        <w:t>全文理解、逐节解析与 TELEMAC-2D 非结构三角网格改造设计</w:t>
      </w:r>
    </w:p>
    <w:p>
      <w:pPr>
        <w:jc w:val="center"/>
      </w:pPr>
      <w:r>
        <w:rPr>
          <w:sz w:val="20"/>
        </w:rPr>
        <w:t>详细版技术理解文档 | 2026-10-24</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项目</w:t>
            </w:r>
          </w:p>
        </w:tc>
        <w:tc>
          <w:tcPr>
            <w:tcW w:type="dxa" w:w="4816"/>
            <w:vAlign w:val="center"/>
            <w:shd w:fill="D9EAF7"/>
          </w:tcPr>
          <w:p>
            <w:pPr>
              <w:spacing w:after="0"/>
            </w:pPr>
            <w:r/>
            <w:r>
              <w:rPr>
                <w:b/>
                <w:sz w:val="18"/>
              </w:rPr>
              <w:t>内容</w:t>
            </w:r>
          </w:p>
        </w:tc>
      </w:tr>
      <w:tr>
        <w:tc>
          <w:tcPr>
            <w:tcW w:type="dxa" w:w="4816"/>
            <w:vAlign w:val="center"/>
          </w:tcPr>
          <w:p>
            <w:pPr>
              <w:spacing w:after="0"/>
            </w:pPr>
            <w:r/>
            <w:r>
              <w:rPr>
                <w:b w:val="0"/>
                <w:sz w:val="18"/>
              </w:rPr>
              <w:t>原文题目</w:t>
            </w:r>
          </w:p>
        </w:tc>
        <w:tc>
          <w:tcPr>
            <w:tcW w:type="dxa" w:w="4816"/>
            <w:vAlign w:val="center"/>
          </w:tcPr>
          <w:p>
            <w:pPr>
              <w:spacing w:after="0"/>
            </w:pPr>
            <w:r/>
            <w:r>
              <w:rPr>
                <w:b w:val="0"/>
                <w:sz w:val="18"/>
              </w:rPr>
              <w:t>Integration of a Levee Breach Erosion Model in a GPU-Accelerated 2D Shallow Water Equations Code</w:t>
            </w:r>
          </w:p>
        </w:tc>
      </w:tr>
      <w:tr>
        <w:tc>
          <w:tcPr>
            <w:tcW w:type="dxa" w:w="4816"/>
            <w:vAlign w:val="center"/>
          </w:tcPr>
          <w:p>
            <w:pPr>
              <w:spacing w:after="0"/>
            </w:pPr>
            <w:r/>
            <w:r>
              <w:rPr>
                <w:b w:val="0"/>
                <w:sz w:val="18"/>
              </w:rPr>
              <w:t>作者</w:t>
            </w:r>
          </w:p>
        </w:tc>
        <w:tc>
          <w:tcPr>
            <w:tcW w:type="dxa" w:w="4816"/>
            <w:vAlign w:val="center"/>
          </w:tcPr>
          <w:p>
            <w:pPr>
              <w:spacing w:after="0"/>
            </w:pPr>
            <w:r/>
            <w:r>
              <w:rPr>
                <w:b w:val="0"/>
                <w:sz w:val="18"/>
              </w:rPr>
              <w:t>S. Dazzi, R. Vacondio, P. Mignosa</w:t>
            </w:r>
          </w:p>
        </w:tc>
      </w:tr>
      <w:tr>
        <w:tc>
          <w:tcPr>
            <w:tcW w:type="dxa" w:w="4816"/>
            <w:vAlign w:val="center"/>
          </w:tcPr>
          <w:p>
            <w:pPr>
              <w:spacing w:after="0"/>
            </w:pPr>
            <w:r/>
            <w:r>
              <w:rPr>
                <w:b w:val="0"/>
                <w:sz w:val="18"/>
              </w:rPr>
              <w:t>期刊</w:t>
            </w:r>
          </w:p>
        </w:tc>
        <w:tc>
          <w:tcPr>
            <w:tcW w:type="dxa" w:w="4816"/>
            <w:vAlign w:val="center"/>
          </w:tcPr>
          <w:p>
            <w:pPr>
              <w:spacing w:after="0"/>
            </w:pPr>
            <w:r/>
            <w:r>
              <w:rPr>
                <w:b w:val="0"/>
                <w:sz w:val="18"/>
              </w:rPr>
              <w:t>Water Resources Research, 55, 682–702, 2019</w:t>
            </w:r>
          </w:p>
        </w:tc>
      </w:tr>
      <w:tr>
        <w:tc>
          <w:tcPr>
            <w:tcW w:type="dxa" w:w="4816"/>
            <w:vAlign w:val="center"/>
          </w:tcPr>
          <w:p>
            <w:pPr>
              <w:spacing w:after="0"/>
            </w:pPr>
            <w:r/>
            <w:r>
              <w:rPr>
                <w:b w:val="0"/>
                <w:sz w:val="18"/>
              </w:rPr>
              <w:t>DOI</w:t>
            </w:r>
          </w:p>
        </w:tc>
        <w:tc>
          <w:tcPr>
            <w:tcW w:type="dxa" w:w="4816"/>
            <w:vAlign w:val="center"/>
          </w:tcPr>
          <w:p>
            <w:pPr>
              <w:spacing w:after="0"/>
            </w:pPr>
            <w:r/>
            <w:r>
              <w:rPr>
                <w:b w:val="0"/>
                <w:sz w:val="18"/>
              </w:rPr>
              <w:t>10.1029/2018WR023826</w:t>
            </w:r>
          </w:p>
        </w:tc>
      </w:tr>
      <w:tr>
        <w:tc>
          <w:tcPr>
            <w:tcW w:type="dxa" w:w="4816"/>
            <w:vAlign w:val="center"/>
          </w:tcPr>
          <w:p>
            <w:pPr>
              <w:spacing w:after="0"/>
            </w:pPr>
            <w:r/>
            <w:r>
              <w:rPr>
                <w:b w:val="0"/>
                <w:sz w:val="18"/>
              </w:rPr>
              <w:t>本地文件</w:t>
            </w:r>
          </w:p>
        </w:tc>
        <w:tc>
          <w:tcPr>
            <w:tcW w:type="dxa" w:w="4816"/>
            <w:vAlign w:val="center"/>
          </w:tcPr>
          <w:p>
            <w:pPr>
              <w:spacing w:after="0"/>
            </w:pPr>
            <w:r/>
            <w:r>
              <w:rPr>
                <w:b w:val="0"/>
                <w:sz w:val="18"/>
              </w:rPr>
              <w:t>Dazzi 等 - 中英对照版.pdf（44 个 PDF 页面，英文与中文对照）</w:t>
            </w:r>
          </w:p>
        </w:tc>
      </w:tr>
      <w:tr>
        <w:tc>
          <w:tcPr>
            <w:tcW w:type="dxa" w:w="4816"/>
            <w:vAlign w:val="center"/>
          </w:tcPr>
          <w:p>
            <w:pPr>
              <w:spacing w:after="0"/>
            </w:pPr>
            <w:r/>
            <w:r>
              <w:rPr>
                <w:b w:val="0"/>
                <w:sz w:val="18"/>
              </w:rPr>
              <w:t>阅读目标</w:t>
            </w:r>
          </w:p>
        </w:tc>
        <w:tc>
          <w:tcPr>
            <w:tcW w:type="dxa" w:w="4816"/>
            <w:vAlign w:val="center"/>
          </w:tcPr>
          <w:p>
            <w:pPr>
              <w:spacing w:after="0"/>
            </w:pPr>
            <w:r/>
            <w:r>
              <w:rPr>
                <w:b w:val="0"/>
                <w:sz w:val="18"/>
              </w:rPr>
              <w:t>理解模型假设、公式、算法步骤、验证证据和可迁移到 TELEMAC 的部分</w:t>
            </w:r>
          </w:p>
        </w:tc>
      </w:tr>
      <w:tr>
        <w:tc>
          <w:tcPr>
            <w:tcW w:type="dxa" w:w="4816"/>
            <w:vAlign w:val="center"/>
          </w:tcPr>
          <w:p>
            <w:pPr>
              <w:spacing w:after="0"/>
            </w:pPr>
            <w:r/>
            <w:r>
              <w:rPr>
                <w:b w:val="0"/>
                <w:sz w:val="18"/>
              </w:rPr>
              <w:t>独立实现位置</w:t>
            </w:r>
          </w:p>
        </w:tc>
        <w:tc>
          <w:tcPr>
            <w:tcW w:type="dxa" w:w="4816"/>
            <w:vAlign w:val="center"/>
          </w:tcPr>
          <w:p>
            <w:pPr>
              <w:spacing w:after="0"/>
            </w:pPr>
            <w:r/>
            <w:r>
              <w:rPr>
                <w:b w:val="0"/>
                <w:sz w:val="18"/>
              </w:rPr>
              <w:t>目前方案与已有资料/边坡失稳独立实现/Dazzi_非结构三角网格耦合/</w:t>
            </w:r>
          </w:p>
        </w:tc>
      </w:tr>
    </w:tbl>
    <w:p>
      <w:pPr>
        <w:spacing w:after="0"/>
      </w:pPr>
    </w:p>
    <w:tbl>
      <w:tblPr>
        <w:tblStyle w:val="TableGrid"/>
        <w:tblW w:type="auto" w:w="0"/>
        <w:tblLook w:firstColumn="1" w:firstRow="1" w:lastColumn="0" w:lastRow="0" w:noHBand="0" w:noVBand="1" w:val="04A0"/>
      </w:tblPr>
      <w:tblGrid>
        <w:gridCol w:w="9632"/>
      </w:tblGrid>
      <w:tr>
        <w:tc>
          <w:tcPr>
            <w:tcW w:type="dxa" w:w="9632"/>
            <w:shd w:fill="FFF2CC"/>
          </w:tcPr>
          <w:p>
            <w:r/>
            <w:r>
              <w:rPr>
                <w:b/>
                <w:sz w:val="20"/>
              </w:rPr>
              <w:t>阅读结论</w:t>
              <w:br/>
            </w:r>
            <w:r>
              <w:rPr>
                <w:sz w:val="19"/>
              </w:rPr>
              <w:t>这篇论文不是“一个临界坡角公式”。它把堤防溃口问题拆成二维水动力、超量剪应力侵蚀和岸坡失稳三个耦合模块；其中岸坡失稳使用 φc,dry、φc,wet 和 φdep 三个角度，侵蚀模块则假设冲刷土体被水流带走而不模拟沉积。将其改造成 TELEMAC-2D 非结构三角网格时，必须同时保留这三个角度的区别、失稳迭代逻辑和水量/土体质量账本的区别。</w:t>
            </w:r>
          </w:p>
        </w:tc>
      </w:tr>
    </w:tbl>
    <w:p>
      <w:pPr>
        <w:spacing w:after="0"/>
      </w:pPr>
    </w:p>
    <w:p>
      <w:pPr>
        <w:pStyle w:val="Heading1"/>
      </w:pPr>
      <w:r>
        <w:t>1. 论文研究问题与建模动机</w:t>
      </w:r>
    </w:p>
    <w:p>
      <w:r>
        <w:t>论文关注的是漫顶引起的堤防溃口开启以及随后洪水扩散。作者指出，溃口过程同时受到水动力、土体侵蚀、岸坡稳定、泥沙输运和入渗影响，完整过程本质上是三维问题。对于实际洪水模拟，完整三维模型计算成本太高，因此论文采用二维深度平均浅水模型，并把侵蚀和岸坡失稳作为运行时地形更新模块。</w:t>
      </w:r>
    </w:p>
    <w:p>
      <w:r>
        <w:t>论文对已有方法进行了三类区分。第一类是预先规定溃口位置、形状、最终宽度和开启时间的几何方法，计算简单，但不使用堤防材料特性。第二类是二维泥沙输运方法，能够计算侵蚀和沉积，但常用输沙公式主要在均匀流、小坡度和非黏性材料条件下建立，对高坡度、强非恒定和黏性堤防不一定适用。第三类是基于侵蚀定律的方法，通过水动力剪切应力和材料可蚀性参数动态降低堤面高程。</w:t>
      </w:r>
    </w:p>
    <w:p>
      <w:pPr>
        <w:pStyle w:val="ListBullet"/>
        <w:spacing w:after="40"/>
      </w:pPr>
      <w:r>
        <w:t>几何方法可以快速给出洪水演进，但溃口演化受人为预设控制。</w:t>
      </w:r>
    </w:p>
    <w:p>
      <w:pPr>
        <w:pStyle w:val="ListBullet"/>
        <w:spacing w:after="40"/>
      </w:pPr>
      <w:r>
        <w:t>泥沙输运方法具有更完整的物质输运含义，但参数多、计算量大，并可能高估细砂或黏性堤防的侵蚀。</w:t>
      </w:r>
    </w:p>
    <w:p>
      <w:pPr>
        <w:pStyle w:val="ListBullet"/>
        <w:spacing w:after="40"/>
      </w:pPr>
      <w:r>
        <w:t>超量剪应力侵蚀模型更容易扩展到黏性材料，也更适合大范围洪水模拟。</w:t>
      </w:r>
    </w:p>
    <w:p>
      <w:pPr>
        <w:pStyle w:val="ListBullet"/>
        <w:spacing w:after="40"/>
      </w:pPr>
      <w:r>
        <w:t>二维深度平均模型不能解析悬臂式坍塌、垂向加速度、流线曲率和黏性材料 headcut 溯源侵蚀。</w:t>
      </w:r>
    </w:p>
    <w:p>
      <w:r>
        <w:t>论文的研究目标不是还原所有三维破坏细节，而是在可接受计算成本下，预测溃口形成位置、展宽过程、出流过程和洪水淹没范围。</w:t>
      </w:r>
    </w:p>
    <w:p>
      <w:pPr>
        <w:spacing w:after="80"/>
      </w:pPr>
      <w:r>
        <w:rPr>
          <w:i/>
          <w:sz w:val="17"/>
        </w:rPr>
        <w:t>文献定位：论文印刷页 682–684；PDF页 1–7。</w:t>
      </w:r>
    </w:p>
    <w:p>
      <w:pPr>
        <w:pStyle w:val="Heading1"/>
      </w:pPr>
      <w:r>
        <w:t>2. 论文模型总体结构</w:t>
      </w:r>
    </w:p>
    <w:p>
      <w:r>
        <w:t>论文的主模型由三个部分组成：二维浅水水动力模型、基于超量剪应力的侵蚀模型和岸坡失稳模型。另有一个基于 Exner 方程的推移质输运模型作为对比模型，放在附录 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D9EAF7"/>
          </w:tcPr>
          <w:p>
            <w:pPr>
              <w:spacing w:after="0"/>
            </w:pPr>
            <w:r/>
            <w:r>
              <w:rPr>
                <w:b/>
                <w:sz w:val="18"/>
              </w:rPr>
              <w:t>模块</w:t>
            </w:r>
          </w:p>
        </w:tc>
        <w:tc>
          <w:tcPr>
            <w:tcW w:type="dxa" w:w="2408"/>
            <w:vAlign w:val="center"/>
            <w:shd w:fill="D9EAF7"/>
          </w:tcPr>
          <w:p>
            <w:pPr>
              <w:spacing w:after="0"/>
            </w:pPr>
            <w:r/>
            <w:r>
              <w:rPr>
                <w:b/>
                <w:sz w:val="18"/>
              </w:rPr>
              <w:t>输入</w:t>
            </w:r>
          </w:p>
        </w:tc>
        <w:tc>
          <w:tcPr>
            <w:tcW w:type="dxa" w:w="2408"/>
            <w:vAlign w:val="center"/>
            <w:shd w:fill="D9EAF7"/>
          </w:tcPr>
          <w:p>
            <w:pPr>
              <w:spacing w:after="0"/>
            </w:pPr>
            <w:r/>
            <w:r>
              <w:rPr>
                <w:b/>
                <w:sz w:val="18"/>
              </w:rPr>
              <w:t>主要更新</w:t>
            </w:r>
          </w:p>
        </w:tc>
        <w:tc>
          <w:tcPr>
            <w:tcW w:type="dxa" w:w="2408"/>
            <w:vAlign w:val="center"/>
            <w:shd w:fill="D9EAF7"/>
          </w:tcPr>
          <w:p>
            <w:pPr>
              <w:spacing w:after="0"/>
            </w:pPr>
            <w:r/>
            <w:r>
              <w:rPr>
                <w:b/>
                <w:sz w:val="18"/>
              </w:rPr>
              <w:t>是否包含沉积</w:t>
            </w:r>
          </w:p>
        </w:tc>
      </w:tr>
      <w:tr>
        <w:tc>
          <w:tcPr>
            <w:tcW w:type="dxa" w:w="2408"/>
            <w:vAlign w:val="center"/>
          </w:tcPr>
          <w:p>
            <w:pPr>
              <w:spacing w:after="0"/>
            </w:pPr>
            <w:r/>
            <w:r>
              <w:rPr>
                <w:b w:val="0"/>
                <w:sz w:val="18"/>
              </w:rPr>
              <w:t>二维水动力</w:t>
            </w:r>
          </w:p>
        </w:tc>
        <w:tc>
          <w:tcPr>
            <w:tcW w:type="dxa" w:w="2408"/>
            <w:vAlign w:val="center"/>
          </w:tcPr>
          <w:p>
            <w:pPr>
              <w:spacing w:after="0"/>
            </w:pPr>
            <w:r/>
            <w:r>
              <w:rPr>
                <w:b w:val="0"/>
                <w:sz w:val="18"/>
              </w:rPr>
              <w:t>水深、水面高程、速度、边界条件、床面高程</w:t>
            </w:r>
          </w:p>
        </w:tc>
        <w:tc>
          <w:tcPr>
            <w:tcW w:type="dxa" w:w="2408"/>
            <w:vAlign w:val="center"/>
          </w:tcPr>
          <w:p>
            <w:pPr>
              <w:spacing w:after="0"/>
            </w:pPr>
            <w:r/>
            <w:r>
              <w:rPr>
                <w:b w:val="0"/>
                <w:sz w:val="18"/>
              </w:rPr>
              <w:t>更新水深、动量和水面</w:t>
            </w:r>
          </w:p>
        </w:tc>
        <w:tc>
          <w:tcPr>
            <w:tcW w:type="dxa" w:w="2408"/>
            <w:vAlign w:val="center"/>
          </w:tcPr>
          <w:p>
            <w:pPr>
              <w:spacing w:after="0"/>
            </w:pPr>
            <w:r/>
            <w:r>
              <w:rPr>
                <w:b w:val="0"/>
                <w:sz w:val="18"/>
              </w:rPr>
              <w:t>不负责土体沉积</w:t>
            </w:r>
          </w:p>
        </w:tc>
      </w:tr>
      <w:tr>
        <w:tc>
          <w:tcPr>
            <w:tcW w:type="dxa" w:w="2408"/>
            <w:vAlign w:val="center"/>
          </w:tcPr>
          <w:p>
            <w:pPr>
              <w:spacing w:after="0"/>
            </w:pPr>
            <w:r/>
            <w:r>
              <w:rPr>
                <w:b w:val="0"/>
                <w:sz w:val="18"/>
              </w:rPr>
              <w:t>超量剪应力侵蚀</w:t>
            </w:r>
          </w:p>
        </w:tc>
        <w:tc>
          <w:tcPr>
            <w:tcW w:type="dxa" w:w="2408"/>
            <w:vAlign w:val="center"/>
          </w:tcPr>
          <w:p>
            <w:pPr>
              <w:spacing w:after="0"/>
            </w:pPr>
            <w:r/>
            <w:r>
              <w:rPr>
                <w:b w:val="0"/>
                <w:sz w:val="18"/>
              </w:rPr>
              <w:t>床面剪应力、kd、τc、孔隙率、可蚀区</w:t>
            </w:r>
          </w:p>
        </w:tc>
        <w:tc>
          <w:tcPr>
            <w:tcW w:type="dxa" w:w="2408"/>
            <w:vAlign w:val="center"/>
          </w:tcPr>
          <w:p>
            <w:pPr>
              <w:spacing w:after="0"/>
            </w:pPr>
            <w:r/>
            <w:r>
              <w:rPr>
                <w:b w:val="0"/>
                <w:sz w:val="18"/>
              </w:rPr>
              <w:t>降低局部床面高程</w:t>
            </w:r>
          </w:p>
        </w:tc>
        <w:tc>
          <w:tcPr>
            <w:tcW w:type="dxa" w:w="2408"/>
            <w:vAlign w:val="center"/>
          </w:tcPr>
          <w:p>
            <w:pPr>
              <w:spacing w:after="0"/>
            </w:pPr>
            <w:r/>
            <w:r>
              <w:rPr>
                <w:b w:val="0"/>
                <w:sz w:val="18"/>
              </w:rPr>
              <w:t>否，侵蚀物假定被带走</w:t>
            </w:r>
          </w:p>
        </w:tc>
      </w:tr>
      <w:tr>
        <w:tc>
          <w:tcPr>
            <w:tcW w:type="dxa" w:w="2408"/>
            <w:vAlign w:val="center"/>
          </w:tcPr>
          <w:p>
            <w:pPr>
              <w:spacing w:after="0"/>
            </w:pPr>
            <w:r/>
            <w:r>
              <w:rPr>
                <w:b w:val="0"/>
                <w:sz w:val="18"/>
              </w:rPr>
              <w:t>岸坡失稳</w:t>
            </w:r>
          </w:p>
        </w:tc>
        <w:tc>
          <w:tcPr>
            <w:tcW w:type="dxa" w:w="2408"/>
            <w:vAlign w:val="center"/>
          </w:tcPr>
          <w:p>
            <w:pPr>
              <w:spacing w:after="0"/>
            </w:pPr>
            <w:r/>
            <w:r>
              <w:rPr>
                <w:b w:val="0"/>
                <w:sz w:val="18"/>
              </w:rPr>
              <w:t>相邻单元高程、干湿状态、临界角、沉积角</w:t>
            </w:r>
          </w:p>
        </w:tc>
        <w:tc>
          <w:tcPr>
            <w:tcW w:type="dxa" w:w="2408"/>
            <w:vAlign w:val="center"/>
          </w:tcPr>
          <w:p>
            <w:pPr>
              <w:spacing w:after="0"/>
            </w:pPr>
            <w:r/>
            <w:r>
              <w:rPr>
                <w:b w:val="0"/>
                <w:sz w:val="18"/>
              </w:rPr>
              <w:t>相邻单元等量反向调高程</w:t>
            </w:r>
          </w:p>
        </w:tc>
        <w:tc>
          <w:tcPr>
            <w:tcW w:type="dxa" w:w="2408"/>
            <w:vAlign w:val="center"/>
          </w:tcPr>
          <w:p>
            <w:pPr>
              <w:spacing w:after="0"/>
            </w:pPr>
            <w:r/>
            <w:r>
              <w:rPr>
                <w:b w:val="0"/>
                <w:sz w:val="18"/>
              </w:rPr>
              <w:t>通过邻居反向修正表示沉积</w:t>
            </w:r>
          </w:p>
        </w:tc>
      </w:tr>
      <w:tr>
        <w:tc>
          <w:tcPr>
            <w:tcW w:type="dxa" w:w="2408"/>
            <w:vAlign w:val="center"/>
          </w:tcPr>
          <w:p>
            <w:pPr>
              <w:spacing w:after="0"/>
            </w:pPr>
            <w:r/>
            <w:r>
              <w:rPr>
                <w:b w:val="0"/>
                <w:sz w:val="18"/>
              </w:rPr>
              <w:t>Exner 推移质模型</w:t>
            </w:r>
          </w:p>
        </w:tc>
        <w:tc>
          <w:tcPr>
            <w:tcW w:type="dxa" w:w="2408"/>
            <w:vAlign w:val="center"/>
          </w:tcPr>
          <w:p>
            <w:pPr>
              <w:spacing w:after="0"/>
            </w:pPr>
            <w:r/>
            <w:r>
              <w:rPr>
                <w:b w:val="0"/>
                <w:sz w:val="18"/>
              </w:rPr>
              <w:t>输沙通量、粒径、坡度、Shields 参数</w:t>
            </w:r>
          </w:p>
        </w:tc>
        <w:tc>
          <w:tcPr>
            <w:tcW w:type="dxa" w:w="2408"/>
            <w:vAlign w:val="center"/>
          </w:tcPr>
          <w:p>
            <w:pPr>
              <w:spacing w:after="0"/>
            </w:pPr>
            <w:r/>
            <w:r>
              <w:rPr>
                <w:b w:val="0"/>
                <w:sz w:val="18"/>
              </w:rPr>
              <w:t>通过通量散度更新床面</w:t>
            </w:r>
          </w:p>
        </w:tc>
        <w:tc>
          <w:tcPr>
            <w:tcW w:type="dxa" w:w="2408"/>
            <w:vAlign w:val="center"/>
          </w:tcPr>
          <w:p>
            <w:pPr>
              <w:spacing w:after="0"/>
            </w:pPr>
            <w:r/>
            <w:r>
              <w:rPr>
                <w:b w:val="0"/>
                <w:sz w:val="18"/>
              </w:rPr>
              <w:t>是，按输沙通量体现</w:t>
            </w:r>
          </w:p>
        </w:tc>
      </w:tr>
    </w:tbl>
    <w:p>
      <w:pPr>
        <w:spacing w:after="0"/>
      </w:pPr>
    </w:p>
    <w:tbl>
      <w:tblPr>
        <w:tblStyle w:val="TableGrid"/>
        <w:tblW w:type="auto" w:w="0"/>
        <w:tblLook w:firstColumn="1" w:firstRow="1" w:lastColumn="0" w:lastRow="0" w:noHBand="0" w:noVBand="1" w:val="04A0"/>
      </w:tblPr>
      <w:tblGrid>
        <w:gridCol w:w="9632"/>
      </w:tblGrid>
      <w:tr>
        <w:tc>
          <w:tcPr>
            <w:tcW w:type="dxa" w:w="9632"/>
            <w:shd w:fill="FFF2CC"/>
          </w:tcPr>
          <w:p>
            <w:r/>
            <w:r>
              <w:rPr>
                <w:b/>
                <w:sz w:val="20"/>
              </w:rPr>
              <w:t>关键区分</w:t>
              <w:br/>
            </w:r>
            <w:r>
              <w:rPr>
                <w:sz w:val="19"/>
              </w:rPr>
              <w:t>论文摘要中说模型耦合了侵蚀和 bank failure，但“侵蚀模块的冲刷土体被带走”和“bank failure 的等量反向坡度修正”是两套不同的物质处理。后续实现文档和代码必须把二者分开记录。</w:t>
            </w:r>
          </w:p>
        </w:tc>
      </w:tr>
    </w:tbl>
    <w:p>
      <w:pPr>
        <w:spacing w:after="0"/>
      </w:pPr>
    </w:p>
    <w:p>
      <w:pPr>
        <w:spacing w:after="80"/>
      </w:pPr>
      <w:r>
        <w:rPr>
          <w:i/>
          <w:sz w:val="17"/>
        </w:rPr>
        <w:t>文献定位：论文印刷页 684–686、699–700；PDF页 7–13、39–40。</w:t>
      </w:r>
    </w:p>
    <w:p>
      <w:pPr>
        <w:pStyle w:val="Heading1"/>
      </w:pPr>
      <w:r>
        <w:t>3. 二维浅水水动力模型</w:t>
      </w:r>
    </w:p>
    <w:p>
      <w:pPr>
        <w:pStyle w:val="Heading2"/>
      </w:pPr>
      <w:r>
        <w:t>3.1 控制方程</w:t>
      </w:r>
    </w:p>
    <w:p>
      <w:r>
        <w:t>论文从二维浅水方程的积分形式出发：</w:t>
      </w:r>
    </w:p>
    <w:p>
      <w:r>
        <w:t>∂/∂t ∫A U dA + ∮C H·n dC = ∫A (S0 + Sf) dA</w:t>
      </w:r>
    </w:p>
    <w:p>
      <w:r>
        <w:t>其中 A 为控制体，C 为控制体边界，U 为守恒变量向量，H 为通量张量，n 为边界外法向，S0 为床面坡度源项，Sf 为摩阻源项。变量关系为 η = h + z，其中 η 为水面高程，h 为水深，z 为床面高程。</w:t>
      </w:r>
    </w:p>
    <w:p>
      <w:r>
        <w:t>论文采用 well-balanced 形式，使静水平衡状态下水面坡度和床面坡度不会产生非物理流动。水动力离散采用显式有限体积格式，提供一阶和二阶空间时间精度，但论文后续说明主要使用一阶形式。</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项目</w:t>
            </w:r>
          </w:p>
        </w:tc>
        <w:tc>
          <w:tcPr>
            <w:tcW w:type="dxa" w:w="4816"/>
            <w:vAlign w:val="center"/>
            <w:shd w:fill="D9EAF7"/>
          </w:tcPr>
          <w:p>
            <w:pPr>
              <w:spacing w:after="0"/>
            </w:pPr>
            <w:r/>
            <w:r>
              <w:rPr>
                <w:b/>
                <w:sz w:val="18"/>
              </w:rPr>
              <w:t>论文处理</w:t>
            </w:r>
          </w:p>
        </w:tc>
      </w:tr>
      <w:tr>
        <w:tc>
          <w:tcPr>
            <w:tcW w:type="dxa" w:w="4816"/>
            <w:vAlign w:val="center"/>
          </w:tcPr>
          <w:p>
            <w:pPr>
              <w:spacing w:after="0"/>
            </w:pPr>
            <w:r/>
            <w:r>
              <w:rPr>
                <w:b w:val="0"/>
                <w:sz w:val="18"/>
              </w:rPr>
              <w:t>通量求解器</w:t>
            </w:r>
          </w:p>
        </w:tc>
        <w:tc>
          <w:tcPr>
            <w:tcW w:type="dxa" w:w="4816"/>
            <w:vAlign w:val="center"/>
          </w:tcPr>
          <w:p>
            <w:pPr>
              <w:spacing w:after="0"/>
            </w:pPr>
            <w:r/>
            <w:r>
              <w:rPr>
                <w:b w:val="0"/>
                <w:sz w:val="18"/>
              </w:rPr>
              <w:t>HLLC 近似黎曼求解器</w:t>
            </w:r>
          </w:p>
        </w:tc>
      </w:tr>
      <w:tr>
        <w:tc>
          <w:tcPr>
            <w:tcW w:type="dxa" w:w="4816"/>
            <w:vAlign w:val="center"/>
          </w:tcPr>
          <w:p>
            <w:pPr>
              <w:spacing w:after="0"/>
            </w:pPr>
            <w:r/>
            <w:r>
              <w:rPr>
                <w:b w:val="0"/>
                <w:sz w:val="18"/>
              </w:rPr>
              <w:t>干湿界面</w:t>
            </w:r>
          </w:p>
        </w:tc>
        <w:tc>
          <w:tcPr>
            <w:tcW w:type="dxa" w:w="4816"/>
            <w:vAlign w:val="center"/>
          </w:tcPr>
          <w:p>
            <w:pPr>
              <w:spacing w:after="0"/>
            </w:pPr>
            <w:r/>
            <w:r>
              <w:rPr>
                <w:b w:val="0"/>
                <w:sz w:val="18"/>
              </w:rPr>
              <w:t>采用 Kurganov 与 Petrova 的修正，避免干湿前沿出现非物理速度</w:t>
            </w:r>
          </w:p>
        </w:tc>
      </w:tr>
      <w:tr>
        <w:tc>
          <w:tcPr>
            <w:tcW w:type="dxa" w:w="4816"/>
            <w:vAlign w:val="center"/>
          </w:tcPr>
          <w:p>
            <w:pPr>
              <w:spacing w:after="0"/>
            </w:pPr>
            <w:r/>
            <w:r>
              <w:rPr>
                <w:b w:val="0"/>
                <w:sz w:val="18"/>
              </w:rPr>
              <w:t>坡度源项</w:t>
            </w:r>
          </w:p>
        </w:tc>
        <w:tc>
          <w:tcPr>
            <w:tcW w:type="dxa" w:w="4816"/>
            <w:vAlign w:val="center"/>
          </w:tcPr>
          <w:p>
            <w:pPr>
              <w:spacing w:after="0"/>
            </w:pPr>
            <w:r/>
            <w:r>
              <w:rPr>
                <w:b w:val="0"/>
                <w:sz w:val="18"/>
              </w:rPr>
              <w:t>中心近似</w:t>
            </w:r>
          </w:p>
        </w:tc>
      </w:tr>
      <w:tr>
        <w:tc>
          <w:tcPr>
            <w:tcW w:type="dxa" w:w="4816"/>
            <w:vAlign w:val="center"/>
          </w:tcPr>
          <w:p>
            <w:pPr>
              <w:spacing w:after="0"/>
            </w:pPr>
            <w:r/>
            <w:r>
              <w:rPr>
                <w:b w:val="0"/>
                <w:sz w:val="18"/>
              </w:rPr>
              <w:t>摩阻源项</w:t>
            </w:r>
          </w:p>
        </w:tc>
        <w:tc>
          <w:tcPr>
            <w:tcW w:type="dxa" w:w="4816"/>
            <w:vAlign w:val="center"/>
          </w:tcPr>
          <w:p>
            <w:pPr>
              <w:spacing w:after="0"/>
            </w:pPr>
            <w:r/>
            <w:r>
              <w:rPr>
                <w:b w:val="0"/>
                <w:sz w:val="18"/>
              </w:rPr>
              <w:t>隐式处理</w:t>
            </w:r>
          </w:p>
        </w:tc>
      </w:tr>
      <w:tr>
        <w:tc>
          <w:tcPr>
            <w:tcW w:type="dxa" w:w="4816"/>
            <w:vAlign w:val="center"/>
          </w:tcPr>
          <w:p>
            <w:pPr>
              <w:spacing w:after="0"/>
            </w:pPr>
            <w:r/>
            <w:r>
              <w:rPr>
                <w:b w:val="0"/>
                <w:sz w:val="18"/>
              </w:rPr>
              <w:t>时间步长</w:t>
            </w:r>
          </w:p>
        </w:tc>
        <w:tc>
          <w:tcPr>
            <w:tcW w:type="dxa" w:w="4816"/>
            <w:vAlign w:val="center"/>
          </w:tcPr>
          <w:p>
            <w:pPr>
              <w:spacing w:after="0"/>
            </w:pPr>
            <w:r/>
            <w:r>
              <w:rPr>
                <w:b w:val="0"/>
                <w:sz w:val="18"/>
              </w:rPr>
              <w:t>按 CFL 条件确定最小允许时间步</w:t>
            </w:r>
          </w:p>
        </w:tc>
      </w:tr>
      <w:tr>
        <w:tc>
          <w:tcPr>
            <w:tcW w:type="dxa" w:w="4816"/>
            <w:vAlign w:val="center"/>
          </w:tcPr>
          <w:p>
            <w:pPr>
              <w:spacing w:after="0"/>
            </w:pPr>
            <w:r/>
            <w:r>
              <w:rPr>
                <w:b w:val="0"/>
                <w:sz w:val="18"/>
              </w:rPr>
              <w:t>计算实现</w:t>
            </w:r>
          </w:p>
        </w:tc>
        <w:tc>
          <w:tcPr>
            <w:tcW w:type="dxa" w:w="4816"/>
            <w:vAlign w:val="center"/>
          </w:tcPr>
          <w:p>
            <w:pPr>
              <w:spacing w:after="0"/>
            </w:pPr>
            <w:r/>
            <w:r>
              <w:rPr>
                <w:b w:val="0"/>
                <w:sz w:val="18"/>
              </w:rPr>
              <w:t>CUDA/C++，利用 GPU 线程并行</w:t>
            </w:r>
          </w:p>
        </w:tc>
      </w:tr>
    </w:tbl>
    <w:p>
      <w:pPr>
        <w:spacing w:after="0"/>
      </w:pPr>
    </w:p>
    <w:p>
      <w:r>
        <w:t>对本项目的含义是：Dazzi 的水动力求解器与 TELEMAC-2D 的有限元/有限体积选项并不相同，因此不能把其水动力代码直接移植。可迁移的是水动力变量与形态更新的接口关系，即在某个时间点读取 H、U、V、BOTTOM，再依据形态模块更新底床。</w:t>
      </w:r>
    </w:p>
    <w:p>
      <w:pPr>
        <w:spacing w:after="80"/>
      </w:pPr>
      <w:r>
        <w:rPr>
          <w:i/>
          <w:sz w:val="17"/>
        </w:rPr>
        <w:t>文献定位：论文印刷页 684；PDF页 7。</w:t>
      </w:r>
    </w:p>
    <w:p>
      <w:pPr>
        <w:pStyle w:val="Heading1"/>
      </w:pPr>
      <w:r>
        <w:t>4. 超量剪应力侵蚀模型</w:t>
      </w:r>
    </w:p>
    <w:p>
      <w:pPr>
        <w:pStyle w:val="Heading2"/>
      </w:pPr>
      <w:r>
        <w:t>4.1 可蚀区域和床面演化</w:t>
      </w:r>
    </w:p>
    <w:p>
      <w:r>
        <w:t>论文不允许全域地形任意变化，而是给定可蚀堤防区域。只有属于堤防的计算单元参与侵蚀，河床和其他非堤防区域保持不变。可选定最小床面高程，避免侵蚀穿透堤基或不可蚀层。</w:t>
      </w:r>
    </w:p>
    <w:p>
      <w:r>
        <w:t>床面演化方程为：</w:t>
      </w:r>
    </w:p>
    <w:p>
      <w:r>
        <w:t>∂z/∂t = − E/(1−p)</w:t>
      </w:r>
    </w:p>
    <w:p>
      <w:r>
        <w:t>p 是孔隙率，E 是单位面积、单位时间的侵蚀体积速率。分母 1−p 把体积侵蚀速率转换为固体骨架床面高程变化。</w:t>
      </w:r>
    </w:p>
    <w:p>
      <w:pPr>
        <w:pStyle w:val="Heading2"/>
      </w:pPr>
      <w:r>
        <w:t>4.2 超量剪应力关系</w:t>
      </w:r>
    </w:p>
    <w:p>
      <w:r>
        <w:t>E = kd(τ−τc)，当 τ &gt; τc；</w:t>
        <w:br/>
        <w:t>E = 0，当 τ ≤ τc。</w:t>
      </w:r>
    </w:p>
    <w:p>
      <w:r>
        <w:t>床面剪应力为：</w:t>
      </w:r>
    </w:p>
    <w:p>
      <w:r>
        <w:t>τ = γ nf²(u²+v²) / h^(1/3)</w:t>
      </w:r>
    </w:p>
    <w:p>
      <w:r>
        <w:t>离散更新为：</w:t>
      </w:r>
    </w:p>
    <w:p>
      <w:r>
        <w:t>z(n+1)i,j = z(n)i,j − [E(τi,j)/(1−p)] Δt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符号</w:t>
            </w:r>
          </w:p>
        </w:tc>
        <w:tc>
          <w:tcPr>
            <w:tcW w:type="dxa" w:w="3211"/>
            <w:vAlign w:val="center"/>
            <w:shd w:fill="D9EAF7"/>
          </w:tcPr>
          <w:p>
            <w:pPr>
              <w:spacing w:after="0"/>
            </w:pPr>
            <w:r/>
            <w:r>
              <w:rPr>
                <w:b/>
                <w:sz w:val="18"/>
              </w:rPr>
              <w:t>物理含义</w:t>
            </w:r>
          </w:p>
        </w:tc>
        <w:tc>
          <w:tcPr>
            <w:tcW w:type="dxa" w:w="3211"/>
            <w:vAlign w:val="center"/>
            <w:shd w:fill="D9EAF7"/>
          </w:tcPr>
          <w:p>
            <w:pPr>
              <w:spacing w:after="0"/>
            </w:pPr>
            <w:r/>
            <w:r>
              <w:rPr>
                <w:b/>
                <w:sz w:val="18"/>
              </w:rPr>
              <w:t>参数作用</w:t>
            </w:r>
          </w:p>
        </w:tc>
      </w:tr>
      <w:tr>
        <w:tc>
          <w:tcPr>
            <w:tcW w:type="dxa" w:w="3211"/>
            <w:vAlign w:val="center"/>
          </w:tcPr>
          <w:p>
            <w:pPr>
              <w:spacing w:after="0"/>
            </w:pPr>
            <w:r/>
            <w:r>
              <w:rPr>
                <w:b w:val="0"/>
                <w:sz w:val="18"/>
              </w:rPr>
              <w:t>z</w:t>
            </w:r>
          </w:p>
        </w:tc>
        <w:tc>
          <w:tcPr>
            <w:tcW w:type="dxa" w:w="3211"/>
            <w:vAlign w:val="center"/>
          </w:tcPr>
          <w:p>
            <w:pPr>
              <w:spacing w:after="0"/>
            </w:pPr>
            <w:r/>
            <w:r>
              <w:rPr>
                <w:b w:val="0"/>
                <w:sz w:val="18"/>
              </w:rPr>
              <w:t>床面高程</w:t>
            </w:r>
          </w:p>
        </w:tc>
        <w:tc>
          <w:tcPr>
            <w:tcW w:type="dxa" w:w="3211"/>
            <w:vAlign w:val="center"/>
          </w:tcPr>
          <w:p>
            <w:pPr>
              <w:spacing w:after="0"/>
            </w:pPr>
            <w:r/>
            <w:r>
              <w:rPr>
                <w:b w:val="0"/>
                <w:sz w:val="18"/>
              </w:rPr>
              <w:t>侵蚀降低，bank failure 可局部调高</w:t>
            </w:r>
          </w:p>
        </w:tc>
      </w:tr>
      <w:tr>
        <w:tc>
          <w:tcPr>
            <w:tcW w:type="dxa" w:w="3211"/>
            <w:vAlign w:val="center"/>
          </w:tcPr>
          <w:p>
            <w:pPr>
              <w:spacing w:after="0"/>
            </w:pPr>
            <w:r/>
            <w:r>
              <w:rPr>
                <w:b w:val="0"/>
                <w:sz w:val="18"/>
              </w:rPr>
              <w:t>E</w:t>
            </w:r>
          </w:p>
        </w:tc>
        <w:tc>
          <w:tcPr>
            <w:tcW w:type="dxa" w:w="3211"/>
            <w:vAlign w:val="center"/>
          </w:tcPr>
          <w:p>
            <w:pPr>
              <w:spacing w:after="0"/>
            </w:pPr>
            <w:r/>
            <w:r>
              <w:rPr>
                <w:b w:val="0"/>
                <w:sz w:val="18"/>
              </w:rPr>
              <w:t>单位面积侵蚀体积速率</w:t>
            </w:r>
          </w:p>
        </w:tc>
        <w:tc>
          <w:tcPr>
            <w:tcW w:type="dxa" w:w="3211"/>
            <w:vAlign w:val="center"/>
          </w:tcPr>
          <w:p>
            <w:pPr>
              <w:spacing w:after="0"/>
            </w:pPr>
            <w:r/>
            <w:r>
              <w:rPr>
                <w:b w:val="0"/>
                <w:sz w:val="18"/>
              </w:rPr>
              <w:t>只有 τ &gt; τc 时非零</w:t>
            </w:r>
          </w:p>
        </w:tc>
      </w:tr>
      <w:tr>
        <w:tc>
          <w:tcPr>
            <w:tcW w:type="dxa" w:w="3211"/>
            <w:vAlign w:val="center"/>
          </w:tcPr>
          <w:p>
            <w:pPr>
              <w:spacing w:after="0"/>
            </w:pPr>
            <w:r/>
            <w:r>
              <w:rPr>
                <w:b w:val="0"/>
                <w:sz w:val="18"/>
              </w:rPr>
              <w:t>kd</w:t>
            </w:r>
          </w:p>
        </w:tc>
        <w:tc>
          <w:tcPr>
            <w:tcW w:type="dxa" w:w="3211"/>
            <w:vAlign w:val="center"/>
          </w:tcPr>
          <w:p>
            <w:pPr>
              <w:spacing w:after="0"/>
            </w:pPr>
            <w:r/>
            <w:r>
              <w:rPr>
                <w:b w:val="0"/>
                <w:sz w:val="18"/>
              </w:rPr>
              <w:t>堤防材料可蚀性系数</w:t>
            </w:r>
          </w:p>
        </w:tc>
        <w:tc>
          <w:tcPr>
            <w:tcW w:type="dxa" w:w="3211"/>
            <w:vAlign w:val="center"/>
          </w:tcPr>
          <w:p>
            <w:pPr>
              <w:spacing w:after="0"/>
            </w:pPr>
            <w:r/>
            <w:r>
              <w:rPr>
                <w:b w:val="0"/>
                <w:sz w:val="18"/>
              </w:rPr>
              <w:t>控制侵蚀速率，通常对结果敏感</w:t>
            </w:r>
          </w:p>
        </w:tc>
      </w:tr>
      <w:tr>
        <w:tc>
          <w:tcPr>
            <w:tcW w:type="dxa" w:w="3211"/>
            <w:vAlign w:val="center"/>
          </w:tcPr>
          <w:p>
            <w:pPr>
              <w:spacing w:after="0"/>
            </w:pPr>
            <w:r/>
            <w:r>
              <w:rPr>
                <w:b w:val="0"/>
                <w:sz w:val="18"/>
              </w:rPr>
              <w:t>τ</w:t>
            </w:r>
          </w:p>
        </w:tc>
        <w:tc>
          <w:tcPr>
            <w:tcW w:type="dxa" w:w="3211"/>
            <w:vAlign w:val="center"/>
          </w:tcPr>
          <w:p>
            <w:pPr>
              <w:spacing w:after="0"/>
            </w:pPr>
            <w:r/>
            <w:r>
              <w:rPr>
                <w:b w:val="0"/>
                <w:sz w:val="18"/>
              </w:rPr>
              <w:t>床面剪应力</w:t>
            </w:r>
          </w:p>
        </w:tc>
        <w:tc>
          <w:tcPr>
            <w:tcW w:type="dxa" w:w="3211"/>
            <w:vAlign w:val="center"/>
          </w:tcPr>
          <w:p>
            <w:pPr>
              <w:spacing w:after="0"/>
            </w:pPr>
            <w:r/>
            <w:r>
              <w:rPr>
                <w:b w:val="0"/>
                <w:sz w:val="18"/>
              </w:rPr>
              <w:t>由水深、速度和糙率计算</w:t>
            </w:r>
          </w:p>
        </w:tc>
      </w:tr>
      <w:tr>
        <w:tc>
          <w:tcPr>
            <w:tcW w:type="dxa" w:w="3211"/>
            <w:vAlign w:val="center"/>
          </w:tcPr>
          <w:p>
            <w:pPr>
              <w:spacing w:after="0"/>
            </w:pPr>
            <w:r/>
            <w:r>
              <w:rPr>
                <w:b w:val="0"/>
                <w:sz w:val="18"/>
              </w:rPr>
              <w:t>τc</w:t>
            </w:r>
          </w:p>
        </w:tc>
        <w:tc>
          <w:tcPr>
            <w:tcW w:type="dxa" w:w="3211"/>
            <w:vAlign w:val="center"/>
          </w:tcPr>
          <w:p>
            <w:pPr>
              <w:spacing w:after="0"/>
            </w:pPr>
            <w:r/>
            <w:r>
              <w:rPr>
                <w:b w:val="0"/>
                <w:sz w:val="18"/>
              </w:rPr>
              <w:t>临界剪应力</w:t>
            </w:r>
          </w:p>
        </w:tc>
        <w:tc>
          <w:tcPr>
            <w:tcW w:type="dxa" w:w="3211"/>
            <w:vAlign w:val="center"/>
          </w:tcPr>
          <w:p>
            <w:pPr>
              <w:spacing w:after="0"/>
            </w:pPr>
            <w:r/>
            <w:r>
              <w:rPr>
                <w:b w:val="0"/>
                <w:sz w:val="18"/>
              </w:rPr>
              <w:t>超过后启动侵蚀</w:t>
            </w:r>
          </w:p>
        </w:tc>
      </w:tr>
      <w:tr>
        <w:tc>
          <w:tcPr>
            <w:tcW w:type="dxa" w:w="3211"/>
            <w:vAlign w:val="center"/>
          </w:tcPr>
          <w:p>
            <w:pPr>
              <w:spacing w:after="0"/>
            </w:pPr>
            <w:r/>
            <w:r>
              <w:rPr>
                <w:b w:val="0"/>
                <w:sz w:val="18"/>
              </w:rPr>
              <w:t>p</w:t>
            </w:r>
          </w:p>
        </w:tc>
        <w:tc>
          <w:tcPr>
            <w:tcW w:type="dxa" w:w="3211"/>
            <w:vAlign w:val="center"/>
          </w:tcPr>
          <w:p>
            <w:pPr>
              <w:spacing w:after="0"/>
            </w:pPr>
            <w:r/>
            <w:r>
              <w:rPr>
                <w:b w:val="0"/>
                <w:sz w:val="18"/>
              </w:rPr>
              <w:t>孔隙率</w:t>
            </w:r>
          </w:p>
        </w:tc>
        <w:tc>
          <w:tcPr>
            <w:tcW w:type="dxa" w:w="3211"/>
            <w:vAlign w:val="center"/>
          </w:tcPr>
          <w:p>
            <w:pPr>
              <w:spacing w:after="0"/>
            </w:pPr>
            <w:r/>
            <w:r>
              <w:rPr>
                <w:b w:val="0"/>
                <w:sz w:val="18"/>
              </w:rPr>
              <w:t>把体积侵蚀转换为高程变化</w:t>
            </w:r>
          </w:p>
        </w:tc>
      </w:tr>
      <w:tr>
        <w:tc>
          <w:tcPr>
            <w:tcW w:type="dxa" w:w="3211"/>
            <w:vAlign w:val="center"/>
          </w:tcPr>
          <w:p>
            <w:pPr>
              <w:spacing w:after="0"/>
            </w:pPr>
            <w:r/>
            <w:r>
              <w:rPr>
                <w:b w:val="0"/>
                <w:sz w:val="18"/>
              </w:rPr>
              <w:t>nf</w:t>
            </w:r>
          </w:p>
        </w:tc>
        <w:tc>
          <w:tcPr>
            <w:tcW w:type="dxa" w:w="3211"/>
            <w:vAlign w:val="center"/>
          </w:tcPr>
          <w:p>
            <w:pPr>
              <w:spacing w:after="0"/>
            </w:pPr>
            <w:r/>
            <w:r>
              <w:rPr>
                <w:b w:val="0"/>
                <w:sz w:val="18"/>
              </w:rPr>
              <w:t>曼宁糙率</w:t>
            </w:r>
          </w:p>
        </w:tc>
        <w:tc>
          <w:tcPr>
            <w:tcW w:type="dxa" w:w="3211"/>
            <w:vAlign w:val="center"/>
          </w:tcPr>
          <w:p>
            <w:pPr>
              <w:spacing w:after="0"/>
            </w:pPr>
            <w:r/>
            <w:r>
              <w:rPr>
                <w:b w:val="0"/>
                <w:sz w:val="18"/>
              </w:rPr>
              <w:t>通过剪应力公式影响侵蚀</w:t>
            </w:r>
          </w:p>
        </w:tc>
      </w:tr>
      <w:tr>
        <w:tc>
          <w:tcPr>
            <w:tcW w:type="dxa" w:w="3211"/>
            <w:vAlign w:val="center"/>
          </w:tcPr>
          <w:p>
            <w:pPr>
              <w:spacing w:after="0"/>
            </w:pPr>
            <w:r/>
            <w:r>
              <w:rPr>
                <w:b w:val="0"/>
                <w:sz w:val="18"/>
              </w:rPr>
              <w:t>h</w:t>
            </w:r>
          </w:p>
        </w:tc>
        <w:tc>
          <w:tcPr>
            <w:tcW w:type="dxa" w:w="3211"/>
            <w:vAlign w:val="center"/>
          </w:tcPr>
          <w:p>
            <w:pPr>
              <w:spacing w:after="0"/>
            </w:pPr>
            <w:r/>
            <w:r>
              <w:rPr>
                <w:b w:val="0"/>
                <w:sz w:val="18"/>
              </w:rPr>
              <w:t>水深</w:t>
            </w:r>
          </w:p>
        </w:tc>
        <w:tc>
          <w:tcPr>
            <w:tcW w:type="dxa" w:w="3211"/>
            <w:vAlign w:val="center"/>
          </w:tcPr>
          <w:p>
            <w:pPr>
              <w:spacing w:after="0"/>
            </w:pPr>
            <w:r/>
            <w:r>
              <w:rPr>
                <w:b w:val="0"/>
                <w:sz w:val="18"/>
              </w:rPr>
              <w:t>浅水时剪应力表达式敏感</w:t>
            </w:r>
          </w:p>
        </w:tc>
      </w:tr>
    </w:tbl>
    <w:p>
      <w:pPr>
        <w:spacing w:after="0"/>
      </w:pPr>
    </w:p>
    <w:p>
      <w:pPr>
        <w:pStyle w:val="Heading2"/>
      </w:pPr>
      <w:r>
        <w:t>4.3 论文对水量和土体的处理</w:t>
      </w:r>
    </w:p>
    <w:p>
      <w:pPr>
        <w:pStyle w:val="ListBullet"/>
        <w:spacing w:after="40"/>
      </w:pPr>
      <w:r>
        <w:t>侵蚀模型不模拟沉积，默认侵蚀物被水流带走。</w:t>
      </w:r>
    </w:p>
    <w:p>
      <w:pPr>
        <w:pStyle w:val="ListBullet"/>
        <w:spacing w:after="40"/>
      </w:pPr>
      <w:r>
        <w:t>发生冲刷时保持该单元原来的水深，等价于调整水面高程，以保持整体水量。</w:t>
      </w:r>
    </w:p>
    <w:p>
      <w:pPr>
        <w:pStyle w:val="ListBullet"/>
        <w:spacing w:after="40"/>
      </w:pPr>
      <w:r>
        <w:t>这种水量处理不等于土体质量守恒，因为被冲刷物没有在计算域中保留库存。</w:t>
      </w:r>
    </w:p>
    <w:p>
      <w:pPr>
        <w:pStyle w:val="ListBullet"/>
        <w:spacing w:after="40"/>
      </w:pPr>
      <w:r>
        <w:t>论文指出 kd 和 τc 受材料类型、含水率、压实功、土壤质地和塑性影响，可能跨越 2–3 个数量级。</w:t>
      </w:r>
    </w:p>
    <w:tbl>
      <w:tblPr>
        <w:tblStyle w:val="TableGrid"/>
        <w:tblW w:type="auto" w:w="0"/>
        <w:tblLook w:firstColumn="1" w:firstRow="1" w:lastColumn="0" w:lastRow="0" w:noHBand="0" w:noVBand="1" w:val="04A0"/>
      </w:tblPr>
      <w:tblGrid>
        <w:gridCol w:w="9632"/>
      </w:tblGrid>
      <w:tr>
        <w:tc>
          <w:tcPr>
            <w:tcW w:type="dxa" w:w="9632"/>
            <w:shd w:fill="FFF2CC"/>
          </w:tcPr>
          <w:p>
            <w:r/>
            <w:r>
              <w:rPr>
                <w:b/>
                <w:sz w:val="20"/>
              </w:rPr>
              <w:t>对当前项目的直接启示</w:t>
              <w:br/>
            </w:r>
            <w:r>
              <w:rPr>
                <w:sz w:val="19"/>
              </w:rPr>
              <w:t>现有 user_condin_h.f 的超量剪应力侵蚀与 Dazzi 方程结构相近，但当前项目还需要把节点侵蚀体积、坡面坍塌体积、坡脚沉积体积和出域体积分开记账，不能把节点高程降低总和直接当作输沙出域量。</w:t>
            </w:r>
          </w:p>
        </w:tc>
      </w:tr>
    </w:tbl>
    <w:p>
      <w:pPr>
        <w:spacing w:after="0"/>
      </w:pPr>
    </w:p>
    <w:p>
      <w:pPr>
        <w:spacing w:after="80"/>
      </w:pPr>
      <w:r>
        <w:rPr>
          <w:i/>
          <w:sz w:val="17"/>
        </w:rPr>
        <w:t>文献定位：论文印刷页 685；PDF页 9–10。</w:t>
      </w:r>
    </w:p>
    <w:p>
      <w:pPr>
        <w:pStyle w:val="Heading1"/>
      </w:pPr>
      <w:r>
        <w:t>5. 岸坡失稳算法：逐步理解</w:t>
      </w:r>
    </w:p>
    <w:p>
      <w:pPr>
        <w:pStyle w:val="Heading2"/>
      </w:pPr>
      <w:r>
        <w:t>5.1 失稳机制</w:t>
      </w:r>
    </w:p>
    <w:p>
      <w:r>
        <w:t>论文认为，漫顶侵蚀首先使堤防高度降低和溃口加深，随后溃口两侧坡面因局部坡度过大而突然坍塌。边坡失稳是溃口展宽的重要来源。模型采用“超过临界坡角后削减坡度”的简化机制。</w:t>
      </w:r>
    </w:p>
    <w:p>
      <w:r>
        <w:t>论文明确承认，该机制不能表示悬臂式失稳，因为深度平均二维模型没有描述垂向结构和块体悬挂。它适合表示可以由相邻控制体高程差表达的块体滑塌或坡面松弛。</w:t>
      </w:r>
    </w:p>
    <w:p>
      <w:pPr>
        <w:pStyle w:val="Heading2"/>
      </w:pPr>
      <w:r>
        <w:t>5.2 三个角度</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D9EAF7"/>
          </w:tcPr>
          <w:p>
            <w:pPr>
              <w:spacing w:after="0"/>
            </w:pPr>
            <w:r/>
            <w:r>
              <w:rPr>
                <w:b/>
                <w:sz w:val="18"/>
              </w:rPr>
              <w:t>参数</w:t>
            </w:r>
          </w:p>
        </w:tc>
        <w:tc>
          <w:tcPr>
            <w:tcW w:type="dxa" w:w="2408"/>
            <w:vAlign w:val="center"/>
            <w:shd w:fill="D9EAF7"/>
          </w:tcPr>
          <w:p>
            <w:pPr>
              <w:spacing w:after="0"/>
            </w:pPr>
            <w:r/>
            <w:r>
              <w:rPr>
                <w:b/>
                <w:sz w:val="18"/>
              </w:rPr>
              <w:t>定义</w:t>
            </w:r>
          </w:p>
        </w:tc>
        <w:tc>
          <w:tcPr>
            <w:tcW w:type="dxa" w:w="2408"/>
            <w:vAlign w:val="center"/>
            <w:shd w:fill="D9EAF7"/>
          </w:tcPr>
          <w:p>
            <w:pPr>
              <w:spacing w:after="0"/>
            </w:pPr>
            <w:r/>
            <w:r>
              <w:rPr>
                <w:b/>
                <w:sz w:val="18"/>
              </w:rPr>
              <w:t>论文使用方式</w:t>
            </w:r>
          </w:p>
        </w:tc>
        <w:tc>
          <w:tcPr>
            <w:tcW w:type="dxa" w:w="2408"/>
            <w:vAlign w:val="center"/>
            <w:shd w:fill="D9EAF7"/>
          </w:tcPr>
          <w:p>
            <w:pPr>
              <w:spacing w:after="0"/>
            </w:pPr>
            <w:r/>
            <w:r>
              <w:rPr>
                <w:b/>
                <w:sz w:val="18"/>
              </w:rPr>
              <w:t>本项目要求</w:t>
            </w:r>
          </w:p>
        </w:tc>
      </w:tr>
      <w:tr>
        <w:tc>
          <w:tcPr>
            <w:tcW w:type="dxa" w:w="2408"/>
            <w:vAlign w:val="center"/>
          </w:tcPr>
          <w:p>
            <w:pPr>
              <w:spacing w:after="0"/>
            </w:pPr>
            <w:r/>
            <w:r>
              <w:rPr>
                <w:b w:val="0"/>
                <w:sz w:val="18"/>
              </w:rPr>
              <w:t>φc,dry</w:t>
            </w:r>
          </w:p>
        </w:tc>
        <w:tc>
          <w:tcPr>
            <w:tcW w:type="dxa" w:w="2408"/>
            <w:vAlign w:val="center"/>
          </w:tcPr>
          <w:p>
            <w:pPr>
              <w:spacing w:after="0"/>
            </w:pPr>
            <w:r/>
            <w:r>
              <w:rPr>
                <w:b w:val="0"/>
                <w:sz w:val="18"/>
              </w:rPr>
              <w:t>干单元临界坡角</w:t>
            </w:r>
          </w:p>
        </w:tc>
        <w:tc>
          <w:tcPr>
            <w:tcW w:type="dxa" w:w="2408"/>
            <w:vAlign w:val="center"/>
          </w:tcPr>
          <w:p>
            <w:pPr>
              <w:spacing w:after="0"/>
            </w:pPr>
            <w:r/>
            <w:r>
              <w:rPr>
                <w:b w:val="0"/>
                <w:sz w:val="18"/>
              </w:rPr>
              <w:t>单元位于水面以上时使用</w:t>
            </w:r>
          </w:p>
        </w:tc>
        <w:tc>
          <w:tcPr>
            <w:tcW w:type="dxa" w:w="2408"/>
            <w:vAlign w:val="center"/>
          </w:tcPr>
          <w:p>
            <w:pPr>
              <w:spacing w:after="0"/>
            </w:pPr>
            <w:r/>
            <w:r>
              <w:rPr>
                <w:b w:val="0"/>
                <w:sz w:val="18"/>
              </w:rPr>
              <w:t>必须独立配置和输出</w:t>
            </w:r>
          </w:p>
        </w:tc>
      </w:tr>
      <w:tr>
        <w:tc>
          <w:tcPr>
            <w:tcW w:type="dxa" w:w="2408"/>
            <w:vAlign w:val="center"/>
          </w:tcPr>
          <w:p>
            <w:pPr>
              <w:spacing w:after="0"/>
            </w:pPr>
            <w:r/>
            <w:r>
              <w:rPr>
                <w:b w:val="0"/>
                <w:sz w:val="18"/>
              </w:rPr>
              <w:t>φc,wet</w:t>
            </w:r>
          </w:p>
        </w:tc>
        <w:tc>
          <w:tcPr>
            <w:tcW w:type="dxa" w:w="2408"/>
            <w:vAlign w:val="center"/>
          </w:tcPr>
          <w:p>
            <w:pPr>
              <w:spacing w:after="0"/>
            </w:pPr>
            <w:r/>
            <w:r>
              <w:rPr>
                <w:b w:val="0"/>
                <w:sz w:val="18"/>
              </w:rPr>
              <w:t>湿单元临界坡角</w:t>
            </w:r>
          </w:p>
        </w:tc>
        <w:tc>
          <w:tcPr>
            <w:tcW w:type="dxa" w:w="2408"/>
            <w:vAlign w:val="center"/>
          </w:tcPr>
          <w:p>
            <w:pPr>
              <w:spacing w:after="0"/>
            </w:pPr>
            <w:r/>
            <w:r>
              <w:rPr>
                <w:b w:val="0"/>
                <w:sz w:val="18"/>
              </w:rPr>
              <w:t>单元位于水面以下时使用</w:t>
            </w:r>
          </w:p>
        </w:tc>
        <w:tc>
          <w:tcPr>
            <w:tcW w:type="dxa" w:w="2408"/>
            <w:vAlign w:val="center"/>
          </w:tcPr>
          <w:p>
            <w:pPr>
              <w:spacing w:after="0"/>
            </w:pPr>
            <w:r/>
            <w:r>
              <w:rPr>
                <w:b w:val="0"/>
                <w:sz w:val="18"/>
              </w:rPr>
              <w:t>必须独立配置和输出</w:t>
            </w:r>
          </w:p>
        </w:tc>
      </w:tr>
      <w:tr>
        <w:tc>
          <w:tcPr>
            <w:tcW w:type="dxa" w:w="2408"/>
            <w:vAlign w:val="center"/>
          </w:tcPr>
          <w:p>
            <w:pPr>
              <w:spacing w:after="0"/>
            </w:pPr>
            <w:r/>
            <w:r>
              <w:rPr>
                <w:b w:val="0"/>
                <w:sz w:val="18"/>
              </w:rPr>
              <w:t>φdep</w:t>
            </w:r>
          </w:p>
        </w:tc>
        <w:tc>
          <w:tcPr>
            <w:tcW w:type="dxa" w:w="2408"/>
            <w:vAlign w:val="center"/>
          </w:tcPr>
          <w:p>
            <w:pPr>
              <w:spacing w:after="0"/>
            </w:pPr>
            <w:r/>
            <w:r>
              <w:rPr>
                <w:b w:val="0"/>
                <w:sz w:val="18"/>
              </w:rPr>
              <w:t>坍塌后沉积物形成的坡角</w:t>
            </w:r>
          </w:p>
        </w:tc>
        <w:tc>
          <w:tcPr>
            <w:tcW w:type="dxa" w:w="2408"/>
            <w:vAlign w:val="center"/>
          </w:tcPr>
          <w:p>
            <w:pPr>
              <w:spacing w:after="0"/>
            </w:pPr>
            <w:r/>
            <w:r>
              <w:rPr>
                <w:b w:val="0"/>
                <w:sz w:val="18"/>
              </w:rPr>
              <w:t>把超限坡度调整到该目标角</w:t>
            </w:r>
          </w:p>
        </w:tc>
        <w:tc>
          <w:tcPr>
            <w:tcW w:type="dxa" w:w="2408"/>
            <w:vAlign w:val="center"/>
          </w:tcPr>
          <w:p>
            <w:pPr>
              <w:spacing w:after="0"/>
            </w:pPr>
            <w:r/>
            <w:r>
              <w:rPr>
                <w:b w:val="0"/>
                <w:sz w:val="18"/>
              </w:rPr>
              <w:t>不能与临界角混为一个参数</w:t>
            </w:r>
          </w:p>
        </w:tc>
      </w:tr>
    </w:tbl>
    <w:p>
      <w:pPr>
        <w:spacing w:after="0"/>
      </w:pPr>
    </w:p>
    <w:p>
      <w:r>
        <w:t>论文中这些角度通常取材料休止角附近的值，但不同材料和干湿状态可以不同。试验中常出现 φc,wet = φdep，而 φc,dry 更大。</w:t>
      </w:r>
    </w:p>
    <w:p>
      <w:pPr>
        <w:pStyle w:val="Heading2"/>
      </w:pPr>
      <w:r>
        <w:t>5.3 结构化网格公式</w:t>
      </w:r>
    </w:p>
    <w:p>
      <w:r>
        <w:t>对笛卡尔单元 (i,j)，四个方向邻居分别位于东、西、北、南。第 k 个方向的坡度为：</w:t>
      </w:r>
    </w:p>
    <w:p>
      <w:r>
        <w:t>tanφk = (zk − zi,j) / lk</w:t>
      </w:r>
    </w:p>
    <w:p>
      <w:r>
        <w:t>如果 |φk| &gt; φc，则按：</w:t>
      </w:r>
    </w:p>
    <w:p>
      <w:r>
        <w:t>Δzk = 0.5 lk [tan|φk| − tanφdep] sign(φk)</w:t>
      </w:r>
    </w:p>
    <w:p>
      <w:r>
        <w:t>更新当前单元：</w:t>
      </w:r>
    </w:p>
    <w:p>
      <w:r>
        <w:t>znewi,j = zi,j + Σk Δzk</w:t>
      </w:r>
    </w:p>
    <w:p>
      <w:r>
        <w:t>相邻单元同步施加相反修正。这样当前单元降低的体积与相邻单元增加的体积相等，保持总沉积物质量。</w:t>
      </w:r>
    </w:p>
    <w:p>
      <w:pPr>
        <w:pStyle w:val="Heading2"/>
      </w:pPr>
      <w:r>
        <w:t>5.4 迭代和时间尺度</w:t>
      </w:r>
    </w:p>
    <w:p>
      <w:pPr>
        <w:pStyle w:val="ListNumber"/>
        <w:spacing w:after="40"/>
      </w:pPr>
      <w:r>
        <w:t>读取当前床面高程和水面状态。</w:t>
      </w:r>
    </w:p>
    <w:p>
      <w:pPr>
        <w:pStyle w:val="ListNumber"/>
        <w:spacing w:after="40"/>
      </w:pPr>
      <w:r>
        <w:t>对每个方向计算局部坡度。</w:t>
      </w:r>
    </w:p>
    <w:p>
      <w:pPr>
        <w:pStyle w:val="ListNumber"/>
        <w:spacing w:after="40"/>
      </w:pPr>
      <w:r>
        <w:t>根据干湿状态选择 φc,dry 或 φc,wet。</w:t>
      </w:r>
    </w:p>
    <w:p>
      <w:pPr>
        <w:pStyle w:val="ListNumber"/>
        <w:spacing w:after="40"/>
      </w:pPr>
      <w:r>
        <w:t>对超过临界角的方向按 φdep 计算高程修正。</w:t>
      </w:r>
    </w:p>
    <w:p>
      <w:pPr>
        <w:pStyle w:val="ListNumber"/>
        <w:spacing w:after="40"/>
      </w:pPr>
      <w:r>
        <w:t>对所有方向累加修正。</w:t>
      </w:r>
    </w:p>
    <w:p>
      <w:pPr>
        <w:pStyle w:val="ListNumber"/>
        <w:spacing w:after="40"/>
      </w:pPr>
      <w:r>
        <w:t>重新计算受影响邻域的坡度。</w:t>
      </w:r>
    </w:p>
    <w:p>
      <w:pPr>
        <w:pStyle w:val="ListNumber"/>
        <w:spacing w:after="40"/>
      </w:pPr>
      <w:r>
        <w:t>重复迭代，直到没有超限坡度或达到最大迭代次数。</w:t>
      </w:r>
    </w:p>
    <w:p>
      <w:r>
        <w:t>论文将失稳检查时间间隔 Δtstab 与水动力 CFL 时间步 Δt 区分开。论文试验显示，Δtstab 取 500–1000 倍 Δt 时，结果与每个水动力步都检查的结果接近。该结论依赖其具体网格和案例，不能直接作为 TELEMAC 案例的默认值，应通过时间间隔敏感性试验验证。</w:t>
      </w:r>
    </w:p>
    <w:p>
      <w:pPr>
        <w:spacing w:after="80"/>
      </w:pPr>
      <w:r>
        <w:rPr>
          <w:i/>
          <w:sz w:val="17"/>
        </w:rPr>
        <w:t>文献定位：论文印刷页 686；PDF页 11。</w:t>
      </w:r>
    </w:p>
    <w:p>
      <w:pPr>
        <w:pStyle w:val="Heading1"/>
      </w:pPr>
      <w:r>
        <w:t>6. 从结构化网格到 TELEMAC 非结构三角网格</w:t>
      </w:r>
    </w:p>
    <w:p>
      <w:r>
        <w:t>Dazzi 的公式以四邻域和固定 Δx、Δy 为基础，论文没有给出 TELEMAC 非结构三角网格实现。因此，非结构网格版本属于本项目的改造工作，不能写成“论文已经直接实现”。</w:t>
      </w:r>
    </w:p>
    <w:p>
      <w:pPr>
        <w:pStyle w:val="Heading2"/>
      </w:pPr>
      <w:r>
        <w:t>6.1 网格拓扑</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结构化网格概念</w:t>
            </w:r>
          </w:p>
        </w:tc>
        <w:tc>
          <w:tcPr>
            <w:tcW w:type="dxa" w:w="4816"/>
            <w:vAlign w:val="center"/>
            <w:shd w:fill="D9EAF7"/>
          </w:tcPr>
          <w:p>
            <w:pPr>
              <w:spacing w:after="0"/>
            </w:pPr>
            <w:r/>
            <w:r>
              <w:rPr>
                <w:b/>
                <w:sz w:val="18"/>
              </w:rPr>
              <w:t>三角网格对应对象</w:t>
            </w:r>
          </w:p>
        </w:tc>
      </w:tr>
      <w:tr>
        <w:tc>
          <w:tcPr>
            <w:tcW w:type="dxa" w:w="4816"/>
            <w:vAlign w:val="center"/>
          </w:tcPr>
          <w:p>
            <w:pPr>
              <w:spacing w:after="0"/>
            </w:pPr>
            <w:r/>
            <w:r>
              <w:rPr>
                <w:b w:val="0"/>
                <w:sz w:val="18"/>
              </w:rPr>
              <w:t>单元</w:t>
            </w:r>
          </w:p>
        </w:tc>
        <w:tc>
          <w:tcPr>
            <w:tcW w:type="dxa" w:w="4816"/>
            <w:vAlign w:val="center"/>
          </w:tcPr>
          <w:p>
            <w:pPr>
              <w:spacing w:after="0"/>
            </w:pPr>
            <w:r/>
            <w:r>
              <w:rPr>
                <w:b w:val="0"/>
                <w:sz w:val="18"/>
              </w:rPr>
              <w:t>TELEMAC 三角形单元，由 IKLE 的三个节点定义</w:t>
            </w:r>
          </w:p>
        </w:tc>
      </w:tr>
      <w:tr>
        <w:tc>
          <w:tcPr>
            <w:tcW w:type="dxa" w:w="4816"/>
            <w:vAlign w:val="center"/>
          </w:tcPr>
          <w:p>
            <w:pPr>
              <w:spacing w:after="0"/>
            </w:pPr>
            <w:r/>
            <w:r>
              <w:rPr>
                <w:b w:val="0"/>
                <w:sz w:val="18"/>
              </w:rPr>
              <w:t>四方向邻居</w:t>
            </w:r>
          </w:p>
        </w:tc>
        <w:tc>
          <w:tcPr>
            <w:tcW w:type="dxa" w:w="4816"/>
            <w:vAlign w:val="center"/>
          </w:tcPr>
          <w:p>
            <w:pPr>
              <w:spacing w:after="0"/>
            </w:pPr>
            <w:r/>
            <w:r>
              <w:rPr>
                <w:b w:val="0"/>
                <w:sz w:val="18"/>
              </w:rPr>
              <w:t>共享边的相邻三角形</w:t>
            </w:r>
          </w:p>
        </w:tc>
      </w:tr>
      <w:tr>
        <w:tc>
          <w:tcPr>
            <w:tcW w:type="dxa" w:w="4816"/>
            <w:vAlign w:val="center"/>
          </w:tcPr>
          <w:p>
            <w:pPr>
              <w:spacing w:after="0"/>
            </w:pPr>
            <w:r/>
            <w:r>
              <w:rPr>
                <w:b w:val="0"/>
                <w:sz w:val="18"/>
              </w:rPr>
              <w:t>网格间距 lk</w:t>
            </w:r>
          </w:p>
        </w:tc>
        <w:tc>
          <w:tcPr>
            <w:tcW w:type="dxa" w:w="4816"/>
            <w:vAlign w:val="center"/>
          </w:tcPr>
          <w:p>
            <w:pPr>
              <w:spacing w:after="0"/>
            </w:pPr>
            <w:r/>
            <w:r>
              <w:rPr>
                <w:b w:val="0"/>
                <w:sz w:val="18"/>
              </w:rPr>
              <w:t>相邻单元中心连线在共享边法向上的距离</w:t>
            </w:r>
          </w:p>
        </w:tc>
      </w:tr>
      <w:tr>
        <w:tc>
          <w:tcPr>
            <w:tcW w:type="dxa" w:w="4816"/>
            <w:vAlign w:val="center"/>
          </w:tcPr>
          <w:p>
            <w:pPr>
              <w:spacing w:after="0"/>
            </w:pPr>
            <w:r/>
            <w:r>
              <w:rPr>
                <w:b w:val="0"/>
                <w:sz w:val="18"/>
              </w:rPr>
              <w:t>单元高程 zi,j</w:t>
            </w:r>
          </w:p>
        </w:tc>
        <w:tc>
          <w:tcPr>
            <w:tcW w:type="dxa" w:w="4816"/>
            <w:vAlign w:val="center"/>
          </w:tcPr>
          <w:p>
            <w:pPr>
              <w:spacing w:after="0"/>
            </w:pPr>
            <w:r/>
            <w:r>
              <w:rPr>
                <w:b w:val="0"/>
                <w:sz w:val="18"/>
              </w:rPr>
              <w:t>三角形节点高程的线性重构或面积平均值</w:t>
            </w:r>
          </w:p>
        </w:tc>
      </w:tr>
      <w:tr>
        <w:tc>
          <w:tcPr>
            <w:tcW w:type="dxa" w:w="4816"/>
            <w:vAlign w:val="center"/>
          </w:tcPr>
          <w:p>
            <w:pPr>
              <w:spacing w:after="0"/>
            </w:pPr>
            <w:r/>
            <w:r>
              <w:rPr>
                <w:b w:val="0"/>
                <w:sz w:val="18"/>
              </w:rPr>
              <w:t>边界方向</w:t>
            </w:r>
          </w:p>
        </w:tc>
        <w:tc>
          <w:tcPr>
            <w:tcW w:type="dxa" w:w="4816"/>
            <w:vAlign w:val="center"/>
          </w:tcPr>
          <w:p>
            <w:pPr>
              <w:spacing w:after="0"/>
            </w:pPr>
            <w:r/>
            <w:r>
              <w:rPr>
                <w:b w:val="0"/>
                <w:sz w:val="18"/>
              </w:rPr>
              <w:t>由边界边法向和邻接单元中心确定</w:t>
            </w:r>
          </w:p>
        </w:tc>
      </w:tr>
      <w:tr>
        <w:tc>
          <w:tcPr>
            <w:tcW w:type="dxa" w:w="4816"/>
            <w:vAlign w:val="center"/>
          </w:tcPr>
          <w:p>
            <w:pPr>
              <w:spacing w:after="0"/>
            </w:pPr>
            <w:r/>
            <w:r>
              <w:rPr>
                <w:b w:val="0"/>
                <w:sz w:val="18"/>
              </w:rPr>
              <w:t>质量控制体</w:t>
            </w:r>
          </w:p>
        </w:tc>
        <w:tc>
          <w:tcPr>
            <w:tcW w:type="dxa" w:w="4816"/>
            <w:vAlign w:val="center"/>
          </w:tcPr>
          <w:p>
            <w:pPr>
              <w:spacing w:after="0"/>
            </w:pPr>
            <w:r/>
            <w:r>
              <w:rPr>
                <w:b w:val="0"/>
                <w:sz w:val="18"/>
              </w:rPr>
              <w:t>节点对偶控制面积或三角形控制体面积</w:t>
            </w:r>
          </w:p>
        </w:tc>
      </w:tr>
    </w:tbl>
    <w:p>
      <w:pPr>
        <w:spacing w:after="0"/>
      </w:pPr>
    </w:p>
    <w:p>
      <w:pPr>
        <w:pStyle w:val="Heading2"/>
      </w:pPr>
      <w:r>
        <w:t>6.2 推荐离散流程</w:t>
      </w:r>
    </w:p>
    <w:p>
      <w:pPr>
        <w:pStyle w:val="ListNumber"/>
        <w:spacing w:after="40"/>
      </w:pPr>
      <w:r>
        <w:t>从 IKLE 建立 edge_to_cells、cell_neighbors、node_cells 和 boundary_edges。</w:t>
      </w:r>
    </w:p>
    <w:p>
      <w:pPr>
        <w:pStyle w:val="ListNumber"/>
        <w:spacing w:after="40"/>
      </w:pPr>
      <w:r>
        <w:t>计算每个三角形的面积、质心、共享边长度和相邻中心法向距离。</w:t>
      </w:r>
    </w:p>
    <w:p>
      <w:pPr>
        <w:pStyle w:val="ListNumber"/>
        <w:spacing w:after="40"/>
      </w:pPr>
      <w:r>
        <w:t>计算节点对偶面积 A*i，作为节点床面高程变化的体积权重。</w:t>
      </w:r>
    </w:p>
    <w:p>
      <w:pPr>
        <w:pStyle w:val="ListNumber"/>
        <w:spacing w:after="40"/>
      </w:pPr>
      <w:r>
        <w:t>对每个三角形用节点水深进行线性重构，得到湿润面积比例。</w:t>
      </w:r>
    </w:p>
    <w:p>
      <w:pPr>
        <w:pStyle w:val="ListNumber"/>
        <w:spacing w:after="40"/>
      </w:pPr>
      <w:r>
        <w:t>按湿润面积比例选择 φc,dry 或 φc,wet，并把边界干湿状态写入诊断文件。</w:t>
      </w:r>
    </w:p>
    <w:p>
      <w:pPr>
        <w:pStyle w:val="ListNumber"/>
        <w:spacing w:after="40"/>
      </w:pPr>
      <w:r>
        <w:t>沿每条内部边计算局部坡度，超过临界角时按 φdep 进行相邻控制体之间的等量反向调整。</w:t>
      </w:r>
    </w:p>
    <w:p>
      <w:pPr>
        <w:pStyle w:val="ListNumber"/>
        <w:spacing w:after="40"/>
      </w:pPr>
      <w:r>
        <w:t>确定性地排序边，避免同一边在一次迭代中被重复处理。</w:t>
      </w:r>
    </w:p>
    <w:p>
      <w:pPr>
        <w:pStyle w:val="ListNumber"/>
        <w:spacing w:after="40"/>
      </w:pPr>
      <w:r>
        <w:t>重新计算受影响边，迭代至稳定或达到最大迭代次数。</w:t>
      </w:r>
    </w:p>
    <w:p>
      <w:pPr>
        <w:pStyle w:val="Heading2"/>
      </w:pPr>
      <w:r>
        <w:t>6.3 体积守恒的离散要求</w:t>
      </w:r>
    </w:p>
    <w:p>
      <w:r>
        <w:t>如果使用节点对偶面积，则一条边 i–j 的高程修正应满足：</w:t>
      </w:r>
    </w:p>
    <w:p>
      <w:r>
        <w:t>A*i Δzi + A*j Δzj = 0</w:t>
      </w:r>
    </w:p>
    <w:p>
      <w:r>
        <w:t>如果当前坡度差为 Δz，边长或法向距离为 d，目标坡度为 tanφdep，可定义超额高差：</w:t>
      </w:r>
    </w:p>
    <w:p>
      <w:r>
        <w:t>e = |Δz| − d tanφdep</w:t>
      </w:r>
    </w:p>
    <w:p>
      <w:r>
        <w:t>当 e &gt; 0 时，转移体积可按两侧控制面积分配：</w:t>
      </w:r>
    </w:p>
    <w:p>
      <w:r>
        <w:t>Vij = e A*i A*j / (A*i + A*j)</w:t>
      </w:r>
    </w:p>
    <w:p>
      <w:r>
        <w:t>然后让高侧降低 Vij/A*，低侧升高 Vij/A*。这个公式是本项目的非结构网格守恒设计，需要用单边、双边和不规则三角形测试验证。</w:t>
      </w:r>
    </w:p>
    <w:tbl>
      <w:tblPr>
        <w:tblStyle w:val="TableGrid"/>
        <w:tblW w:type="auto" w:w="0"/>
        <w:tblLook w:firstColumn="1" w:firstRow="1" w:lastColumn="0" w:lastRow="0" w:noHBand="0" w:noVBand="1" w:val="04A0"/>
      </w:tblPr>
      <w:tblGrid>
        <w:gridCol w:w="9632"/>
      </w:tblGrid>
      <w:tr>
        <w:tc>
          <w:tcPr>
            <w:tcW w:type="dxa" w:w="9632"/>
            <w:shd w:fill="FFF2CC"/>
          </w:tcPr>
          <w:p>
            <w:r/>
            <w:r>
              <w:rPr>
                <w:b/>
                <w:sz w:val="20"/>
              </w:rPr>
              <w:t>重要限制</w:t>
              <w:br/>
            </w:r>
            <w:r>
              <w:rPr>
                <w:sz w:val="19"/>
              </w:rPr>
              <w:t>节点对偶面积更新可能影响多个相邻三角形，因此必须在全网格上重新计算总几何体积，而不能只检查被标记的两个三角形。质量审计应以整个可蚀区域的离散体积为准。</w:t>
            </w:r>
          </w:p>
        </w:tc>
      </w:tr>
    </w:tbl>
    <w:p>
      <w:pPr>
        <w:spacing w:after="0"/>
      </w:pPr>
    </w:p>
    <w:p>
      <w:pPr>
        <w:pStyle w:val="Heading1"/>
      </w:pPr>
      <w:r>
        <w:t>7. 干湿状态的非结构网格处理</w:t>
      </w:r>
    </w:p>
    <w:p>
      <w:r>
        <w:t>Dazzi 以“单元位于水面以上或以下”区分 φc,dry 和 φc,wet。TELEMAC 的水深通常以节点变量表示，三角形可能被干湿前沿穿过，因此必须定义可重复的单元状态判据。</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状态</w:t>
            </w:r>
          </w:p>
        </w:tc>
        <w:tc>
          <w:tcPr>
            <w:tcW w:type="dxa" w:w="3211"/>
            <w:vAlign w:val="center"/>
            <w:shd w:fill="D9EAF7"/>
          </w:tcPr>
          <w:p>
            <w:pPr>
              <w:spacing w:after="0"/>
            </w:pPr>
            <w:r/>
            <w:r>
              <w:rPr>
                <w:b/>
                <w:sz w:val="18"/>
              </w:rPr>
              <w:t>判定建议</w:t>
            </w:r>
          </w:p>
        </w:tc>
        <w:tc>
          <w:tcPr>
            <w:tcW w:type="dxa" w:w="3211"/>
            <w:vAlign w:val="center"/>
            <w:shd w:fill="D9EAF7"/>
          </w:tcPr>
          <w:p>
            <w:pPr>
              <w:spacing w:after="0"/>
            </w:pPr>
            <w:r/>
            <w:r>
              <w:rPr>
                <w:b/>
                <w:sz w:val="18"/>
              </w:rPr>
              <w:t>使用角度</w:t>
            </w:r>
          </w:p>
        </w:tc>
      </w:tr>
      <w:tr>
        <w:tc>
          <w:tcPr>
            <w:tcW w:type="dxa" w:w="3211"/>
            <w:vAlign w:val="center"/>
          </w:tcPr>
          <w:p>
            <w:pPr>
              <w:spacing w:after="0"/>
            </w:pPr>
            <w:r/>
            <w:r>
              <w:rPr>
                <w:b w:val="0"/>
                <w:sz w:val="18"/>
              </w:rPr>
              <w:t>全干三角形</w:t>
            </w:r>
          </w:p>
        </w:tc>
        <w:tc>
          <w:tcPr>
            <w:tcW w:type="dxa" w:w="3211"/>
            <w:vAlign w:val="center"/>
          </w:tcPr>
          <w:p>
            <w:pPr>
              <w:spacing w:after="0"/>
            </w:pPr>
            <w:r/>
            <w:r>
              <w:rPr>
                <w:b w:val="0"/>
                <w:sz w:val="18"/>
              </w:rPr>
              <w:t>三个节点水深均不超过 h_eps</w:t>
            </w:r>
          </w:p>
        </w:tc>
        <w:tc>
          <w:tcPr>
            <w:tcW w:type="dxa" w:w="3211"/>
            <w:vAlign w:val="center"/>
          </w:tcPr>
          <w:p>
            <w:pPr>
              <w:spacing w:after="0"/>
            </w:pPr>
            <w:r/>
            <w:r>
              <w:rPr>
                <w:b w:val="0"/>
                <w:sz w:val="18"/>
              </w:rPr>
              <w:t>φc,dry</w:t>
            </w:r>
          </w:p>
        </w:tc>
      </w:tr>
      <w:tr>
        <w:tc>
          <w:tcPr>
            <w:tcW w:type="dxa" w:w="3211"/>
            <w:vAlign w:val="center"/>
          </w:tcPr>
          <w:p>
            <w:pPr>
              <w:spacing w:after="0"/>
            </w:pPr>
            <w:r/>
            <w:r>
              <w:rPr>
                <w:b w:val="0"/>
                <w:sz w:val="18"/>
              </w:rPr>
              <w:t>全湿三角形</w:t>
            </w:r>
          </w:p>
        </w:tc>
        <w:tc>
          <w:tcPr>
            <w:tcW w:type="dxa" w:w="3211"/>
            <w:vAlign w:val="center"/>
          </w:tcPr>
          <w:p>
            <w:pPr>
              <w:spacing w:after="0"/>
            </w:pPr>
            <w:r/>
            <w:r>
              <w:rPr>
                <w:b w:val="0"/>
                <w:sz w:val="18"/>
              </w:rPr>
              <w:t>三个节点水深均大于 h_eps</w:t>
            </w:r>
          </w:p>
        </w:tc>
        <w:tc>
          <w:tcPr>
            <w:tcW w:type="dxa" w:w="3211"/>
            <w:vAlign w:val="center"/>
          </w:tcPr>
          <w:p>
            <w:pPr>
              <w:spacing w:after="0"/>
            </w:pPr>
            <w:r/>
            <w:r>
              <w:rPr>
                <w:b w:val="0"/>
                <w:sz w:val="18"/>
              </w:rPr>
              <w:t>φc,wet</w:t>
            </w:r>
          </w:p>
        </w:tc>
      </w:tr>
      <w:tr>
        <w:tc>
          <w:tcPr>
            <w:tcW w:type="dxa" w:w="3211"/>
            <w:vAlign w:val="center"/>
          </w:tcPr>
          <w:p>
            <w:pPr>
              <w:spacing w:after="0"/>
            </w:pPr>
            <w:r/>
            <w:r>
              <w:rPr>
                <w:b w:val="0"/>
                <w:sz w:val="18"/>
              </w:rPr>
              <w:t>部分湿润</w:t>
            </w:r>
          </w:p>
        </w:tc>
        <w:tc>
          <w:tcPr>
            <w:tcW w:type="dxa" w:w="3211"/>
            <w:vAlign w:val="center"/>
          </w:tcPr>
          <w:p>
            <w:pPr>
              <w:spacing w:after="0"/>
            </w:pPr>
            <w:r/>
            <w:r>
              <w:rPr>
                <w:b w:val="0"/>
                <w:sz w:val="18"/>
              </w:rPr>
              <w:t>线性水深重构得到湿润面积比例 fw</w:t>
            </w:r>
          </w:p>
        </w:tc>
        <w:tc>
          <w:tcPr>
            <w:tcW w:type="dxa" w:w="3211"/>
            <w:vAlign w:val="center"/>
          </w:tcPr>
          <w:p>
            <w:pPr>
              <w:spacing w:after="0"/>
            </w:pPr>
            <w:r/>
            <w:r>
              <w:rPr>
                <w:b w:val="0"/>
                <w:sz w:val="18"/>
              </w:rPr>
              <w:t>fw ≥ 0.5 用 φc,wet，否则用 φc,dry</w:t>
            </w:r>
          </w:p>
        </w:tc>
      </w:tr>
      <w:tr>
        <w:tc>
          <w:tcPr>
            <w:tcW w:type="dxa" w:w="3211"/>
            <w:vAlign w:val="center"/>
          </w:tcPr>
          <w:p>
            <w:pPr>
              <w:spacing w:after="0"/>
            </w:pPr>
            <w:r/>
            <w:r>
              <w:rPr>
                <w:b w:val="0"/>
                <w:sz w:val="18"/>
              </w:rPr>
              <w:t>边界边</w:t>
            </w:r>
          </w:p>
        </w:tc>
        <w:tc>
          <w:tcPr>
            <w:tcW w:type="dxa" w:w="3211"/>
            <w:vAlign w:val="center"/>
          </w:tcPr>
          <w:p>
            <w:pPr>
              <w:spacing w:after="0"/>
            </w:pPr>
            <w:r/>
            <w:r>
              <w:rPr>
                <w:b w:val="0"/>
                <w:sz w:val="18"/>
              </w:rPr>
              <w:t>只存在一个相邻三角形</w:t>
            </w:r>
          </w:p>
        </w:tc>
        <w:tc>
          <w:tcPr>
            <w:tcW w:type="dxa" w:w="3211"/>
            <w:vAlign w:val="center"/>
          </w:tcPr>
          <w:p>
            <w:pPr>
              <w:spacing w:after="0"/>
            </w:pPr>
            <w:r/>
            <w:r>
              <w:rPr>
                <w:b w:val="0"/>
                <w:sz w:val="18"/>
              </w:rPr>
              <w:t>使用该三角形状态，并单独记录是否允许出域</w:t>
            </w:r>
          </w:p>
        </w:tc>
      </w:tr>
    </w:tbl>
    <w:p>
      <w:pPr>
        <w:spacing w:after="0"/>
      </w:pPr>
    </w:p>
    <w:p>
      <w:r>
        <w:t>h_eps 应作为配置参数，例如 10⁻⁴ m 量级，而不是在代码中散落固定值。部分湿润策略也必须写入配置，避免不同运行之间发生隐含变化。</w:t>
      </w:r>
    </w:p>
    <w:p>
      <w:pPr>
        <w:pStyle w:val="Heading1"/>
      </w:pPr>
      <w:r>
        <w:t>8. 侵蚀、失稳和水动力之间的时间顺序</w:t>
      </w:r>
    </w:p>
    <w:p>
      <w:r>
        <w:t>论文没有把所有更新细节写成 TELEMAC 用户接口形式，但从公式和算法描述可以确定以下逻辑：水动力给出当前流场，侵蚀按剪应力降低堤面，岸坡失稳按干湿临界角调整局部坡度，更新后的地形再反馈给下一水动力步。</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步骤</w:t>
            </w:r>
          </w:p>
        </w:tc>
        <w:tc>
          <w:tcPr>
            <w:tcW w:type="dxa" w:w="3211"/>
            <w:vAlign w:val="center"/>
            <w:shd w:fill="D9EAF7"/>
          </w:tcPr>
          <w:p>
            <w:pPr>
              <w:spacing w:after="0"/>
            </w:pPr>
            <w:r/>
            <w:r>
              <w:rPr>
                <w:b/>
                <w:sz w:val="18"/>
              </w:rPr>
              <w:t>状态量</w:t>
            </w:r>
          </w:p>
        </w:tc>
        <w:tc>
          <w:tcPr>
            <w:tcW w:type="dxa" w:w="3211"/>
            <w:vAlign w:val="center"/>
            <w:shd w:fill="D9EAF7"/>
          </w:tcPr>
          <w:p>
            <w:pPr>
              <w:spacing w:after="0"/>
            </w:pPr>
            <w:r/>
            <w:r>
              <w:rPr>
                <w:b/>
                <w:sz w:val="18"/>
              </w:rPr>
              <w:t>操作</w:t>
            </w:r>
          </w:p>
        </w:tc>
      </w:tr>
      <w:tr>
        <w:tc>
          <w:tcPr>
            <w:tcW w:type="dxa" w:w="3211"/>
            <w:vAlign w:val="center"/>
          </w:tcPr>
          <w:p>
            <w:pPr>
              <w:spacing w:after="0"/>
            </w:pPr>
            <w:r/>
            <w:r>
              <w:rPr>
                <w:b w:val="0"/>
                <w:sz w:val="18"/>
              </w:rPr>
              <w:t>1</w:t>
            </w:r>
          </w:p>
        </w:tc>
        <w:tc>
          <w:tcPr>
            <w:tcW w:type="dxa" w:w="3211"/>
            <w:vAlign w:val="center"/>
          </w:tcPr>
          <w:p>
            <w:pPr>
              <w:spacing w:after="0"/>
            </w:pPr>
            <w:r/>
            <w:r>
              <w:rPr>
                <w:b w:val="0"/>
                <w:sz w:val="18"/>
              </w:rPr>
              <w:t>H、U、V、η、BOTTOM</w:t>
            </w:r>
          </w:p>
        </w:tc>
        <w:tc>
          <w:tcPr>
            <w:tcW w:type="dxa" w:w="3211"/>
            <w:vAlign w:val="center"/>
          </w:tcPr>
          <w:p>
            <w:pPr>
              <w:spacing w:after="0"/>
            </w:pPr>
            <w:r/>
            <w:r>
              <w:rPr>
                <w:b w:val="0"/>
                <w:sz w:val="18"/>
              </w:rPr>
              <w:t>完成一个水动力时间步或耦合窗口</w:t>
            </w:r>
          </w:p>
        </w:tc>
      </w:tr>
      <w:tr>
        <w:tc>
          <w:tcPr>
            <w:tcW w:type="dxa" w:w="3211"/>
            <w:vAlign w:val="center"/>
          </w:tcPr>
          <w:p>
            <w:pPr>
              <w:spacing w:after="0"/>
            </w:pPr>
            <w:r/>
            <w:r>
              <w:rPr>
                <w:b w:val="0"/>
                <w:sz w:val="18"/>
              </w:rPr>
              <w:t>2</w:t>
            </w:r>
          </w:p>
        </w:tc>
        <w:tc>
          <w:tcPr>
            <w:tcW w:type="dxa" w:w="3211"/>
            <w:vAlign w:val="center"/>
          </w:tcPr>
          <w:p>
            <w:pPr>
              <w:spacing w:after="0"/>
            </w:pPr>
            <w:r/>
            <w:r>
              <w:rPr>
                <w:b w:val="0"/>
                <w:sz w:val="18"/>
              </w:rPr>
              <w:t>H、U、V</w:t>
            </w:r>
          </w:p>
        </w:tc>
        <w:tc>
          <w:tcPr>
            <w:tcW w:type="dxa" w:w="3211"/>
            <w:vAlign w:val="center"/>
          </w:tcPr>
          <w:p>
            <w:pPr>
              <w:spacing w:after="0"/>
            </w:pPr>
            <w:r/>
            <w:r>
              <w:rPr>
                <w:b w:val="0"/>
                <w:sz w:val="18"/>
              </w:rPr>
              <w:t>计算床面剪应力 τ</w:t>
            </w:r>
          </w:p>
        </w:tc>
      </w:tr>
      <w:tr>
        <w:tc>
          <w:tcPr>
            <w:tcW w:type="dxa" w:w="3211"/>
            <w:vAlign w:val="center"/>
          </w:tcPr>
          <w:p>
            <w:pPr>
              <w:spacing w:after="0"/>
            </w:pPr>
            <w:r/>
            <w:r>
              <w:rPr>
                <w:b w:val="0"/>
                <w:sz w:val="18"/>
              </w:rPr>
              <w:t>3</w:t>
            </w:r>
          </w:p>
        </w:tc>
        <w:tc>
          <w:tcPr>
            <w:tcW w:type="dxa" w:w="3211"/>
            <w:vAlign w:val="center"/>
          </w:tcPr>
          <w:p>
            <w:pPr>
              <w:spacing w:after="0"/>
            </w:pPr>
            <w:r/>
            <w:r>
              <w:rPr>
                <w:b w:val="0"/>
                <w:sz w:val="18"/>
              </w:rPr>
              <w:t>τ、τc、kd、p</w:t>
            </w:r>
          </w:p>
        </w:tc>
        <w:tc>
          <w:tcPr>
            <w:tcW w:type="dxa" w:w="3211"/>
            <w:vAlign w:val="center"/>
          </w:tcPr>
          <w:p>
            <w:pPr>
              <w:spacing w:after="0"/>
            </w:pPr>
            <w:r/>
            <w:r>
              <w:rPr>
                <w:b w:val="0"/>
                <w:sz w:val="18"/>
              </w:rPr>
              <w:t>计算可蚀区域侵蚀量，施加最低床高约束</w:t>
            </w:r>
          </w:p>
        </w:tc>
      </w:tr>
      <w:tr>
        <w:tc>
          <w:tcPr>
            <w:tcW w:type="dxa" w:w="3211"/>
            <w:vAlign w:val="center"/>
          </w:tcPr>
          <w:p>
            <w:pPr>
              <w:spacing w:after="0"/>
            </w:pPr>
            <w:r/>
            <w:r>
              <w:rPr>
                <w:b w:val="0"/>
                <w:sz w:val="18"/>
              </w:rPr>
              <w:t>4</w:t>
            </w:r>
          </w:p>
        </w:tc>
        <w:tc>
          <w:tcPr>
            <w:tcW w:type="dxa" w:w="3211"/>
            <w:vAlign w:val="center"/>
          </w:tcPr>
          <w:p>
            <w:pPr>
              <w:spacing w:after="0"/>
            </w:pPr>
            <w:r/>
            <w:r>
              <w:rPr>
                <w:b w:val="0"/>
                <w:sz w:val="18"/>
              </w:rPr>
              <w:t>BOTTOM、H</w:t>
            </w:r>
          </w:p>
        </w:tc>
        <w:tc>
          <w:tcPr>
            <w:tcW w:type="dxa" w:w="3211"/>
            <w:vAlign w:val="center"/>
          </w:tcPr>
          <w:p>
            <w:pPr>
              <w:spacing w:after="0"/>
            </w:pPr>
            <w:r/>
            <w:r>
              <w:rPr>
                <w:b w:val="0"/>
                <w:sz w:val="18"/>
              </w:rPr>
              <w:t>判断各单元干湿状态</w:t>
            </w:r>
          </w:p>
        </w:tc>
      </w:tr>
      <w:tr>
        <w:tc>
          <w:tcPr>
            <w:tcW w:type="dxa" w:w="3211"/>
            <w:vAlign w:val="center"/>
          </w:tcPr>
          <w:p>
            <w:pPr>
              <w:spacing w:after="0"/>
            </w:pPr>
            <w:r/>
            <w:r>
              <w:rPr>
                <w:b w:val="0"/>
                <w:sz w:val="18"/>
              </w:rPr>
              <w:t>5</w:t>
            </w:r>
          </w:p>
        </w:tc>
        <w:tc>
          <w:tcPr>
            <w:tcW w:type="dxa" w:w="3211"/>
            <w:vAlign w:val="center"/>
          </w:tcPr>
          <w:p>
            <w:pPr>
              <w:spacing w:after="0"/>
            </w:pPr>
            <w:r/>
            <w:r>
              <w:rPr>
                <w:b w:val="0"/>
                <w:sz w:val="18"/>
              </w:rPr>
              <w:t>邻接高程、角度</w:t>
            </w:r>
          </w:p>
        </w:tc>
        <w:tc>
          <w:tcPr>
            <w:tcW w:type="dxa" w:w="3211"/>
            <w:vAlign w:val="center"/>
          </w:tcPr>
          <w:p>
            <w:pPr>
              <w:spacing w:after="0"/>
            </w:pPr>
            <w:r/>
            <w:r>
              <w:rPr>
                <w:b w:val="0"/>
                <w:sz w:val="18"/>
              </w:rPr>
              <w:t>执行岸坡失稳和沉积坡角修正</w:t>
            </w:r>
          </w:p>
        </w:tc>
      </w:tr>
      <w:tr>
        <w:tc>
          <w:tcPr>
            <w:tcW w:type="dxa" w:w="3211"/>
            <w:vAlign w:val="center"/>
          </w:tcPr>
          <w:p>
            <w:pPr>
              <w:spacing w:after="0"/>
            </w:pPr>
            <w:r/>
            <w:r>
              <w:rPr>
                <w:b w:val="0"/>
                <w:sz w:val="18"/>
              </w:rPr>
              <w:t>6</w:t>
            </w:r>
          </w:p>
        </w:tc>
        <w:tc>
          <w:tcPr>
            <w:tcW w:type="dxa" w:w="3211"/>
            <w:vAlign w:val="center"/>
          </w:tcPr>
          <w:p>
            <w:pPr>
              <w:spacing w:after="0"/>
            </w:pPr>
            <w:r/>
            <w:r>
              <w:rPr>
                <w:b w:val="0"/>
                <w:sz w:val="18"/>
              </w:rPr>
              <w:t>新 BOTTOM</w:t>
            </w:r>
          </w:p>
        </w:tc>
        <w:tc>
          <w:tcPr>
            <w:tcW w:type="dxa" w:w="3211"/>
            <w:vAlign w:val="center"/>
          </w:tcPr>
          <w:p>
            <w:pPr>
              <w:spacing w:after="0"/>
            </w:pPr>
            <w:r/>
            <w:r>
              <w:rPr>
                <w:b w:val="0"/>
                <w:sz w:val="18"/>
              </w:rPr>
              <w:t>重新计算水深/水面，进入下一步</w:t>
            </w:r>
          </w:p>
        </w:tc>
      </w:tr>
    </w:tbl>
    <w:p>
      <w:pPr>
        <w:spacing w:after="0"/>
      </w:pPr>
    </w:p>
    <w:p>
      <w:r>
        <w:t>本项目采用 Python 单向耦合时，可把步骤 1–5 放在一个时间窗口中执行，再把新几何文件交给下一次 TELEMAC-2D 运行。固定 Q(t) 仍由边界文件提供，几何更新不能改写流量输入。</w:t>
      </w:r>
    </w:p>
    <w:p>
      <w:pPr>
        <w:pStyle w:val="Heading1"/>
      </w:pPr>
      <w:r>
        <w:t>9. 数值试验总体结构</w:t>
      </w:r>
    </w:p>
    <w:p>
      <w:r>
        <w:t>论文用五个验证场景检验模型：一维正向溃坝、两个二维正向溃口试验、一个大尺度侧向堤防溃口试验，以及恩扎河真实洪水事件。第一组一维试验主要用于比较侵蚀模型和 Exner 推移质模型；二维试验用于检验材料类型、参数敏感性和溃口展宽；侧向和恩扎河案例用于检验实际洪水模拟能力。</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D9EAF7"/>
          </w:tcPr>
          <w:p>
            <w:pPr>
              <w:spacing w:after="0"/>
            </w:pPr>
            <w:r/>
            <w:r>
              <w:rPr>
                <w:b/>
                <w:sz w:val="18"/>
              </w:rPr>
              <w:t>案例</w:t>
            </w:r>
          </w:p>
        </w:tc>
        <w:tc>
          <w:tcPr>
            <w:tcW w:type="dxa" w:w="2408"/>
            <w:vAlign w:val="center"/>
            <w:shd w:fill="D9EAF7"/>
          </w:tcPr>
          <w:p>
            <w:pPr>
              <w:spacing w:after="0"/>
            </w:pPr>
            <w:r/>
            <w:r>
              <w:rPr>
                <w:b/>
                <w:sz w:val="18"/>
              </w:rPr>
              <w:t>主要目的</w:t>
            </w:r>
          </w:p>
        </w:tc>
        <w:tc>
          <w:tcPr>
            <w:tcW w:type="dxa" w:w="2408"/>
            <w:vAlign w:val="center"/>
            <w:shd w:fill="D9EAF7"/>
          </w:tcPr>
          <w:p>
            <w:pPr>
              <w:spacing w:after="0"/>
            </w:pPr>
            <w:r/>
            <w:r>
              <w:rPr>
                <w:b/>
                <w:sz w:val="18"/>
              </w:rPr>
              <w:t>材料</w:t>
            </w:r>
          </w:p>
        </w:tc>
        <w:tc>
          <w:tcPr>
            <w:tcW w:type="dxa" w:w="2408"/>
            <w:vAlign w:val="center"/>
            <w:shd w:fill="D9EAF7"/>
          </w:tcPr>
          <w:p>
            <w:pPr>
              <w:spacing w:after="0"/>
            </w:pPr>
            <w:r/>
            <w:r>
              <w:rPr>
                <w:b/>
                <w:sz w:val="18"/>
              </w:rPr>
              <w:t>主要输出</w:t>
            </w:r>
          </w:p>
        </w:tc>
      </w:tr>
      <w:tr>
        <w:tc>
          <w:tcPr>
            <w:tcW w:type="dxa" w:w="2408"/>
            <w:vAlign w:val="center"/>
          </w:tcPr>
          <w:p>
            <w:pPr>
              <w:spacing w:after="0"/>
            </w:pPr>
            <w:r/>
            <w:r>
              <w:rPr>
                <w:b w:val="0"/>
                <w:sz w:val="18"/>
              </w:rPr>
              <w:t>Tingsanchali C-2</w:t>
            </w:r>
          </w:p>
        </w:tc>
        <w:tc>
          <w:tcPr>
            <w:tcW w:type="dxa" w:w="2408"/>
            <w:vAlign w:val="center"/>
          </w:tcPr>
          <w:p>
            <w:pPr>
              <w:spacing w:after="0"/>
            </w:pPr>
            <w:r/>
            <w:r>
              <w:rPr>
                <w:b w:val="0"/>
                <w:sz w:val="18"/>
              </w:rPr>
              <w:t>一维侵蚀与泥沙输运对比</w:t>
            </w:r>
          </w:p>
        </w:tc>
        <w:tc>
          <w:tcPr>
            <w:tcW w:type="dxa" w:w="2408"/>
            <w:vAlign w:val="center"/>
          </w:tcPr>
          <w:p>
            <w:pPr>
              <w:spacing w:after="0"/>
            </w:pPr>
            <w:r/>
            <w:r>
              <w:rPr>
                <w:b w:val="0"/>
                <w:sz w:val="18"/>
              </w:rPr>
              <w:t>砂</w:t>
            </w:r>
          </w:p>
        </w:tc>
        <w:tc>
          <w:tcPr>
            <w:tcW w:type="dxa" w:w="2408"/>
            <w:vAlign w:val="center"/>
          </w:tcPr>
          <w:p>
            <w:pPr>
              <w:spacing w:after="0"/>
            </w:pPr>
            <w:r/>
            <w:r>
              <w:rPr>
                <w:b w:val="0"/>
                <w:sz w:val="18"/>
              </w:rPr>
              <w:t>坝体剖面、溢流量、kd敏感性</w:t>
            </w:r>
          </w:p>
        </w:tc>
      </w:tr>
      <w:tr>
        <w:tc>
          <w:tcPr>
            <w:tcW w:type="dxa" w:w="2408"/>
            <w:vAlign w:val="center"/>
          </w:tcPr>
          <w:p>
            <w:pPr>
              <w:spacing w:after="0"/>
            </w:pPr>
            <w:r/>
            <w:r>
              <w:rPr>
                <w:b w:val="0"/>
                <w:sz w:val="18"/>
              </w:rPr>
              <w:t>HR Wallingford #2</w:t>
            </w:r>
          </w:p>
        </w:tc>
        <w:tc>
          <w:tcPr>
            <w:tcW w:type="dxa" w:w="2408"/>
            <w:vAlign w:val="center"/>
          </w:tcPr>
          <w:p>
            <w:pPr>
              <w:spacing w:after="0"/>
            </w:pPr>
            <w:r/>
            <w:r>
              <w:rPr>
                <w:b w:val="0"/>
                <w:sz w:val="18"/>
              </w:rPr>
              <w:t>二维非黏性材料和参数敏感性</w:t>
            </w:r>
          </w:p>
        </w:tc>
        <w:tc>
          <w:tcPr>
            <w:tcW w:type="dxa" w:w="2408"/>
            <w:vAlign w:val="center"/>
          </w:tcPr>
          <w:p>
            <w:pPr>
              <w:spacing w:after="0"/>
            </w:pPr>
            <w:r/>
            <w:r>
              <w:rPr>
                <w:b w:val="0"/>
                <w:sz w:val="18"/>
              </w:rPr>
              <w:t>砂</w:t>
            </w:r>
          </w:p>
        </w:tc>
        <w:tc>
          <w:tcPr>
            <w:tcW w:type="dxa" w:w="2408"/>
            <w:vAlign w:val="center"/>
          </w:tcPr>
          <w:p>
            <w:pPr>
              <w:spacing w:after="0"/>
            </w:pPr>
            <w:r/>
            <w:r>
              <w:rPr>
                <w:b w:val="0"/>
                <w:sz w:val="18"/>
              </w:rPr>
              <w:t>溃口宽度、峰值流量、干湿角敏感性</w:t>
            </w:r>
          </w:p>
        </w:tc>
      </w:tr>
      <w:tr>
        <w:tc>
          <w:tcPr>
            <w:tcW w:type="dxa" w:w="2408"/>
            <w:vAlign w:val="center"/>
          </w:tcPr>
          <w:p>
            <w:pPr>
              <w:spacing w:after="0"/>
            </w:pPr>
            <w:r/>
            <w:r>
              <w:rPr>
                <w:b w:val="0"/>
                <w:sz w:val="18"/>
              </w:rPr>
              <w:t>HR Wallingford #10</w:t>
            </w:r>
          </w:p>
        </w:tc>
        <w:tc>
          <w:tcPr>
            <w:tcW w:type="dxa" w:w="2408"/>
            <w:vAlign w:val="center"/>
          </w:tcPr>
          <w:p>
            <w:pPr>
              <w:spacing w:after="0"/>
            </w:pPr>
            <w:r/>
            <w:r>
              <w:rPr>
                <w:b w:val="0"/>
                <w:sz w:val="18"/>
              </w:rPr>
              <w:t>二维黏性材料适用性</w:t>
            </w:r>
          </w:p>
        </w:tc>
        <w:tc>
          <w:tcPr>
            <w:tcW w:type="dxa" w:w="2408"/>
            <w:vAlign w:val="center"/>
          </w:tcPr>
          <w:p>
            <w:pPr>
              <w:spacing w:after="0"/>
            </w:pPr>
            <w:r/>
            <w:r>
              <w:rPr>
                <w:b w:val="0"/>
                <w:sz w:val="18"/>
              </w:rPr>
              <w:t>黏土</w:t>
            </w:r>
          </w:p>
        </w:tc>
        <w:tc>
          <w:tcPr>
            <w:tcW w:type="dxa" w:w="2408"/>
            <w:vAlign w:val="center"/>
          </w:tcPr>
          <w:p>
            <w:pPr>
              <w:spacing w:after="0"/>
            </w:pPr>
            <w:r/>
            <w:r>
              <w:rPr>
                <w:b w:val="0"/>
                <w:sz w:val="18"/>
              </w:rPr>
              <w:t>溃口宽度、流量、headcut局限</w:t>
            </w:r>
          </w:p>
        </w:tc>
      </w:tr>
      <w:tr>
        <w:tc>
          <w:tcPr>
            <w:tcW w:type="dxa" w:w="2408"/>
            <w:vAlign w:val="center"/>
          </w:tcPr>
          <w:p>
            <w:pPr>
              <w:spacing w:after="0"/>
            </w:pPr>
            <w:r/>
            <w:r>
              <w:rPr>
                <w:b w:val="0"/>
                <w:sz w:val="18"/>
              </w:rPr>
              <w:t>Kakinuma–Shimizu 侧向试验</w:t>
            </w:r>
          </w:p>
        </w:tc>
        <w:tc>
          <w:tcPr>
            <w:tcW w:type="dxa" w:w="2408"/>
            <w:vAlign w:val="center"/>
          </w:tcPr>
          <w:p>
            <w:pPr>
              <w:spacing w:after="0"/>
            </w:pPr>
            <w:r/>
            <w:r>
              <w:rPr>
                <w:b w:val="0"/>
                <w:sz w:val="18"/>
              </w:rPr>
              <w:t>侧向溃口和不对称展宽</w:t>
            </w:r>
          </w:p>
        </w:tc>
        <w:tc>
          <w:tcPr>
            <w:tcW w:type="dxa" w:w="2408"/>
            <w:vAlign w:val="center"/>
          </w:tcPr>
          <w:p>
            <w:pPr>
              <w:spacing w:after="0"/>
            </w:pPr>
            <w:r/>
            <w:r>
              <w:rPr>
                <w:b w:val="0"/>
                <w:sz w:val="18"/>
              </w:rPr>
              <w:t>砂</w:t>
            </w:r>
          </w:p>
        </w:tc>
        <w:tc>
          <w:tcPr>
            <w:tcW w:type="dxa" w:w="2408"/>
            <w:vAlign w:val="center"/>
          </w:tcPr>
          <w:p>
            <w:pPr>
              <w:spacing w:after="0"/>
            </w:pPr>
            <w:r/>
            <w:r>
              <w:rPr>
                <w:b w:val="0"/>
                <w:sz w:val="18"/>
              </w:rPr>
              <w:t>平面形态、沉积区、出流峰值</w:t>
            </w:r>
          </w:p>
        </w:tc>
      </w:tr>
      <w:tr>
        <w:tc>
          <w:tcPr>
            <w:tcW w:type="dxa" w:w="2408"/>
            <w:vAlign w:val="center"/>
          </w:tcPr>
          <w:p>
            <w:pPr>
              <w:spacing w:after="0"/>
            </w:pPr>
            <w:r/>
            <w:r>
              <w:rPr>
                <w:b w:val="0"/>
                <w:sz w:val="18"/>
              </w:rPr>
              <w:t>Enza River 2017</w:t>
            </w:r>
          </w:p>
        </w:tc>
        <w:tc>
          <w:tcPr>
            <w:tcW w:type="dxa" w:w="2408"/>
            <w:vAlign w:val="center"/>
          </w:tcPr>
          <w:p>
            <w:pPr>
              <w:spacing w:after="0"/>
            </w:pPr>
            <w:r/>
            <w:r>
              <w:rPr>
                <w:b w:val="0"/>
                <w:sz w:val="18"/>
              </w:rPr>
              <w:t>真实河道多溃口洪水演进</w:t>
            </w:r>
          </w:p>
        </w:tc>
        <w:tc>
          <w:tcPr>
            <w:tcW w:type="dxa" w:w="2408"/>
            <w:vAlign w:val="center"/>
          </w:tcPr>
          <w:p>
            <w:pPr>
              <w:spacing w:after="0"/>
            </w:pPr>
            <w:r/>
            <w:r>
              <w:rPr>
                <w:b w:val="0"/>
                <w:sz w:val="18"/>
              </w:rPr>
              <w:t>粉质壤土</w:t>
            </w:r>
          </w:p>
        </w:tc>
        <w:tc>
          <w:tcPr>
            <w:tcW w:type="dxa" w:w="2408"/>
            <w:vAlign w:val="center"/>
          </w:tcPr>
          <w:p>
            <w:pPr>
              <w:spacing w:after="0"/>
            </w:pPr>
            <w:r/>
            <w:r>
              <w:rPr>
                <w:b w:val="0"/>
                <w:sz w:val="18"/>
              </w:rPr>
              <w:t>溃口位置、洪水范围、水位、效率</w:t>
            </w:r>
          </w:p>
        </w:tc>
      </w:tr>
    </w:tbl>
    <w:p>
      <w:pPr>
        <w:spacing w:after="0"/>
      </w:pPr>
    </w:p>
    <w:p>
      <w:pPr>
        <w:spacing w:after="80"/>
      </w:pPr>
      <w:r>
        <w:rPr>
          <w:i/>
          <w:sz w:val="17"/>
        </w:rPr>
        <w:t>文献定位：论文印刷页 687；PDF页 13。</w:t>
      </w:r>
    </w:p>
    <w:p>
      <w:pPr>
        <w:pStyle w:val="Heading1"/>
      </w:pPr>
      <w:r>
        <w:t>10. 案例一：Tingsanchali 一维正向溃坝</w:t>
      </w:r>
    </w:p>
    <w:p>
      <w:r>
        <w:t>试验 C-2 在 35 m 长、1 m 宽矩形水槽内设置 0.8 m 高土坝，坝顶宽 0.3 m，上游和下游坡度分别为 1V:3H 和 1V:2.5H。水槽上游以 1.23 L/s 恒定流量供水，水位高出坝顶 3 cm 后移除挡板，形成漫顶。计算网格为 0.05 m。</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参数</w:t>
            </w:r>
          </w:p>
        </w:tc>
        <w:tc>
          <w:tcPr>
            <w:tcW w:type="dxa" w:w="4816"/>
            <w:vAlign w:val="center"/>
            <w:shd w:fill="D9EAF7"/>
          </w:tcPr>
          <w:p>
            <w:pPr>
              <w:spacing w:after="0"/>
            </w:pPr>
            <w:r/>
            <w:r>
              <w:rPr>
                <w:b/>
                <w:sz w:val="18"/>
              </w:rPr>
              <w:t>值</w:t>
            </w:r>
          </w:p>
        </w:tc>
      </w:tr>
      <w:tr>
        <w:tc>
          <w:tcPr>
            <w:tcW w:type="dxa" w:w="4816"/>
            <w:vAlign w:val="center"/>
          </w:tcPr>
          <w:p>
            <w:pPr>
              <w:spacing w:after="0"/>
            </w:pPr>
            <w:r/>
            <w:r>
              <w:rPr>
                <w:b w:val="0"/>
                <w:sz w:val="18"/>
              </w:rPr>
              <w:t>坝高</w:t>
            </w:r>
          </w:p>
        </w:tc>
        <w:tc>
          <w:tcPr>
            <w:tcW w:type="dxa" w:w="4816"/>
            <w:vAlign w:val="center"/>
          </w:tcPr>
          <w:p>
            <w:pPr>
              <w:spacing w:after="0"/>
            </w:pPr>
            <w:r/>
            <w:r>
              <w:rPr>
                <w:b w:val="0"/>
                <w:sz w:val="18"/>
              </w:rPr>
              <w:t>0.8 m</w:t>
            </w:r>
          </w:p>
        </w:tc>
      </w:tr>
      <w:tr>
        <w:tc>
          <w:tcPr>
            <w:tcW w:type="dxa" w:w="4816"/>
            <w:vAlign w:val="center"/>
          </w:tcPr>
          <w:p>
            <w:pPr>
              <w:spacing w:after="0"/>
            </w:pPr>
            <w:r/>
            <w:r>
              <w:rPr>
                <w:b w:val="0"/>
                <w:sz w:val="18"/>
              </w:rPr>
              <w:t>坝顶宽</w:t>
            </w:r>
          </w:p>
        </w:tc>
        <w:tc>
          <w:tcPr>
            <w:tcW w:type="dxa" w:w="4816"/>
            <w:vAlign w:val="center"/>
          </w:tcPr>
          <w:p>
            <w:pPr>
              <w:spacing w:after="0"/>
            </w:pPr>
            <w:r/>
            <w:r>
              <w:rPr>
                <w:b w:val="0"/>
                <w:sz w:val="18"/>
              </w:rPr>
              <w:t>0.3 m</w:t>
            </w:r>
          </w:p>
        </w:tc>
      </w:tr>
      <w:tr>
        <w:tc>
          <w:tcPr>
            <w:tcW w:type="dxa" w:w="4816"/>
            <w:vAlign w:val="center"/>
          </w:tcPr>
          <w:p>
            <w:pPr>
              <w:spacing w:after="0"/>
            </w:pPr>
            <w:r/>
            <w:r>
              <w:rPr>
                <w:b w:val="0"/>
                <w:sz w:val="18"/>
              </w:rPr>
              <w:t>上游坡</w:t>
            </w:r>
          </w:p>
        </w:tc>
        <w:tc>
          <w:tcPr>
            <w:tcW w:type="dxa" w:w="4816"/>
            <w:vAlign w:val="center"/>
          </w:tcPr>
          <w:p>
            <w:pPr>
              <w:spacing w:after="0"/>
            </w:pPr>
            <w:r/>
            <w:r>
              <w:rPr>
                <w:b w:val="0"/>
                <w:sz w:val="18"/>
              </w:rPr>
              <w:t>1V:3H</w:t>
            </w:r>
          </w:p>
        </w:tc>
      </w:tr>
      <w:tr>
        <w:tc>
          <w:tcPr>
            <w:tcW w:type="dxa" w:w="4816"/>
            <w:vAlign w:val="center"/>
          </w:tcPr>
          <w:p>
            <w:pPr>
              <w:spacing w:after="0"/>
            </w:pPr>
            <w:r/>
            <w:r>
              <w:rPr>
                <w:b w:val="0"/>
                <w:sz w:val="18"/>
              </w:rPr>
              <w:t>下游坡</w:t>
            </w:r>
          </w:p>
        </w:tc>
        <w:tc>
          <w:tcPr>
            <w:tcW w:type="dxa" w:w="4816"/>
            <w:vAlign w:val="center"/>
          </w:tcPr>
          <w:p>
            <w:pPr>
              <w:spacing w:after="0"/>
            </w:pPr>
            <w:r/>
            <w:r>
              <w:rPr>
                <w:b w:val="0"/>
                <w:sz w:val="18"/>
              </w:rPr>
              <w:t>1V:2.5H</w:t>
            </w:r>
          </w:p>
        </w:tc>
      </w:tr>
      <w:tr>
        <w:tc>
          <w:tcPr>
            <w:tcW w:type="dxa" w:w="4816"/>
            <w:vAlign w:val="center"/>
          </w:tcPr>
          <w:p>
            <w:pPr>
              <w:spacing w:after="0"/>
            </w:pPr>
            <w:r/>
            <w:r>
              <w:rPr>
                <w:b w:val="0"/>
                <w:sz w:val="18"/>
              </w:rPr>
              <w:t>粒径</w:t>
            </w:r>
          </w:p>
        </w:tc>
        <w:tc>
          <w:tcPr>
            <w:tcW w:type="dxa" w:w="4816"/>
            <w:vAlign w:val="center"/>
          </w:tcPr>
          <w:p>
            <w:pPr>
              <w:spacing w:after="0"/>
            </w:pPr>
            <w:r/>
            <w:r>
              <w:rPr>
                <w:b w:val="0"/>
                <w:sz w:val="18"/>
              </w:rPr>
              <w:t>d50 = 0.86 mm，d30 = 0.52 mm，d90 = 3.80 mm，dm = 1.13 mm</w:t>
            </w:r>
          </w:p>
        </w:tc>
      </w:tr>
      <w:tr>
        <w:tc>
          <w:tcPr>
            <w:tcW w:type="dxa" w:w="4816"/>
            <w:vAlign w:val="center"/>
          </w:tcPr>
          <w:p>
            <w:pPr>
              <w:spacing w:after="0"/>
            </w:pPr>
            <w:r/>
            <w:r>
              <w:rPr>
                <w:b w:val="0"/>
                <w:sz w:val="18"/>
              </w:rPr>
              <w:t>固体密度</w:t>
            </w:r>
          </w:p>
        </w:tc>
        <w:tc>
          <w:tcPr>
            <w:tcW w:type="dxa" w:w="4816"/>
            <w:vAlign w:val="center"/>
          </w:tcPr>
          <w:p>
            <w:pPr>
              <w:spacing w:after="0"/>
            </w:pPr>
            <w:r/>
            <w:r>
              <w:rPr>
                <w:b w:val="0"/>
                <w:sz w:val="18"/>
              </w:rPr>
              <w:t>ρs = 2650 kg/m³</w:t>
            </w:r>
          </w:p>
        </w:tc>
      </w:tr>
      <w:tr>
        <w:tc>
          <w:tcPr>
            <w:tcW w:type="dxa" w:w="4816"/>
            <w:vAlign w:val="center"/>
          </w:tcPr>
          <w:p>
            <w:pPr>
              <w:spacing w:after="0"/>
            </w:pPr>
            <w:r/>
            <w:r>
              <w:rPr>
                <w:b w:val="0"/>
                <w:sz w:val="18"/>
              </w:rPr>
              <w:t>孔隙率</w:t>
            </w:r>
          </w:p>
        </w:tc>
        <w:tc>
          <w:tcPr>
            <w:tcW w:type="dxa" w:w="4816"/>
            <w:vAlign w:val="center"/>
          </w:tcPr>
          <w:p>
            <w:pPr>
              <w:spacing w:after="0"/>
            </w:pPr>
            <w:r/>
            <w:r>
              <w:rPr>
                <w:b w:val="0"/>
                <w:sz w:val="18"/>
              </w:rPr>
              <w:t>p = 0.4</w:t>
            </w:r>
          </w:p>
        </w:tc>
      </w:tr>
      <w:tr>
        <w:tc>
          <w:tcPr>
            <w:tcW w:type="dxa" w:w="4816"/>
            <w:vAlign w:val="center"/>
          </w:tcPr>
          <w:p>
            <w:pPr>
              <w:spacing w:after="0"/>
            </w:pPr>
            <w:r/>
            <w:r>
              <w:rPr>
                <w:b w:val="0"/>
                <w:sz w:val="18"/>
              </w:rPr>
              <w:t>网格</w:t>
            </w:r>
          </w:p>
        </w:tc>
        <w:tc>
          <w:tcPr>
            <w:tcW w:type="dxa" w:w="4816"/>
            <w:vAlign w:val="center"/>
          </w:tcPr>
          <w:p>
            <w:pPr>
              <w:spacing w:after="0"/>
            </w:pPr>
            <w:r/>
            <w:r>
              <w:rPr>
                <w:b w:val="0"/>
                <w:sz w:val="18"/>
              </w:rPr>
              <w:t>0.05 m</w:t>
            </w:r>
          </w:p>
        </w:tc>
      </w:tr>
      <w:tr>
        <w:tc>
          <w:tcPr>
            <w:tcW w:type="dxa" w:w="4816"/>
            <w:vAlign w:val="center"/>
          </w:tcPr>
          <w:p>
            <w:pPr>
              <w:spacing w:after="0"/>
            </w:pPr>
            <w:r/>
            <w:r>
              <w:rPr>
                <w:b w:val="0"/>
                <w:sz w:val="18"/>
              </w:rPr>
              <w:t>角度</w:t>
            </w:r>
          </w:p>
        </w:tc>
        <w:tc>
          <w:tcPr>
            <w:tcW w:type="dxa" w:w="4816"/>
            <w:vAlign w:val="center"/>
          </w:tcPr>
          <w:p>
            <w:pPr>
              <w:spacing w:after="0"/>
            </w:pPr>
            <w:r/>
            <w:r>
              <w:rPr>
                <w:b w:val="0"/>
                <w:sz w:val="18"/>
              </w:rPr>
              <w:t>φc,wet = φdep = 30°，φc,dry = 50°</w:t>
            </w:r>
          </w:p>
        </w:tc>
      </w:tr>
      <w:tr>
        <w:tc>
          <w:tcPr>
            <w:tcW w:type="dxa" w:w="4816"/>
            <w:vAlign w:val="center"/>
          </w:tcPr>
          <w:p>
            <w:pPr>
              <w:spacing w:after="0"/>
            </w:pPr>
            <w:r/>
            <w:r>
              <w:rPr>
                <w:b w:val="0"/>
                <w:sz w:val="18"/>
              </w:rPr>
              <w:t>入流</w:t>
            </w:r>
          </w:p>
        </w:tc>
        <w:tc>
          <w:tcPr>
            <w:tcW w:type="dxa" w:w="4816"/>
            <w:vAlign w:val="center"/>
          </w:tcPr>
          <w:p>
            <w:pPr>
              <w:spacing w:after="0"/>
            </w:pPr>
            <w:r/>
            <w:r>
              <w:rPr>
                <w:b w:val="0"/>
                <w:sz w:val="18"/>
              </w:rPr>
              <w:t>1.23 L/s</w:t>
            </w:r>
          </w:p>
        </w:tc>
      </w:tr>
    </w:tbl>
    <w:p>
      <w:pPr>
        <w:spacing w:after="0"/>
      </w:pPr>
    </w:p>
    <w:p>
      <w:r>
        <w:t>作者先用不需要侵蚀率定参数的泥沙输运模型估计曼宁系数。nf = 0.018 m⁻¹/³·s 被作为整体过程的折中值。随后对侵蚀模型进行参数试验，τc 对结果影响很小，kd 对坝体剖面和出流过程影响明显，较好结果对应 kd = 500 cm³·N⁻¹·s⁻¹、τc = 10⁻² Pa。</w:t>
      </w:r>
    </w:p>
    <w:p>
      <w:r>
        <w:t>论文特别指出：实验下游坡面随坝顶侵蚀而因坝趾沉积逐渐变缓，而仅含侵蚀的模型会让坡面向后退缩。这正是本项目需要增加沉积体积和质量账本的直接依据。</w:t>
      </w:r>
    </w:p>
    <w:p>
      <w:pPr>
        <w:spacing w:after="80"/>
      </w:pPr>
      <w:r>
        <w:rPr>
          <w:i/>
          <w:sz w:val="17"/>
        </w:rPr>
        <w:t>文献定位：论文印刷页 687–688；PDF页 13–14。</w:t>
      </w:r>
    </w:p>
    <w:p>
      <w:pPr>
        <w:pStyle w:val="Heading1"/>
      </w:pPr>
      <w:r>
        <w:t>11. 案例二：HR Wallingford 二维正向溃口</w:t>
      </w:r>
    </w:p>
    <w:p>
      <w:r>
        <w:t>HR Wallingford 试验在 50 m 长、10 m 宽水槽进行，堤坝位于入口下游约 36 m。上游水库逐渐充水，当水位超过坝体中央导流槽高程后触发溃口。试验 #2 为近均质砂，试验 #10 为黏土。</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特征</w:t>
            </w:r>
          </w:p>
        </w:tc>
        <w:tc>
          <w:tcPr>
            <w:tcW w:type="dxa" w:w="3211"/>
            <w:vAlign w:val="center"/>
            <w:shd w:fill="D9EAF7"/>
          </w:tcPr>
          <w:p>
            <w:pPr>
              <w:spacing w:after="0"/>
            </w:pPr>
            <w:r/>
            <w:r>
              <w:rPr>
                <w:b/>
                <w:sz w:val="18"/>
              </w:rPr>
              <w:t>试验 #2</w:t>
            </w:r>
          </w:p>
        </w:tc>
        <w:tc>
          <w:tcPr>
            <w:tcW w:type="dxa" w:w="3211"/>
            <w:vAlign w:val="center"/>
            <w:shd w:fill="D9EAF7"/>
          </w:tcPr>
          <w:p>
            <w:pPr>
              <w:spacing w:after="0"/>
            </w:pPr>
            <w:r/>
            <w:r>
              <w:rPr>
                <w:b/>
                <w:sz w:val="18"/>
              </w:rPr>
              <w:t>试验 #10</w:t>
            </w:r>
          </w:p>
        </w:tc>
      </w:tr>
      <w:tr>
        <w:tc>
          <w:tcPr>
            <w:tcW w:type="dxa" w:w="3211"/>
            <w:vAlign w:val="center"/>
          </w:tcPr>
          <w:p>
            <w:pPr>
              <w:spacing w:after="0"/>
            </w:pPr>
            <w:r/>
            <w:r>
              <w:rPr>
                <w:b w:val="0"/>
                <w:sz w:val="18"/>
              </w:rPr>
              <w:t>材料</w:t>
            </w:r>
          </w:p>
        </w:tc>
        <w:tc>
          <w:tcPr>
            <w:tcW w:type="dxa" w:w="3211"/>
            <w:vAlign w:val="center"/>
          </w:tcPr>
          <w:p>
            <w:pPr>
              <w:spacing w:after="0"/>
            </w:pPr>
            <w:r/>
            <w:r>
              <w:rPr>
                <w:b w:val="0"/>
                <w:sz w:val="18"/>
              </w:rPr>
              <w:t>砂</w:t>
            </w:r>
          </w:p>
        </w:tc>
        <w:tc>
          <w:tcPr>
            <w:tcW w:type="dxa" w:w="3211"/>
            <w:vAlign w:val="center"/>
          </w:tcPr>
          <w:p>
            <w:pPr>
              <w:spacing w:after="0"/>
            </w:pPr>
            <w:r/>
            <w:r>
              <w:rPr>
                <w:b w:val="0"/>
                <w:sz w:val="18"/>
              </w:rPr>
              <w:t>黏土</w:t>
            </w:r>
          </w:p>
        </w:tc>
      </w:tr>
      <w:tr>
        <w:tc>
          <w:tcPr>
            <w:tcW w:type="dxa" w:w="3211"/>
            <w:vAlign w:val="center"/>
          </w:tcPr>
          <w:p>
            <w:pPr>
              <w:spacing w:after="0"/>
            </w:pPr>
            <w:r/>
            <w:r>
              <w:rPr>
                <w:b w:val="0"/>
                <w:sz w:val="18"/>
              </w:rPr>
              <w:t>d50</w:t>
            </w:r>
          </w:p>
        </w:tc>
        <w:tc>
          <w:tcPr>
            <w:tcW w:type="dxa" w:w="3211"/>
            <w:vAlign w:val="center"/>
          </w:tcPr>
          <w:p>
            <w:pPr>
              <w:spacing w:after="0"/>
            </w:pPr>
            <w:r/>
            <w:r>
              <w:rPr>
                <w:b w:val="0"/>
                <w:sz w:val="18"/>
              </w:rPr>
              <w:t>0.25 mm</w:t>
            </w:r>
          </w:p>
        </w:tc>
        <w:tc>
          <w:tcPr>
            <w:tcW w:type="dxa" w:w="3211"/>
            <w:vAlign w:val="center"/>
          </w:tcPr>
          <w:p>
            <w:pPr>
              <w:spacing w:after="0"/>
            </w:pPr>
            <w:r/>
            <w:r>
              <w:rPr>
                <w:b w:val="0"/>
                <w:sz w:val="18"/>
              </w:rPr>
              <w:t>0.005 mm</w:t>
            </w:r>
          </w:p>
        </w:tc>
      </w:tr>
      <w:tr>
        <w:tc>
          <w:tcPr>
            <w:tcW w:type="dxa" w:w="3211"/>
            <w:vAlign w:val="center"/>
          </w:tcPr>
          <w:p>
            <w:pPr>
              <w:spacing w:after="0"/>
            </w:pPr>
            <w:r/>
            <w:r>
              <w:rPr>
                <w:b w:val="0"/>
                <w:sz w:val="18"/>
              </w:rPr>
              <w:t>坝高</w:t>
            </w:r>
          </w:p>
        </w:tc>
        <w:tc>
          <w:tcPr>
            <w:tcW w:type="dxa" w:w="3211"/>
            <w:vAlign w:val="center"/>
          </w:tcPr>
          <w:p>
            <w:pPr>
              <w:spacing w:after="0"/>
            </w:pPr>
            <w:r/>
            <w:r>
              <w:rPr>
                <w:b w:val="0"/>
                <w:sz w:val="18"/>
              </w:rPr>
              <w:t>0.50 m</w:t>
            </w:r>
          </w:p>
        </w:tc>
        <w:tc>
          <w:tcPr>
            <w:tcW w:type="dxa" w:w="3211"/>
            <w:vAlign w:val="center"/>
          </w:tcPr>
          <w:p>
            <w:pPr>
              <w:spacing w:after="0"/>
            </w:pPr>
            <w:r/>
            <w:r>
              <w:rPr>
                <w:b w:val="0"/>
                <w:sz w:val="18"/>
              </w:rPr>
              <w:t>0.60 m</w:t>
            </w:r>
          </w:p>
        </w:tc>
      </w:tr>
      <w:tr>
        <w:tc>
          <w:tcPr>
            <w:tcW w:type="dxa" w:w="3211"/>
            <w:vAlign w:val="center"/>
          </w:tcPr>
          <w:p>
            <w:pPr>
              <w:spacing w:after="0"/>
            </w:pPr>
            <w:r/>
            <w:r>
              <w:rPr>
                <w:b w:val="0"/>
                <w:sz w:val="18"/>
              </w:rPr>
              <w:t>坝顶宽</w:t>
            </w:r>
          </w:p>
        </w:tc>
        <w:tc>
          <w:tcPr>
            <w:tcW w:type="dxa" w:w="3211"/>
            <w:vAlign w:val="center"/>
          </w:tcPr>
          <w:p>
            <w:pPr>
              <w:spacing w:after="0"/>
            </w:pPr>
            <w:r/>
            <w:r>
              <w:rPr>
                <w:b w:val="0"/>
                <w:sz w:val="18"/>
              </w:rPr>
              <w:t>0.20 m</w:t>
            </w:r>
          </w:p>
        </w:tc>
        <w:tc>
          <w:tcPr>
            <w:tcW w:type="dxa" w:w="3211"/>
            <w:vAlign w:val="center"/>
          </w:tcPr>
          <w:p>
            <w:pPr>
              <w:spacing w:after="0"/>
            </w:pPr>
            <w:r/>
            <w:r>
              <w:rPr>
                <w:b w:val="0"/>
                <w:sz w:val="18"/>
              </w:rPr>
              <w:t>0.20 m</w:t>
            </w:r>
          </w:p>
        </w:tc>
      </w:tr>
      <w:tr>
        <w:tc>
          <w:tcPr>
            <w:tcW w:type="dxa" w:w="3211"/>
            <w:vAlign w:val="center"/>
          </w:tcPr>
          <w:p>
            <w:pPr>
              <w:spacing w:after="0"/>
            </w:pPr>
            <w:r/>
            <w:r>
              <w:rPr>
                <w:b w:val="0"/>
                <w:sz w:val="18"/>
              </w:rPr>
              <w:t>边坡</w:t>
            </w:r>
          </w:p>
        </w:tc>
        <w:tc>
          <w:tcPr>
            <w:tcW w:type="dxa" w:w="3211"/>
            <w:vAlign w:val="center"/>
          </w:tcPr>
          <w:p>
            <w:pPr>
              <w:spacing w:after="0"/>
            </w:pPr>
            <w:r/>
            <w:r>
              <w:rPr>
                <w:b w:val="0"/>
                <w:sz w:val="18"/>
              </w:rPr>
              <w:t>1V:1.7H</w:t>
            </w:r>
          </w:p>
        </w:tc>
        <w:tc>
          <w:tcPr>
            <w:tcW w:type="dxa" w:w="3211"/>
            <w:vAlign w:val="center"/>
          </w:tcPr>
          <w:p>
            <w:pPr>
              <w:spacing w:after="0"/>
            </w:pPr>
            <w:r/>
            <w:r>
              <w:rPr>
                <w:b w:val="0"/>
                <w:sz w:val="18"/>
              </w:rPr>
              <w:t>1V:2H</w:t>
            </w:r>
          </w:p>
        </w:tc>
      </w:tr>
      <w:tr>
        <w:tc>
          <w:tcPr>
            <w:tcW w:type="dxa" w:w="3211"/>
            <w:vAlign w:val="center"/>
          </w:tcPr>
          <w:p>
            <w:pPr>
              <w:spacing w:after="0"/>
            </w:pPr>
            <w:r/>
            <w:r>
              <w:rPr>
                <w:b w:val="0"/>
                <w:sz w:val="18"/>
              </w:rPr>
              <w:t>初始水库水位</w:t>
            </w:r>
          </w:p>
        </w:tc>
        <w:tc>
          <w:tcPr>
            <w:tcW w:type="dxa" w:w="3211"/>
            <w:vAlign w:val="center"/>
          </w:tcPr>
          <w:p>
            <w:pPr>
              <w:spacing w:after="0"/>
            </w:pPr>
            <w:r/>
            <w:r>
              <w:rPr>
                <w:b w:val="0"/>
                <w:sz w:val="18"/>
              </w:rPr>
              <w:t>0 m</w:t>
            </w:r>
          </w:p>
        </w:tc>
        <w:tc>
          <w:tcPr>
            <w:tcW w:type="dxa" w:w="3211"/>
            <w:vAlign w:val="center"/>
          </w:tcPr>
          <w:p>
            <w:pPr>
              <w:spacing w:after="0"/>
            </w:pPr>
            <w:r/>
            <w:r>
              <w:rPr>
                <w:b w:val="0"/>
                <w:sz w:val="18"/>
              </w:rPr>
              <w:t>0.58 m</w:t>
            </w:r>
          </w:p>
        </w:tc>
      </w:tr>
      <w:tr>
        <w:tc>
          <w:tcPr>
            <w:tcW w:type="dxa" w:w="3211"/>
            <w:vAlign w:val="center"/>
          </w:tcPr>
          <w:p>
            <w:pPr>
              <w:spacing w:after="0"/>
            </w:pPr>
            <w:r/>
            <w:r>
              <w:rPr>
                <w:b w:val="0"/>
                <w:sz w:val="18"/>
              </w:rPr>
              <w:t>导流槽深度</w:t>
            </w:r>
          </w:p>
        </w:tc>
        <w:tc>
          <w:tcPr>
            <w:tcW w:type="dxa" w:w="3211"/>
            <w:vAlign w:val="center"/>
          </w:tcPr>
          <w:p>
            <w:pPr>
              <w:spacing w:after="0"/>
            </w:pPr>
            <w:r/>
            <w:r>
              <w:rPr>
                <w:b w:val="0"/>
                <w:sz w:val="18"/>
              </w:rPr>
              <w:t>0.02 m</w:t>
            </w:r>
          </w:p>
        </w:tc>
        <w:tc>
          <w:tcPr>
            <w:tcW w:type="dxa" w:w="3211"/>
            <w:vAlign w:val="center"/>
          </w:tcPr>
          <w:p>
            <w:pPr>
              <w:spacing w:after="0"/>
            </w:pPr>
            <w:r/>
            <w:r>
              <w:rPr>
                <w:b w:val="0"/>
                <w:sz w:val="18"/>
              </w:rPr>
              <w:t>0.05 m</w:t>
            </w:r>
          </w:p>
        </w:tc>
      </w:tr>
      <w:tr>
        <w:tc>
          <w:tcPr>
            <w:tcW w:type="dxa" w:w="3211"/>
            <w:vAlign w:val="center"/>
          </w:tcPr>
          <w:p>
            <w:pPr>
              <w:spacing w:after="0"/>
            </w:pPr>
            <w:r/>
            <w:r>
              <w:rPr>
                <w:b w:val="0"/>
                <w:sz w:val="18"/>
              </w:rPr>
              <w:t>导流槽宽度</w:t>
            </w:r>
          </w:p>
        </w:tc>
        <w:tc>
          <w:tcPr>
            <w:tcW w:type="dxa" w:w="3211"/>
            <w:vAlign w:val="center"/>
          </w:tcPr>
          <w:p>
            <w:pPr>
              <w:spacing w:after="0"/>
            </w:pPr>
            <w:r/>
            <w:r>
              <w:rPr>
                <w:b w:val="0"/>
                <w:sz w:val="18"/>
              </w:rPr>
              <w:t>0.15 m</w:t>
            </w:r>
          </w:p>
        </w:tc>
        <w:tc>
          <w:tcPr>
            <w:tcW w:type="dxa" w:w="3211"/>
            <w:vAlign w:val="center"/>
          </w:tcPr>
          <w:p>
            <w:pPr>
              <w:spacing w:after="0"/>
            </w:pPr>
            <w:r/>
            <w:r>
              <w:rPr>
                <w:b w:val="0"/>
                <w:sz w:val="18"/>
              </w:rPr>
              <w:t>0.50 m</w:t>
            </w:r>
          </w:p>
        </w:tc>
      </w:tr>
      <w:tr>
        <w:tc>
          <w:tcPr>
            <w:tcW w:type="dxa" w:w="3211"/>
            <w:vAlign w:val="center"/>
          </w:tcPr>
          <w:p>
            <w:pPr>
              <w:spacing w:after="0"/>
            </w:pPr>
            <w:r/>
            <w:r>
              <w:rPr>
                <w:b w:val="0"/>
                <w:sz w:val="18"/>
              </w:rPr>
              <w:t>网格</w:t>
            </w:r>
          </w:p>
        </w:tc>
        <w:tc>
          <w:tcPr>
            <w:tcW w:type="dxa" w:w="3211"/>
            <w:vAlign w:val="center"/>
          </w:tcPr>
          <w:p>
            <w:pPr>
              <w:spacing w:after="0"/>
            </w:pPr>
            <w:r/>
            <w:r>
              <w:rPr>
                <w:b w:val="0"/>
                <w:sz w:val="18"/>
              </w:rPr>
              <w:t>0.05 m 方格</w:t>
            </w:r>
          </w:p>
        </w:tc>
        <w:tc>
          <w:tcPr>
            <w:tcW w:type="dxa" w:w="3211"/>
            <w:vAlign w:val="center"/>
          </w:tcPr>
          <w:p>
            <w:pPr>
              <w:spacing w:after="0"/>
            </w:pPr>
            <w:r/>
            <w:r>
              <w:rPr>
                <w:b w:val="0"/>
                <w:sz w:val="18"/>
              </w:rPr>
              <w:t>0.05 m 方格</w:t>
            </w:r>
          </w:p>
        </w:tc>
      </w:tr>
    </w:tbl>
    <w:p>
      <w:pPr>
        <w:spacing w:after="0"/>
      </w:pPr>
    </w:p>
    <w:p>
      <w:pPr>
        <w:pStyle w:val="Heading2"/>
      </w:pPr>
      <w:r>
        <w:t>11.1 试验 #2 结果和敏感性</w:t>
      </w:r>
    </w:p>
    <w:p>
      <w:r>
        <w:t>试验 #2 的参考模拟采用 nf = 0.018 m⁻¹/³·s、τc = 10⁻² Pa、kd = 150 cm³·N⁻¹·s⁻¹、φc,wet = φdep = 30°、φc,dry = 45°。模型能够较好再现溃口早期的沙漏形态和最终顶部宽度，但出流量整体低于实测值。</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D9EAF7"/>
          </w:tcPr>
          <w:p>
            <w:pPr>
              <w:spacing w:after="0"/>
            </w:pPr>
            <w:r/>
            <w:r>
              <w:rPr>
                <w:b/>
                <w:sz w:val="18"/>
              </w:rPr>
              <w:t>工况</w:t>
            </w:r>
          </w:p>
        </w:tc>
        <w:tc>
          <w:tcPr>
            <w:tcW w:type="dxa" w:w="2408"/>
            <w:vAlign w:val="center"/>
            <w:shd w:fill="D9EAF7"/>
          </w:tcPr>
          <w:p>
            <w:pPr>
              <w:spacing w:after="0"/>
            </w:pPr>
            <w:r/>
            <w:r>
              <w:rPr>
                <w:b/>
                <w:sz w:val="18"/>
              </w:rPr>
              <w:t>峰值流量 m³/s</w:t>
            </w:r>
          </w:p>
        </w:tc>
        <w:tc>
          <w:tcPr>
            <w:tcW w:type="dxa" w:w="2408"/>
            <w:vAlign w:val="center"/>
            <w:shd w:fill="D9EAF7"/>
          </w:tcPr>
          <w:p>
            <w:pPr>
              <w:spacing w:after="0"/>
            </w:pPr>
            <w:r/>
            <w:r>
              <w:rPr>
                <w:b/>
                <w:sz w:val="18"/>
              </w:rPr>
              <w:t>最终顶部宽度 m</w:t>
            </w:r>
          </w:p>
        </w:tc>
        <w:tc>
          <w:tcPr>
            <w:tcW w:type="dxa" w:w="2408"/>
            <w:vAlign w:val="center"/>
            <w:shd w:fill="D9EAF7"/>
          </w:tcPr>
          <w:p>
            <w:pPr>
              <w:spacing w:after="0"/>
            </w:pPr>
            <w:r/>
            <w:r>
              <w:rPr>
                <w:b/>
                <w:sz w:val="18"/>
              </w:rPr>
              <w:t>解释</w:t>
            </w:r>
          </w:p>
        </w:tc>
      </w:tr>
      <w:tr>
        <w:tc>
          <w:tcPr>
            <w:tcW w:type="dxa" w:w="2408"/>
            <w:vAlign w:val="center"/>
          </w:tcPr>
          <w:p>
            <w:pPr>
              <w:spacing w:after="0"/>
            </w:pPr>
            <w:r/>
            <w:r>
              <w:rPr>
                <w:b w:val="0"/>
                <w:sz w:val="18"/>
              </w:rPr>
              <w:t>实测</w:t>
            </w:r>
          </w:p>
        </w:tc>
        <w:tc>
          <w:tcPr>
            <w:tcW w:type="dxa" w:w="2408"/>
            <w:vAlign w:val="center"/>
          </w:tcPr>
          <w:p>
            <w:pPr>
              <w:spacing w:after="0"/>
            </w:pPr>
            <w:r/>
            <w:r>
              <w:rPr>
                <w:b w:val="0"/>
                <w:sz w:val="18"/>
              </w:rPr>
              <w:t>0.91</w:t>
            </w:r>
          </w:p>
        </w:tc>
        <w:tc>
          <w:tcPr>
            <w:tcW w:type="dxa" w:w="2408"/>
            <w:vAlign w:val="center"/>
          </w:tcPr>
          <w:p>
            <w:pPr>
              <w:spacing w:after="0"/>
            </w:pPr>
            <w:r/>
            <w:r>
              <w:rPr>
                <w:b w:val="0"/>
                <w:sz w:val="18"/>
              </w:rPr>
              <w:t>3.75</w:t>
            </w:r>
          </w:p>
        </w:tc>
        <w:tc>
          <w:tcPr>
            <w:tcW w:type="dxa" w:w="2408"/>
            <w:vAlign w:val="center"/>
          </w:tcPr>
          <w:p>
            <w:pPr>
              <w:spacing w:after="0"/>
            </w:pPr>
            <w:r/>
            <w:r>
              <w:rPr>
                <w:b w:val="0"/>
                <w:sz w:val="18"/>
              </w:rPr>
              <w:t>参考值</w:t>
            </w:r>
          </w:p>
        </w:tc>
      </w:tr>
      <w:tr>
        <w:tc>
          <w:tcPr>
            <w:tcW w:type="dxa" w:w="2408"/>
            <w:vAlign w:val="center"/>
          </w:tcPr>
          <w:p>
            <w:pPr>
              <w:spacing w:after="0"/>
            </w:pPr>
            <w:r/>
            <w:r>
              <w:rPr>
                <w:b w:val="0"/>
                <w:sz w:val="18"/>
              </w:rPr>
              <w:t>参考模拟</w:t>
            </w:r>
          </w:p>
        </w:tc>
        <w:tc>
          <w:tcPr>
            <w:tcW w:type="dxa" w:w="2408"/>
            <w:vAlign w:val="center"/>
          </w:tcPr>
          <w:p>
            <w:pPr>
              <w:spacing w:after="0"/>
            </w:pPr>
            <w:r/>
            <w:r>
              <w:rPr>
                <w:b w:val="0"/>
                <w:sz w:val="18"/>
              </w:rPr>
              <w:t>0.63</w:t>
            </w:r>
          </w:p>
        </w:tc>
        <w:tc>
          <w:tcPr>
            <w:tcW w:type="dxa" w:w="2408"/>
            <w:vAlign w:val="center"/>
          </w:tcPr>
          <w:p>
            <w:pPr>
              <w:spacing w:after="0"/>
            </w:pPr>
            <w:r/>
            <w:r>
              <w:rPr>
                <w:b w:val="0"/>
                <w:sz w:val="18"/>
              </w:rPr>
              <w:t>3.73</w:t>
            </w:r>
          </w:p>
        </w:tc>
        <w:tc>
          <w:tcPr>
            <w:tcW w:type="dxa" w:w="2408"/>
            <w:vAlign w:val="center"/>
          </w:tcPr>
          <w:p>
            <w:pPr>
              <w:spacing w:after="0"/>
            </w:pPr>
            <w:r/>
            <w:r>
              <w:rPr>
                <w:b w:val="0"/>
                <w:sz w:val="18"/>
              </w:rPr>
              <w:t>宽度接近，流量低估31%</w:t>
            </w:r>
          </w:p>
        </w:tc>
      </w:tr>
      <w:tr>
        <w:tc>
          <w:tcPr>
            <w:tcW w:type="dxa" w:w="2408"/>
            <w:vAlign w:val="center"/>
          </w:tcPr>
          <w:p>
            <w:pPr>
              <w:spacing w:after="0"/>
            </w:pPr>
            <w:r/>
            <w:r>
              <w:rPr>
                <w:b w:val="0"/>
                <w:sz w:val="18"/>
              </w:rPr>
              <w:t>kd = 100</w:t>
            </w:r>
          </w:p>
        </w:tc>
        <w:tc>
          <w:tcPr>
            <w:tcW w:type="dxa" w:w="2408"/>
            <w:vAlign w:val="center"/>
          </w:tcPr>
          <w:p>
            <w:pPr>
              <w:spacing w:after="0"/>
            </w:pPr>
            <w:r/>
            <w:r>
              <w:rPr>
                <w:b w:val="0"/>
                <w:sz w:val="18"/>
              </w:rPr>
              <w:t>0.54</w:t>
            </w:r>
          </w:p>
        </w:tc>
        <w:tc>
          <w:tcPr>
            <w:tcW w:type="dxa" w:w="2408"/>
            <w:vAlign w:val="center"/>
          </w:tcPr>
          <w:p>
            <w:pPr>
              <w:spacing w:after="0"/>
            </w:pPr>
            <w:r/>
            <w:r>
              <w:rPr>
                <w:b w:val="0"/>
                <w:sz w:val="18"/>
              </w:rPr>
              <w:t>3.23</w:t>
            </w:r>
          </w:p>
        </w:tc>
        <w:tc>
          <w:tcPr>
            <w:tcW w:type="dxa" w:w="2408"/>
            <w:vAlign w:val="center"/>
          </w:tcPr>
          <w:p>
            <w:pPr>
              <w:spacing w:after="0"/>
            </w:pPr>
            <w:r/>
            <w:r>
              <w:rPr>
                <w:b w:val="0"/>
                <w:sz w:val="18"/>
              </w:rPr>
              <w:t>侵蚀较慢，宽度低估</w:t>
            </w:r>
          </w:p>
        </w:tc>
      </w:tr>
      <w:tr>
        <w:tc>
          <w:tcPr>
            <w:tcW w:type="dxa" w:w="2408"/>
            <w:vAlign w:val="center"/>
          </w:tcPr>
          <w:p>
            <w:pPr>
              <w:spacing w:after="0"/>
            </w:pPr>
            <w:r/>
            <w:r>
              <w:rPr>
                <w:b w:val="0"/>
                <w:sz w:val="18"/>
              </w:rPr>
              <w:t>kd = 200</w:t>
            </w:r>
          </w:p>
        </w:tc>
        <w:tc>
          <w:tcPr>
            <w:tcW w:type="dxa" w:w="2408"/>
            <w:vAlign w:val="center"/>
          </w:tcPr>
          <w:p>
            <w:pPr>
              <w:spacing w:after="0"/>
            </w:pPr>
            <w:r/>
            <w:r>
              <w:rPr>
                <w:b w:val="0"/>
                <w:sz w:val="18"/>
              </w:rPr>
              <w:t>0.68</w:t>
            </w:r>
          </w:p>
        </w:tc>
        <w:tc>
          <w:tcPr>
            <w:tcW w:type="dxa" w:w="2408"/>
            <w:vAlign w:val="center"/>
          </w:tcPr>
          <w:p>
            <w:pPr>
              <w:spacing w:after="0"/>
            </w:pPr>
            <w:r/>
            <w:r>
              <w:rPr>
                <w:b w:val="0"/>
                <w:sz w:val="18"/>
              </w:rPr>
              <w:t>4.01</w:t>
            </w:r>
          </w:p>
        </w:tc>
        <w:tc>
          <w:tcPr>
            <w:tcW w:type="dxa" w:w="2408"/>
            <w:vAlign w:val="center"/>
          </w:tcPr>
          <w:p>
            <w:pPr>
              <w:spacing w:after="0"/>
            </w:pPr>
            <w:r/>
            <w:r>
              <w:rPr>
                <w:b w:val="0"/>
                <w:sz w:val="18"/>
              </w:rPr>
              <w:t>侵蚀较快，宽度略高</w:t>
            </w:r>
          </w:p>
        </w:tc>
      </w:tr>
      <w:tr>
        <w:tc>
          <w:tcPr>
            <w:tcW w:type="dxa" w:w="2408"/>
            <w:vAlign w:val="center"/>
          </w:tcPr>
          <w:p>
            <w:pPr>
              <w:spacing w:after="0"/>
            </w:pPr>
            <w:r/>
            <w:r>
              <w:rPr>
                <w:b w:val="0"/>
                <w:sz w:val="18"/>
              </w:rPr>
              <w:t>φc,dry = 40°</w:t>
            </w:r>
          </w:p>
        </w:tc>
        <w:tc>
          <w:tcPr>
            <w:tcW w:type="dxa" w:w="2408"/>
            <w:vAlign w:val="center"/>
          </w:tcPr>
          <w:p>
            <w:pPr>
              <w:spacing w:after="0"/>
            </w:pPr>
            <w:r/>
            <w:r>
              <w:rPr>
                <w:b w:val="0"/>
                <w:sz w:val="18"/>
              </w:rPr>
              <w:t>0.68</w:t>
            </w:r>
          </w:p>
        </w:tc>
        <w:tc>
          <w:tcPr>
            <w:tcW w:type="dxa" w:w="2408"/>
            <w:vAlign w:val="center"/>
          </w:tcPr>
          <w:p>
            <w:pPr>
              <w:spacing w:after="0"/>
            </w:pPr>
            <w:r/>
            <w:r>
              <w:rPr>
                <w:b w:val="0"/>
                <w:sz w:val="18"/>
              </w:rPr>
              <w:t>4.15</w:t>
            </w:r>
          </w:p>
        </w:tc>
        <w:tc>
          <w:tcPr>
            <w:tcW w:type="dxa" w:w="2408"/>
            <w:vAlign w:val="center"/>
          </w:tcPr>
          <w:p>
            <w:pPr>
              <w:spacing w:after="0"/>
            </w:pPr>
            <w:r/>
            <w:r>
              <w:rPr>
                <w:b w:val="0"/>
                <w:sz w:val="18"/>
              </w:rPr>
              <w:t>干角较小，展宽较大</w:t>
            </w:r>
          </w:p>
        </w:tc>
      </w:tr>
      <w:tr>
        <w:tc>
          <w:tcPr>
            <w:tcW w:type="dxa" w:w="2408"/>
            <w:vAlign w:val="center"/>
          </w:tcPr>
          <w:p>
            <w:pPr>
              <w:spacing w:after="0"/>
            </w:pPr>
            <w:r/>
            <w:r>
              <w:rPr>
                <w:b w:val="0"/>
                <w:sz w:val="18"/>
              </w:rPr>
              <w:t>φc,dry = 50°</w:t>
            </w:r>
          </w:p>
        </w:tc>
        <w:tc>
          <w:tcPr>
            <w:tcW w:type="dxa" w:w="2408"/>
            <w:vAlign w:val="center"/>
          </w:tcPr>
          <w:p>
            <w:pPr>
              <w:spacing w:after="0"/>
            </w:pPr>
            <w:r/>
            <w:r>
              <w:rPr>
                <w:b w:val="0"/>
                <w:sz w:val="18"/>
              </w:rPr>
              <w:t>0.57</w:t>
            </w:r>
          </w:p>
        </w:tc>
        <w:tc>
          <w:tcPr>
            <w:tcW w:type="dxa" w:w="2408"/>
            <w:vAlign w:val="center"/>
          </w:tcPr>
          <w:p>
            <w:pPr>
              <w:spacing w:after="0"/>
            </w:pPr>
            <w:r/>
            <w:r>
              <w:rPr>
                <w:b w:val="0"/>
                <w:sz w:val="18"/>
              </w:rPr>
              <w:t>3.23</w:t>
            </w:r>
          </w:p>
        </w:tc>
        <w:tc>
          <w:tcPr>
            <w:tcW w:type="dxa" w:w="2408"/>
            <w:vAlign w:val="center"/>
          </w:tcPr>
          <w:p>
            <w:pPr>
              <w:spacing w:after="0"/>
            </w:pPr>
            <w:r/>
            <w:r>
              <w:rPr>
                <w:b w:val="0"/>
                <w:sz w:val="18"/>
              </w:rPr>
              <w:t>干角增大，展宽减小</w:t>
            </w:r>
          </w:p>
        </w:tc>
      </w:tr>
      <w:tr>
        <w:tc>
          <w:tcPr>
            <w:tcW w:type="dxa" w:w="2408"/>
            <w:vAlign w:val="center"/>
          </w:tcPr>
          <w:p>
            <w:pPr>
              <w:spacing w:after="0"/>
            </w:pPr>
            <w:r/>
            <w:r>
              <w:rPr>
                <w:b w:val="0"/>
                <w:sz w:val="18"/>
              </w:rPr>
              <w:t>φc,dry = 60°</w:t>
            </w:r>
          </w:p>
        </w:tc>
        <w:tc>
          <w:tcPr>
            <w:tcW w:type="dxa" w:w="2408"/>
            <w:vAlign w:val="center"/>
          </w:tcPr>
          <w:p>
            <w:pPr>
              <w:spacing w:after="0"/>
            </w:pPr>
            <w:r/>
            <w:r>
              <w:rPr>
                <w:b w:val="0"/>
                <w:sz w:val="18"/>
              </w:rPr>
              <w:t>0.49</w:t>
            </w:r>
          </w:p>
        </w:tc>
        <w:tc>
          <w:tcPr>
            <w:tcW w:type="dxa" w:w="2408"/>
            <w:vAlign w:val="center"/>
          </w:tcPr>
          <w:p>
            <w:pPr>
              <w:spacing w:after="0"/>
            </w:pPr>
            <w:r/>
            <w:r>
              <w:rPr>
                <w:b w:val="0"/>
                <w:sz w:val="18"/>
              </w:rPr>
              <w:t>2.39</w:t>
            </w:r>
          </w:p>
        </w:tc>
        <w:tc>
          <w:tcPr>
            <w:tcW w:type="dxa" w:w="2408"/>
            <w:vAlign w:val="center"/>
          </w:tcPr>
          <w:p>
            <w:pPr>
              <w:spacing w:after="0"/>
            </w:pPr>
            <w:r/>
            <w:r>
              <w:rPr>
                <w:b w:val="0"/>
                <w:sz w:val="18"/>
              </w:rPr>
              <w:t>展宽显著减小</w:t>
            </w:r>
          </w:p>
        </w:tc>
      </w:tr>
      <w:tr>
        <w:tc>
          <w:tcPr>
            <w:tcW w:type="dxa" w:w="2408"/>
            <w:vAlign w:val="center"/>
          </w:tcPr>
          <w:p>
            <w:pPr>
              <w:spacing w:after="0"/>
            </w:pPr>
            <w:r/>
            <w:r>
              <w:rPr>
                <w:b w:val="0"/>
                <w:sz w:val="18"/>
              </w:rPr>
              <w:t>φc,dry = 70°</w:t>
            </w:r>
          </w:p>
        </w:tc>
        <w:tc>
          <w:tcPr>
            <w:tcW w:type="dxa" w:w="2408"/>
            <w:vAlign w:val="center"/>
          </w:tcPr>
          <w:p>
            <w:pPr>
              <w:spacing w:after="0"/>
            </w:pPr>
            <w:r/>
            <w:r>
              <w:rPr>
                <w:b w:val="0"/>
                <w:sz w:val="18"/>
              </w:rPr>
              <w:t>0.35</w:t>
            </w:r>
          </w:p>
        </w:tc>
        <w:tc>
          <w:tcPr>
            <w:tcW w:type="dxa" w:w="2408"/>
            <w:vAlign w:val="center"/>
          </w:tcPr>
          <w:p>
            <w:pPr>
              <w:spacing w:after="0"/>
            </w:pPr>
            <w:r/>
            <w:r>
              <w:rPr>
                <w:b w:val="0"/>
                <w:sz w:val="18"/>
              </w:rPr>
              <w:t>1.54</w:t>
            </w:r>
          </w:p>
        </w:tc>
        <w:tc>
          <w:tcPr>
            <w:tcW w:type="dxa" w:w="2408"/>
            <w:vAlign w:val="center"/>
          </w:tcPr>
          <w:p>
            <w:pPr>
              <w:spacing w:after="0"/>
            </w:pPr>
            <w:r/>
            <w:r>
              <w:rPr>
                <w:b w:val="0"/>
                <w:sz w:val="18"/>
              </w:rPr>
              <w:t>展宽严重受限</w:t>
            </w:r>
          </w:p>
        </w:tc>
      </w:tr>
      <w:tr>
        <w:tc>
          <w:tcPr>
            <w:tcW w:type="dxa" w:w="2408"/>
            <w:vAlign w:val="center"/>
          </w:tcPr>
          <w:p>
            <w:pPr>
              <w:spacing w:after="0"/>
            </w:pPr>
            <w:r/>
            <w:r>
              <w:rPr>
                <w:b w:val="0"/>
                <w:sz w:val="18"/>
              </w:rPr>
              <w:t>φc,wet = φdep = 25°</w:t>
            </w:r>
          </w:p>
        </w:tc>
        <w:tc>
          <w:tcPr>
            <w:tcW w:type="dxa" w:w="2408"/>
            <w:vAlign w:val="center"/>
          </w:tcPr>
          <w:p>
            <w:pPr>
              <w:spacing w:after="0"/>
            </w:pPr>
            <w:r/>
            <w:r>
              <w:rPr>
                <w:b w:val="0"/>
                <w:sz w:val="18"/>
              </w:rPr>
              <w:t>0.64</w:t>
            </w:r>
          </w:p>
        </w:tc>
        <w:tc>
          <w:tcPr>
            <w:tcW w:type="dxa" w:w="2408"/>
            <w:vAlign w:val="center"/>
          </w:tcPr>
          <w:p>
            <w:pPr>
              <w:spacing w:after="0"/>
            </w:pPr>
            <w:r/>
            <w:r>
              <w:rPr>
                <w:b w:val="0"/>
                <w:sz w:val="18"/>
              </w:rPr>
              <w:t>3.65</w:t>
            </w:r>
          </w:p>
        </w:tc>
        <w:tc>
          <w:tcPr>
            <w:tcW w:type="dxa" w:w="2408"/>
            <w:vAlign w:val="center"/>
          </w:tcPr>
          <w:p>
            <w:pPr>
              <w:spacing w:after="0"/>
            </w:pPr>
            <w:r/>
            <w:r>
              <w:rPr>
                <w:b w:val="0"/>
                <w:sz w:val="18"/>
              </w:rPr>
              <w:t>湿角影响较小</w:t>
            </w:r>
          </w:p>
        </w:tc>
      </w:tr>
      <w:tr>
        <w:tc>
          <w:tcPr>
            <w:tcW w:type="dxa" w:w="2408"/>
            <w:vAlign w:val="center"/>
          </w:tcPr>
          <w:p>
            <w:pPr>
              <w:spacing w:after="0"/>
            </w:pPr>
            <w:r/>
            <w:r>
              <w:rPr>
                <w:b w:val="0"/>
                <w:sz w:val="18"/>
              </w:rPr>
              <w:t>φc,wet = φdep = 35°</w:t>
            </w:r>
          </w:p>
        </w:tc>
        <w:tc>
          <w:tcPr>
            <w:tcW w:type="dxa" w:w="2408"/>
            <w:vAlign w:val="center"/>
          </w:tcPr>
          <w:p>
            <w:pPr>
              <w:spacing w:after="0"/>
            </w:pPr>
            <w:r/>
            <w:r>
              <w:rPr>
                <w:b w:val="0"/>
                <w:sz w:val="18"/>
              </w:rPr>
              <w:t>0.62</w:t>
            </w:r>
          </w:p>
        </w:tc>
        <w:tc>
          <w:tcPr>
            <w:tcW w:type="dxa" w:w="2408"/>
            <w:vAlign w:val="center"/>
          </w:tcPr>
          <w:p>
            <w:pPr>
              <w:spacing w:after="0"/>
            </w:pPr>
            <w:r/>
            <w:r>
              <w:rPr>
                <w:b w:val="0"/>
                <w:sz w:val="18"/>
              </w:rPr>
              <w:t>3.70</w:t>
            </w:r>
          </w:p>
        </w:tc>
        <w:tc>
          <w:tcPr>
            <w:tcW w:type="dxa" w:w="2408"/>
            <w:vAlign w:val="center"/>
          </w:tcPr>
          <w:p>
            <w:pPr>
              <w:spacing w:after="0"/>
            </w:pPr>
            <w:r/>
            <w:r>
              <w:rPr>
                <w:b w:val="0"/>
                <w:sz w:val="18"/>
              </w:rPr>
              <w:t>湿角影响较小</w:t>
            </w:r>
          </w:p>
        </w:tc>
      </w:tr>
    </w:tbl>
    <w:p>
      <w:pPr>
        <w:spacing w:after="0"/>
      </w:pPr>
    </w:p>
    <w:p>
      <w:r>
        <w:t>论文结论是：τc 的敏感性较小；φc,wet 对主要结果的影响不明显；φc,dry 增大时最终溃口宽度和峰值流量降低；曼宁系数的总体影响也不大，因为 nf 增大虽然直接增加剪应力系数，但同时会降低速度。</w:t>
      </w:r>
    </w:p>
    <w:p>
      <w:pPr>
        <w:pStyle w:val="Heading2"/>
      </w:pPr>
      <w:r>
        <w:t>11.2 试验 #10 结果和材料差异</w:t>
      </w:r>
    </w:p>
    <w:p>
      <w:r>
        <w:t>试验 #10 的黏性土参考参数为 p = 0.4、τc = 0.1 Pa、kd = 5 cm³·N⁻¹·s⁻¹、φc,wet = φdep = 30°、φc,dry = 45°。模型能较好预测最终顶部宽度和出流过程，但不能模拟实验中观察到的 headcut 侵蚀。</w:t>
      </w:r>
    </w:p>
    <w:p>
      <w:r>
        <w:t>当 kd 小于 5 cm³·N⁻¹·s⁻¹ 时，早期溃口形成过慢，水位上涨会导致整段坝体漫顶并产生实验中没有的广泛侵蚀。因此，kd 既控制侵蚀速度，也会改变漫顶位置和后续水动力反馈。</w:t>
      </w:r>
    </w:p>
    <w:p>
      <w:pPr>
        <w:spacing w:after="80"/>
      </w:pPr>
      <w:r>
        <w:rPr>
          <w:i/>
          <w:sz w:val="17"/>
        </w:rPr>
        <w:t>文献定位：论文印刷页 689–692；PDF页 16–19。</w:t>
      </w:r>
    </w:p>
    <w:p>
      <w:pPr>
        <w:pStyle w:val="Heading1"/>
      </w:pPr>
      <w:r>
        <w:t>12. 案例三：大尺度侧向堤防溃口</w:t>
      </w:r>
    </w:p>
    <w:p>
      <w:r>
        <w:t>侧向试验采用 3 m 高、6 m 坝顶宽、两侧 1V:2H 的可蚀砂质堤防，替换原渠道右岸的一段堤防。材料参数为 d50 = 0.7 mm、d30 约 0.2 mm、d90 约 40 mm、ρs = 2650 kg/m³、p = 0.4。网格尺寸为 0.5 m，曼宁系数为 0.023 m⁻¹/³·s。</w:t>
      </w:r>
    </w:p>
    <w:p>
      <w:r>
        <w:t>侵蚀模型采用 τc = 0.5 Pa、kd = 80 cm³·N⁻¹·s⁻¹、φc,wet = φdep = 30°、φc,dry = 40°。入流过程线作为上游边界，远离溃口的下游位置施加水位—流量关系。</w:t>
      </w:r>
    </w:p>
    <w:p>
      <w:r>
        <w:t>结果显示，侧向溃口下游方向存在高速带，上游方向存在滞水和沉积区，因此溃口两侧展宽不对称。Exner 泥沙输运模型能够更好描述沉积区；Dazzi 主侵蚀模型虽然忽略沉积，但仍能捕捉不对称展宽趋势和总宽度。两种模型的峰值出流量均比实测低约 4–5%。</w:t>
      </w:r>
    </w:p>
    <w:p>
      <w:r>
        <w:t>参数敏感性中，kd 从 40、60、80、100、120 cm³·N⁻¹·s⁻¹ 变化时，最终宽度约为 8、33、62、80、127 m，说明 kd 对溃口宽度非常敏感。τc 在 0.1、0.5、1 Pa 之间变化时，对峰值流量和到达时间的影响相对有限。</w:t>
      </w:r>
    </w:p>
    <w:p>
      <w:pPr>
        <w:spacing w:after="80"/>
      </w:pPr>
      <w:r>
        <w:rPr>
          <w:i/>
          <w:sz w:val="17"/>
        </w:rPr>
        <w:t>文献定位：论文印刷页 693–696；PDF页 25–29。</w:t>
      </w:r>
    </w:p>
    <w:p>
      <w:pPr>
        <w:pStyle w:val="Heading1"/>
      </w:pPr>
      <w:r>
        <w:t>13. 案例四：2017 年恩扎河真实洪水</w:t>
      </w:r>
    </w:p>
    <w:p>
      <w:r>
        <w:t>2017 年 12 月 10–11 日强降雨后，恩扎河发生严重洪水。12 月 12 日 5:30 左右，河水漫过右岸堤防，最初形成三个距离很近的溃口，随后逐步合并。漫顶段约 250 m，最终总溃口宽度约 160 m，展宽过程约 4 小时，淹没区约 6.3 km²。</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项目</w:t>
            </w:r>
          </w:p>
        </w:tc>
        <w:tc>
          <w:tcPr>
            <w:tcW w:type="dxa" w:w="4816"/>
            <w:vAlign w:val="center"/>
            <w:shd w:fill="D9EAF7"/>
          </w:tcPr>
          <w:p>
            <w:pPr>
              <w:spacing w:after="0"/>
            </w:pPr>
            <w:r/>
            <w:r>
              <w:rPr>
                <w:b/>
                <w:sz w:val="18"/>
              </w:rPr>
              <w:t>设置</w:t>
            </w:r>
          </w:p>
        </w:tc>
      </w:tr>
      <w:tr>
        <w:tc>
          <w:tcPr>
            <w:tcW w:type="dxa" w:w="4816"/>
            <w:vAlign w:val="center"/>
          </w:tcPr>
          <w:p>
            <w:pPr>
              <w:spacing w:after="0"/>
            </w:pPr>
            <w:r/>
            <w:r>
              <w:rPr>
                <w:b w:val="0"/>
                <w:sz w:val="18"/>
              </w:rPr>
              <w:t>地形</w:t>
            </w:r>
          </w:p>
        </w:tc>
        <w:tc>
          <w:tcPr>
            <w:tcW w:type="dxa" w:w="4816"/>
            <w:vAlign w:val="center"/>
          </w:tcPr>
          <w:p>
            <w:pPr>
              <w:spacing w:after="0"/>
            </w:pPr>
            <w:r/>
            <w:r>
              <w:rPr>
                <w:b w:val="0"/>
                <w:sz w:val="18"/>
              </w:rPr>
              <w:t>LiDAR 数字地形模型，原始分辨率 1 m</w:t>
            </w:r>
          </w:p>
        </w:tc>
      </w:tr>
      <w:tr>
        <w:tc>
          <w:tcPr>
            <w:tcW w:type="dxa" w:w="4816"/>
            <w:vAlign w:val="center"/>
          </w:tcPr>
          <w:p>
            <w:pPr>
              <w:spacing w:after="0"/>
            </w:pPr>
            <w:r/>
            <w:r>
              <w:rPr>
                <w:b w:val="0"/>
                <w:sz w:val="18"/>
              </w:rPr>
              <w:t>计算网格</w:t>
            </w:r>
          </w:p>
        </w:tc>
        <w:tc>
          <w:tcPr>
            <w:tcW w:type="dxa" w:w="4816"/>
            <w:vAlign w:val="center"/>
          </w:tcPr>
          <w:p>
            <w:pPr>
              <w:spacing w:after="0"/>
            </w:pPr>
            <w:r/>
            <w:r>
              <w:rPr>
                <w:b w:val="0"/>
                <w:sz w:val="18"/>
              </w:rPr>
              <w:t>2 m × 2 m，约 500 万个活跃网格</w:t>
            </w:r>
          </w:p>
        </w:tc>
      </w:tr>
      <w:tr>
        <w:tc>
          <w:tcPr>
            <w:tcW w:type="dxa" w:w="4816"/>
            <w:vAlign w:val="center"/>
          </w:tcPr>
          <w:p>
            <w:pPr>
              <w:spacing w:after="0"/>
            </w:pPr>
            <w:r/>
            <w:r>
              <w:rPr>
                <w:b w:val="0"/>
                <w:sz w:val="18"/>
              </w:rPr>
              <w:t>糙率</w:t>
            </w:r>
          </w:p>
        </w:tc>
        <w:tc>
          <w:tcPr>
            <w:tcW w:type="dxa" w:w="4816"/>
            <w:vAlign w:val="center"/>
          </w:tcPr>
          <w:p>
            <w:pPr>
              <w:spacing w:after="0"/>
            </w:pPr>
            <w:r/>
            <w:r>
              <w:rPr>
                <w:b w:val="0"/>
                <w:sz w:val="18"/>
              </w:rPr>
              <w:t>nf = 0.05 m⁻¹/³·s，经率定</w:t>
            </w:r>
          </w:p>
        </w:tc>
      </w:tr>
      <w:tr>
        <w:tc>
          <w:tcPr>
            <w:tcW w:type="dxa" w:w="4816"/>
            <w:vAlign w:val="center"/>
          </w:tcPr>
          <w:p>
            <w:pPr>
              <w:spacing w:after="0"/>
            </w:pPr>
            <w:r/>
            <w:r>
              <w:rPr>
                <w:b w:val="0"/>
                <w:sz w:val="18"/>
              </w:rPr>
              <w:t>堤防土</w:t>
            </w:r>
          </w:p>
        </w:tc>
        <w:tc>
          <w:tcPr>
            <w:tcW w:type="dxa" w:w="4816"/>
            <w:vAlign w:val="center"/>
          </w:tcPr>
          <w:p>
            <w:pPr>
              <w:spacing w:after="0"/>
            </w:pPr>
            <w:r/>
            <w:r>
              <w:rPr>
                <w:b w:val="0"/>
                <w:sz w:val="18"/>
              </w:rPr>
              <w:t>粉质壤土：砂15–39%，粉粒49–67%，黏粒12–18%</w:t>
            </w:r>
          </w:p>
        </w:tc>
      </w:tr>
      <w:tr>
        <w:tc>
          <w:tcPr>
            <w:tcW w:type="dxa" w:w="4816"/>
            <w:vAlign w:val="center"/>
          </w:tcPr>
          <w:p>
            <w:pPr>
              <w:spacing w:after="0"/>
            </w:pPr>
            <w:r/>
            <w:r>
              <w:rPr>
                <w:b w:val="0"/>
                <w:sz w:val="18"/>
              </w:rPr>
              <w:t>孔隙率</w:t>
            </w:r>
          </w:p>
        </w:tc>
        <w:tc>
          <w:tcPr>
            <w:tcW w:type="dxa" w:w="4816"/>
            <w:vAlign w:val="center"/>
          </w:tcPr>
          <w:p>
            <w:pPr>
              <w:spacing w:after="0"/>
            </w:pPr>
            <w:r/>
            <w:r>
              <w:rPr>
                <w:b w:val="0"/>
                <w:sz w:val="18"/>
              </w:rPr>
              <w:t>p = 0.4</w:t>
            </w:r>
          </w:p>
        </w:tc>
      </w:tr>
      <w:tr>
        <w:tc>
          <w:tcPr>
            <w:tcW w:type="dxa" w:w="4816"/>
            <w:vAlign w:val="center"/>
          </w:tcPr>
          <w:p>
            <w:pPr>
              <w:spacing w:after="0"/>
            </w:pPr>
            <w:r/>
            <w:r>
              <w:rPr>
                <w:b w:val="0"/>
                <w:sz w:val="18"/>
              </w:rPr>
              <w:t>干容重</w:t>
            </w:r>
          </w:p>
        </w:tc>
        <w:tc>
          <w:tcPr>
            <w:tcW w:type="dxa" w:w="4816"/>
            <w:vAlign w:val="center"/>
          </w:tcPr>
          <w:p>
            <w:pPr>
              <w:spacing w:after="0"/>
            </w:pPr>
            <w:r/>
            <w:r>
              <w:rPr>
                <w:b w:val="0"/>
                <w:sz w:val="18"/>
              </w:rPr>
              <w:t>约 1.55 Mg/m³</w:t>
            </w:r>
          </w:p>
        </w:tc>
      </w:tr>
      <w:tr>
        <w:tc>
          <w:tcPr>
            <w:tcW w:type="dxa" w:w="4816"/>
            <w:vAlign w:val="center"/>
          </w:tcPr>
          <w:p>
            <w:pPr>
              <w:spacing w:after="0"/>
            </w:pPr>
            <w:r/>
            <w:r>
              <w:rPr>
                <w:b w:val="0"/>
                <w:sz w:val="18"/>
              </w:rPr>
              <w:t>侵蚀参数</w:t>
            </w:r>
          </w:p>
        </w:tc>
        <w:tc>
          <w:tcPr>
            <w:tcW w:type="dxa" w:w="4816"/>
            <w:vAlign w:val="center"/>
          </w:tcPr>
          <w:p>
            <w:pPr>
              <w:spacing w:after="0"/>
            </w:pPr>
            <w:r/>
            <w:r>
              <w:rPr>
                <w:b w:val="0"/>
                <w:sz w:val="18"/>
              </w:rPr>
              <w:t>τc = 1 Pa，kd = 5 cm³·N⁻¹·s⁻¹</w:t>
            </w:r>
          </w:p>
        </w:tc>
      </w:tr>
      <w:tr>
        <w:tc>
          <w:tcPr>
            <w:tcW w:type="dxa" w:w="4816"/>
            <w:vAlign w:val="center"/>
          </w:tcPr>
          <w:p>
            <w:pPr>
              <w:spacing w:after="0"/>
            </w:pPr>
            <w:r/>
            <w:r>
              <w:rPr>
                <w:b w:val="0"/>
                <w:sz w:val="18"/>
              </w:rPr>
              <w:t>边坡角</w:t>
            </w:r>
          </w:p>
        </w:tc>
        <w:tc>
          <w:tcPr>
            <w:tcW w:type="dxa" w:w="4816"/>
            <w:vAlign w:val="center"/>
          </w:tcPr>
          <w:p>
            <w:pPr>
              <w:spacing w:after="0"/>
            </w:pPr>
            <w:r/>
            <w:r>
              <w:rPr>
                <w:b w:val="0"/>
                <w:sz w:val="18"/>
              </w:rPr>
              <w:t>φc,wet = φdep = 30°，φc,dry = 50°</w:t>
            </w:r>
          </w:p>
        </w:tc>
      </w:tr>
      <w:tr>
        <w:tc>
          <w:tcPr>
            <w:tcW w:type="dxa" w:w="4816"/>
            <w:vAlign w:val="center"/>
          </w:tcPr>
          <w:p>
            <w:pPr>
              <w:spacing w:after="0"/>
            </w:pPr>
            <w:r/>
            <w:r>
              <w:rPr>
                <w:b w:val="0"/>
                <w:sz w:val="18"/>
              </w:rPr>
              <w:t>可蚀区域</w:t>
            </w:r>
          </w:p>
        </w:tc>
        <w:tc>
          <w:tcPr>
            <w:tcW w:type="dxa" w:w="4816"/>
            <w:vAlign w:val="center"/>
          </w:tcPr>
          <w:p>
            <w:pPr>
              <w:spacing w:after="0"/>
            </w:pPr>
            <w:r/>
            <w:r>
              <w:rPr>
                <w:b w:val="0"/>
                <w:sz w:val="18"/>
              </w:rPr>
              <w:t>只允许代表堤防的网格单元变化，河床不修改</w:t>
            </w:r>
          </w:p>
        </w:tc>
      </w:tr>
    </w:tbl>
    <w:p>
      <w:pPr>
        <w:spacing w:after="0"/>
      </w:pPr>
    </w:p>
    <w:p>
      <w:r>
        <w:t>上游边界由水位站水位换算得到的流量过程线提供。由于溃口形成后水位—流量关系发生变化，作者使用溃口前后两套水位—流量关系。下游采用较低水位边界，事件期间没有明显回水影响。</w:t>
      </w:r>
    </w:p>
    <w:p>
      <w:r>
        <w:t>模型预测出多个小溃口，并在约 3 小时内形成约 150 m 的总宽度，最大单段约 60 m。现场观测为三个溃口，模型预测数量略多，但总体溃口过程和淹没范围能够较好重现。</w:t>
      </w:r>
    </w:p>
    <w:p>
      <w:pPr>
        <w:pStyle w:val="Heading2"/>
      </w:pPr>
      <w:r>
        <w:t>13.1 恩扎河参数敏感性</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参数变化</w:t>
            </w:r>
          </w:p>
        </w:tc>
        <w:tc>
          <w:tcPr>
            <w:tcW w:type="dxa" w:w="4816"/>
            <w:vAlign w:val="center"/>
            <w:shd w:fill="D9EAF7"/>
          </w:tcPr>
          <w:p>
            <w:pPr>
              <w:spacing w:after="0"/>
            </w:pPr>
            <w:r/>
            <w:r>
              <w:rPr>
                <w:b/>
                <w:sz w:val="18"/>
              </w:rPr>
              <w:t>主要结果</w:t>
            </w:r>
          </w:p>
        </w:tc>
      </w:tr>
      <w:tr>
        <w:tc>
          <w:tcPr>
            <w:tcW w:type="dxa" w:w="4816"/>
            <w:vAlign w:val="center"/>
          </w:tcPr>
          <w:p>
            <w:pPr>
              <w:spacing w:after="0"/>
            </w:pPr>
            <w:r/>
            <w:r>
              <w:rPr>
                <w:b w:val="0"/>
                <w:sz w:val="18"/>
              </w:rPr>
              <w:t>kd = 1</w:t>
            </w:r>
          </w:p>
        </w:tc>
        <w:tc>
          <w:tcPr>
            <w:tcW w:type="dxa" w:w="4816"/>
            <w:vAlign w:val="center"/>
          </w:tcPr>
          <w:p>
            <w:pPr>
              <w:spacing w:after="0"/>
            </w:pPr>
            <w:r/>
            <w:r>
              <w:rPr>
                <w:b w:val="0"/>
                <w:sz w:val="18"/>
              </w:rPr>
              <w:t>展宽约 6 h，沿整段漫顶区域普遍侵蚀；出流和淹没面积明显低估，总出流量差异超过30%</w:t>
            </w:r>
          </w:p>
        </w:tc>
      </w:tr>
      <w:tr>
        <w:tc>
          <w:tcPr>
            <w:tcW w:type="dxa" w:w="4816"/>
            <w:vAlign w:val="center"/>
          </w:tcPr>
          <w:p>
            <w:pPr>
              <w:spacing w:after="0"/>
            </w:pPr>
            <w:r/>
            <w:r>
              <w:rPr>
                <w:b w:val="0"/>
                <w:sz w:val="18"/>
              </w:rPr>
              <w:t>kd = 2.5</w:t>
            </w:r>
          </w:p>
        </w:tc>
        <w:tc>
          <w:tcPr>
            <w:tcW w:type="dxa" w:w="4816"/>
            <w:vAlign w:val="center"/>
          </w:tcPr>
          <w:p>
            <w:pPr>
              <w:spacing w:after="0"/>
            </w:pPr>
            <w:r/>
            <w:r>
              <w:rPr>
                <w:b w:val="0"/>
                <w:sz w:val="18"/>
              </w:rPr>
              <w:t>过程与参考值相近，开启时间约4 h</w:t>
            </w:r>
          </w:p>
        </w:tc>
      </w:tr>
      <w:tr>
        <w:tc>
          <w:tcPr>
            <w:tcW w:type="dxa" w:w="4816"/>
            <w:vAlign w:val="center"/>
          </w:tcPr>
          <w:p>
            <w:pPr>
              <w:spacing w:after="0"/>
            </w:pPr>
            <w:r/>
            <w:r>
              <w:rPr>
                <w:b w:val="0"/>
                <w:sz w:val="18"/>
              </w:rPr>
              <w:t>kd = 5</w:t>
            </w:r>
          </w:p>
        </w:tc>
        <w:tc>
          <w:tcPr>
            <w:tcW w:type="dxa" w:w="4816"/>
            <w:vAlign w:val="center"/>
          </w:tcPr>
          <w:p>
            <w:pPr>
              <w:spacing w:after="0"/>
            </w:pPr>
            <w:r/>
            <w:r>
              <w:rPr>
                <w:b w:val="0"/>
                <w:sz w:val="18"/>
              </w:rPr>
              <w:t>参考工况，约3–4 h形成主要溃口</w:t>
            </w:r>
          </w:p>
        </w:tc>
      </w:tr>
      <w:tr>
        <w:tc>
          <w:tcPr>
            <w:tcW w:type="dxa" w:w="4816"/>
            <w:vAlign w:val="center"/>
          </w:tcPr>
          <w:p>
            <w:pPr>
              <w:spacing w:after="0"/>
            </w:pPr>
            <w:r/>
            <w:r>
              <w:rPr>
                <w:b w:val="0"/>
                <w:sz w:val="18"/>
              </w:rPr>
              <w:t>kd = 10</w:t>
            </w:r>
          </w:p>
        </w:tc>
        <w:tc>
          <w:tcPr>
            <w:tcW w:type="dxa" w:w="4816"/>
            <w:vAlign w:val="center"/>
          </w:tcPr>
          <w:p>
            <w:pPr>
              <w:spacing w:after="0"/>
            </w:pPr>
            <w:r/>
            <w:r>
              <w:rPr>
                <w:b w:val="0"/>
                <w:sz w:val="18"/>
              </w:rPr>
              <w:t>约1.5 h快速形成单一溃口，随后水位下降使其他位置停止漫顶</w:t>
            </w:r>
          </w:p>
        </w:tc>
      </w:tr>
      <w:tr>
        <w:tc>
          <w:tcPr>
            <w:tcW w:type="dxa" w:w="4816"/>
            <w:vAlign w:val="center"/>
          </w:tcPr>
          <w:p>
            <w:pPr>
              <w:spacing w:after="0"/>
            </w:pPr>
            <w:r/>
            <w:r>
              <w:rPr>
                <w:b w:val="0"/>
                <w:sz w:val="18"/>
              </w:rPr>
              <w:t>τc = 0.1或1 Pa</w:t>
            </w:r>
          </w:p>
        </w:tc>
        <w:tc>
          <w:tcPr>
            <w:tcW w:type="dxa" w:w="4816"/>
            <w:vAlign w:val="center"/>
          </w:tcPr>
          <w:p>
            <w:pPr>
              <w:spacing w:after="0"/>
            </w:pPr>
            <w:r/>
            <w:r>
              <w:rPr>
                <w:b w:val="0"/>
                <w:sz w:val="18"/>
              </w:rPr>
              <w:t>影响较小</w:t>
            </w:r>
          </w:p>
        </w:tc>
      </w:tr>
      <w:tr>
        <w:tc>
          <w:tcPr>
            <w:tcW w:type="dxa" w:w="4816"/>
            <w:vAlign w:val="center"/>
          </w:tcPr>
          <w:p>
            <w:pPr>
              <w:spacing w:after="0"/>
            </w:pPr>
            <w:r/>
            <w:r>
              <w:rPr>
                <w:b w:val="0"/>
                <w:sz w:val="18"/>
              </w:rPr>
              <w:t>τc = 10 Pa</w:t>
            </w:r>
          </w:p>
        </w:tc>
        <w:tc>
          <w:tcPr>
            <w:tcW w:type="dxa" w:w="4816"/>
            <w:vAlign w:val="center"/>
          </w:tcPr>
          <w:p>
            <w:pPr>
              <w:spacing w:after="0"/>
            </w:pPr>
            <w:r/>
            <w:r>
              <w:rPr>
                <w:b w:val="0"/>
                <w:sz w:val="18"/>
              </w:rPr>
              <w:t>侵蚀变慢，溢流水量约减少15%</w:t>
            </w:r>
          </w:p>
        </w:tc>
      </w:tr>
    </w:tbl>
    <w:p>
      <w:pPr>
        <w:spacing w:after="0"/>
      </w:pPr>
    </w:p>
    <w:p>
      <w:r>
        <w:t>使用同一硬件比较时，侵蚀模型模拟两天物理时间需要约 1.3 小时，物理时间/计算时间约为 37；与几何方法相比额外开销约 3%；Exner 泥沙输运模型需要约 2.8 小时，物理时间/计算时间约为 17。</w:t>
      </w:r>
    </w:p>
    <w:p>
      <w:pPr>
        <w:spacing w:after="80"/>
      </w:pPr>
      <w:r>
        <w:rPr>
          <w:i/>
          <w:sz w:val="17"/>
        </w:rPr>
        <w:t>文献定位：论文印刷页 693–698；PDF页 30–37。</w:t>
      </w:r>
    </w:p>
    <w:p>
      <w:pPr>
        <w:pStyle w:val="Heading1"/>
      </w:pPr>
      <w:r>
        <w:t>14. 讨论部分的完整含义</w:t>
      </w:r>
    </w:p>
    <w:p>
      <w:r>
        <w:t>作者将模型定位为面向洪水演进和风险图制作的工程模型，而不是三维堤防破坏解析模型。模型的优势是可以在不提前指定溃口位置和宽度的情况下，根据漫顶位置和局部剪切应力自动形成溃口；局限是无法描述所有影响溃口的三维机制。</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论文讨论的问题</w:t>
            </w:r>
          </w:p>
        </w:tc>
        <w:tc>
          <w:tcPr>
            <w:tcW w:type="dxa" w:w="3211"/>
            <w:vAlign w:val="center"/>
            <w:shd w:fill="D9EAF7"/>
          </w:tcPr>
          <w:p>
            <w:pPr>
              <w:spacing w:after="0"/>
            </w:pPr>
            <w:r/>
            <w:r>
              <w:rPr>
                <w:b/>
                <w:sz w:val="18"/>
              </w:rPr>
              <w:t>对结果的影响</w:t>
            </w:r>
          </w:p>
        </w:tc>
        <w:tc>
          <w:tcPr>
            <w:tcW w:type="dxa" w:w="3211"/>
            <w:vAlign w:val="center"/>
            <w:shd w:fill="D9EAF7"/>
          </w:tcPr>
          <w:p>
            <w:pPr>
              <w:spacing w:after="0"/>
            </w:pPr>
            <w:r/>
            <w:r>
              <w:rPr>
                <w:b/>
                <w:sz w:val="18"/>
              </w:rPr>
              <w:t>对本项目的要求</w:t>
            </w:r>
          </w:p>
        </w:tc>
      </w:tr>
      <w:tr>
        <w:tc>
          <w:tcPr>
            <w:tcW w:type="dxa" w:w="3211"/>
            <w:vAlign w:val="center"/>
          </w:tcPr>
          <w:p>
            <w:pPr>
              <w:spacing w:after="0"/>
            </w:pPr>
            <w:r/>
            <w:r>
              <w:rPr>
                <w:b w:val="0"/>
                <w:sz w:val="18"/>
              </w:rPr>
              <w:t>静水压力假设</w:t>
            </w:r>
          </w:p>
        </w:tc>
        <w:tc>
          <w:tcPr>
            <w:tcW w:type="dxa" w:w="3211"/>
            <w:vAlign w:val="center"/>
          </w:tcPr>
          <w:p>
            <w:pPr>
              <w:spacing w:after="0"/>
            </w:pPr>
            <w:r/>
            <w:r>
              <w:rPr>
                <w:b w:val="0"/>
                <w:sz w:val="18"/>
              </w:rPr>
              <w:t>溃口处垂向加速度和流线曲率被忽略</w:t>
            </w:r>
          </w:p>
        </w:tc>
        <w:tc>
          <w:tcPr>
            <w:tcW w:type="dxa" w:w="3211"/>
            <w:vAlign w:val="center"/>
          </w:tcPr>
          <w:p>
            <w:pPr>
              <w:spacing w:after="0"/>
            </w:pPr>
            <w:r/>
            <w:r>
              <w:rPr>
                <w:b w:val="0"/>
                <w:sz w:val="18"/>
              </w:rPr>
              <w:t>不能把二维结果解释为完整三维流固耦合</w:t>
            </w:r>
          </w:p>
        </w:tc>
      </w:tr>
      <w:tr>
        <w:tc>
          <w:tcPr>
            <w:tcW w:type="dxa" w:w="3211"/>
            <w:vAlign w:val="center"/>
          </w:tcPr>
          <w:p>
            <w:pPr>
              <w:spacing w:after="0"/>
            </w:pPr>
            <w:r/>
            <w:r>
              <w:rPr>
                <w:b w:val="0"/>
                <w:sz w:val="18"/>
              </w:rPr>
              <w:t>忽略入渗和泥沙浓度</w:t>
            </w:r>
          </w:p>
        </w:tc>
        <w:tc>
          <w:tcPr>
            <w:tcW w:type="dxa" w:w="3211"/>
            <w:vAlign w:val="center"/>
          </w:tcPr>
          <w:p>
            <w:pPr>
              <w:spacing w:after="0"/>
            </w:pPr>
            <w:r/>
            <w:r>
              <w:rPr>
                <w:b w:val="0"/>
                <w:sz w:val="18"/>
              </w:rPr>
              <w:t>堤防抗蚀性与剪切应力可能被简化</w:t>
            </w:r>
          </w:p>
        </w:tc>
        <w:tc>
          <w:tcPr>
            <w:tcW w:type="dxa" w:w="3211"/>
            <w:vAlign w:val="center"/>
          </w:tcPr>
          <w:p>
            <w:pPr>
              <w:spacing w:after="0"/>
            </w:pPr>
            <w:r/>
            <w:r>
              <w:rPr>
                <w:b w:val="0"/>
                <w:sz w:val="18"/>
              </w:rPr>
              <w:t>作为参数不确定性或后续扩展</w:t>
            </w:r>
          </w:p>
        </w:tc>
      </w:tr>
      <w:tr>
        <w:tc>
          <w:tcPr>
            <w:tcW w:type="dxa" w:w="3211"/>
            <w:vAlign w:val="center"/>
          </w:tcPr>
          <w:p>
            <w:pPr>
              <w:spacing w:after="0"/>
            </w:pPr>
            <w:r/>
            <w:r>
              <w:rPr>
                <w:b w:val="0"/>
                <w:sz w:val="18"/>
              </w:rPr>
              <w:t>侵蚀模型无沉积</w:t>
            </w:r>
          </w:p>
        </w:tc>
        <w:tc>
          <w:tcPr>
            <w:tcW w:type="dxa" w:w="3211"/>
            <w:vAlign w:val="center"/>
          </w:tcPr>
          <w:p>
            <w:pPr>
              <w:spacing w:after="0"/>
            </w:pPr>
            <w:r/>
            <w:r>
              <w:rPr>
                <w:b w:val="0"/>
                <w:sz w:val="18"/>
              </w:rPr>
              <w:t>小尺度非黏性试验中的坡脚形态可能偏差</w:t>
            </w:r>
          </w:p>
        </w:tc>
        <w:tc>
          <w:tcPr>
            <w:tcW w:type="dxa" w:w="3211"/>
            <w:vAlign w:val="center"/>
          </w:tcPr>
          <w:p>
            <w:pPr>
              <w:spacing w:after="0"/>
            </w:pPr>
            <w:r/>
            <w:r>
              <w:rPr>
                <w:b w:val="0"/>
                <w:sz w:val="18"/>
              </w:rPr>
              <w:t>本项目增加沉积与库存账本</w:t>
            </w:r>
          </w:p>
        </w:tc>
      </w:tr>
      <w:tr>
        <w:tc>
          <w:tcPr>
            <w:tcW w:type="dxa" w:w="3211"/>
            <w:vAlign w:val="center"/>
          </w:tcPr>
          <w:p>
            <w:pPr>
              <w:spacing w:after="0"/>
            </w:pPr>
            <w:r/>
            <w:r>
              <w:rPr>
                <w:b w:val="0"/>
                <w:sz w:val="18"/>
              </w:rPr>
              <w:t>kd 和 τc 率定困难</w:t>
            </w:r>
          </w:p>
        </w:tc>
        <w:tc>
          <w:tcPr>
            <w:tcW w:type="dxa" w:w="3211"/>
            <w:vAlign w:val="center"/>
          </w:tcPr>
          <w:p>
            <w:pPr>
              <w:spacing w:after="0"/>
            </w:pPr>
            <w:r/>
            <w:r>
              <w:rPr>
                <w:b w:val="0"/>
                <w:sz w:val="18"/>
              </w:rPr>
              <w:t>参数可能跨多个数量级</w:t>
            </w:r>
          </w:p>
        </w:tc>
        <w:tc>
          <w:tcPr>
            <w:tcW w:type="dxa" w:w="3211"/>
            <w:vAlign w:val="center"/>
          </w:tcPr>
          <w:p>
            <w:pPr>
              <w:spacing w:after="0"/>
            </w:pPr>
            <w:r/>
            <w:r>
              <w:rPr>
                <w:b w:val="0"/>
                <w:sz w:val="18"/>
              </w:rPr>
              <w:t>必须做敏感性分析</w:t>
            </w:r>
          </w:p>
        </w:tc>
      </w:tr>
      <w:tr>
        <w:tc>
          <w:tcPr>
            <w:tcW w:type="dxa" w:w="3211"/>
            <w:vAlign w:val="center"/>
          </w:tcPr>
          <w:p>
            <w:pPr>
              <w:spacing w:after="0"/>
            </w:pPr>
            <w:r/>
            <w:r>
              <w:rPr>
                <w:b w:val="0"/>
                <w:sz w:val="18"/>
              </w:rPr>
              <w:t>堤防假定均质</w:t>
            </w:r>
          </w:p>
        </w:tc>
        <w:tc>
          <w:tcPr>
            <w:tcW w:type="dxa" w:w="3211"/>
            <w:vAlign w:val="center"/>
          </w:tcPr>
          <w:p>
            <w:pPr>
              <w:spacing w:after="0"/>
            </w:pPr>
            <w:r/>
            <w:r>
              <w:rPr>
                <w:b w:val="0"/>
                <w:sz w:val="18"/>
              </w:rPr>
              <w:t>实际分层和空间差异未充分表达</w:t>
            </w:r>
          </w:p>
        </w:tc>
        <w:tc>
          <w:tcPr>
            <w:tcW w:type="dxa" w:w="3211"/>
            <w:vAlign w:val="center"/>
          </w:tcPr>
          <w:p>
            <w:pPr>
              <w:spacing w:after="0"/>
            </w:pPr>
            <w:r/>
            <w:r>
              <w:rPr>
                <w:b w:val="0"/>
                <w:sz w:val="18"/>
              </w:rPr>
              <w:t>支持分区材料参数，但不能无数据伪造分层</w:t>
            </w:r>
          </w:p>
        </w:tc>
      </w:tr>
      <w:tr>
        <w:tc>
          <w:tcPr>
            <w:tcW w:type="dxa" w:w="3211"/>
            <w:vAlign w:val="center"/>
          </w:tcPr>
          <w:p>
            <w:pPr>
              <w:spacing w:after="0"/>
            </w:pPr>
            <w:r/>
            <w:r>
              <w:rPr>
                <w:b w:val="0"/>
                <w:sz w:val="18"/>
              </w:rPr>
              <w:t>草皮覆盖未模拟</w:t>
            </w:r>
          </w:p>
        </w:tc>
        <w:tc>
          <w:tcPr>
            <w:tcW w:type="dxa" w:w="3211"/>
            <w:vAlign w:val="center"/>
          </w:tcPr>
          <w:p>
            <w:pPr>
              <w:spacing w:after="0"/>
            </w:pPr>
            <w:r/>
            <w:r>
              <w:rPr>
                <w:b w:val="0"/>
                <w:sz w:val="18"/>
              </w:rPr>
              <w:t>侵蚀启动时间可能偏早</w:t>
            </w:r>
          </w:p>
        </w:tc>
        <w:tc>
          <w:tcPr>
            <w:tcW w:type="dxa" w:w="3211"/>
            <w:vAlign w:val="center"/>
          </w:tcPr>
          <w:p>
            <w:pPr>
              <w:spacing w:after="0"/>
            </w:pPr>
            <w:r/>
            <w:r>
              <w:rPr>
                <w:b w:val="0"/>
                <w:sz w:val="18"/>
              </w:rPr>
              <w:t>后续可通过 τc 或糙率阶段性修正</w:t>
            </w:r>
          </w:p>
        </w:tc>
      </w:tr>
      <w:tr>
        <w:tc>
          <w:tcPr>
            <w:tcW w:type="dxa" w:w="3211"/>
            <w:vAlign w:val="center"/>
          </w:tcPr>
          <w:p>
            <w:pPr>
              <w:spacing w:after="0"/>
            </w:pPr>
            <w:r/>
            <w:r>
              <w:rPr>
                <w:b w:val="0"/>
                <w:sz w:val="18"/>
              </w:rPr>
              <w:t>基础层可设为不可蚀</w:t>
            </w:r>
          </w:p>
        </w:tc>
        <w:tc>
          <w:tcPr>
            <w:tcW w:type="dxa" w:w="3211"/>
            <w:vAlign w:val="center"/>
          </w:tcPr>
          <w:p>
            <w:pPr>
              <w:spacing w:after="0"/>
            </w:pPr>
            <w:r/>
            <w:r>
              <w:rPr>
                <w:b w:val="0"/>
                <w:sz w:val="18"/>
              </w:rPr>
              <w:t>避免地形被侵蚀穿透</w:t>
            </w:r>
          </w:p>
        </w:tc>
        <w:tc>
          <w:tcPr>
            <w:tcW w:type="dxa" w:w="3211"/>
            <w:vAlign w:val="center"/>
          </w:tcPr>
          <w:p>
            <w:pPr>
              <w:spacing w:after="0"/>
            </w:pPr>
            <w:r/>
            <w:r>
              <w:rPr>
                <w:b w:val="0"/>
                <w:sz w:val="18"/>
              </w:rPr>
              <w:t>保留 z_min 或 foundation elevation</w:t>
            </w:r>
          </w:p>
        </w:tc>
      </w:tr>
    </w:tbl>
    <w:p>
      <w:pPr>
        <w:spacing w:after="0"/>
      </w:pPr>
    </w:p>
    <w:p>
      <w:r>
        <w:t>作者还指出，Exner 推移质模型对于黏性堤防不合适，即使对非黏性材料也可能因为细砂的表观黏聚力而高估输运。更复杂的输沙模型会增加参数和计算成本，因此大范围洪水模拟不一定值得采用。</w:t>
      </w:r>
    </w:p>
    <w:p>
      <w:pPr>
        <w:spacing w:after="80"/>
      </w:pPr>
      <w:r>
        <w:rPr>
          <w:i/>
          <w:sz w:val="17"/>
        </w:rPr>
        <w:t>文献定位：论文印刷页 698–699；PDF页 37–39。</w:t>
      </w:r>
    </w:p>
    <w:p>
      <w:pPr>
        <w:pStyle w:val="Heading1"/>
      </w:pPr>
      <w:r>
        <w:t>15. 附录 A：Exner 推移质输运模型</w:t>
      </w:r>
    </w:p>
    <w:p>
      <w:r>
        <w:t>附录模型不是论文主侵蚀模型，而是为了比较侵蚀定律和泥沙输运方法。它只考虑推移质，并将浅水方程和地貌动力方程解耦以降低复杂度。</w:t>
      </w:r>
    </w:p>
    <w:p>
      <w:r>
        <w:t>二维 Exner 方程为：</w:t>
      </w:r>
    </w:p>
    <w:p>
      <w:r>
        <w:t>∂z/∂t + [1/(1−p)] ∂qs,x/∂x + [1/(1−p)] ∂qs,y/∂y = 0</w:t>
      </w:r>
    </w:p>
    <w:p>
      <w:r>
        <w:t>输沙通量采用 Smart 公式。无量纲输沙率 Φ 与 d90/d30、Froude 数 F、摩阻坡度 S、Shields 参数 θ 和临界 Shields 参数 θSMc 有关。输沙通量的无量纲化使用固体与水密度比 s、平均粒径 dm。只有 θ &gt; θSMc 时才计算输沙。</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公式/变量</w:t>
            </w:r>
          </w:p>
        </w:tc>
        <w:tc>
          <w:tcPr>
            <w:tcW w:type="dxa" w:w="4816"/>
            <w:vAlign w:val="center"/>
            <w:shd w:fill="D9EAF7"/>
          </w:tcPr>
          <w:p>
            <w:pPr>
              <w:spacing w:after="0"/>
            </w:pPr>
            <w:r/>
            <w:r>
              <w:rPr>
                <w:b/>
                <w:sz w:val="18"/>
              </w:rPr>
              <w:t>意义</w:t>
            </w:r>
          </w:p>
        </w:tc>
      </w:tr>
      <w:tr>
        <w:tc>
          <w:tcPr>
            <w:tcW w:type="dxa" w:w="4816"/>
            <w:vAlign w:val="center"/>
          </w:tcPr>
          <w:p>
            <w:pPr>
              <w:spacing w:after="0"/>
            </w:pPr>
            <w:r/>
            <w:r>
              <w:rPr>
                <w:b w:val="0"/>
                <w:sz w:val="18"/>
              </w:rPr>
              <w:t>qs,x、qs,y</w:t>
            </w:r>
          </w:p>
        </w:tc>
        <w:tc>
          <w:tcPr>
            <w:tcW w:type="dxa" w:w="4816"/>
            <w:vAlign w:val="center"/>
          </w:tcPr>
          <w:p>
            <w:pPr>
              <w:spacing w:after="0"/>
            </w:pPr>
            <w:r/>
            <w:r>
              <w:rPr>
                <w:b w:val="0"/>
                <w:sz w:val="18"/>
              </w:rPr>
              <w:t>x、y 方向推移质输沙率</w:t>
            </w:r>
          </w:p>
        </w:tc>
      </w:tr>
      <w:tr>
        <w:tc>
          <w:tcPr>
            <w:tcW w:type="dxa" w:w="4816"/>
            <w:vAlign w:val="center"/>
          </w:tcPr>
          <w:p>
            <w:pPr>
              <w:spacing w:after="0"/>
            </w:pPr>
            <w:r/>
            <w:r>
              <w:rPr>
                <w:b w:val="0"/>
                <w:sz w:val="18"/>
              </w:rPr>
              <w:t>p</w:t>
            </w:r>
          </w:p>
        </w:tc>
        <w:tc>
          <w:tcPr>
            <w:tcW w:type="dxa" w:w="4816"/>
            <w:vAlign w:val="center"/>
          </w:tcPr>
          <w:p>
            <w:pPr>
              <w:spacing w:after="0"/>
            </w:pPr>
            <w:r/>
            <w:r>
              <w:rPr>
                <w:b w:val="0"/>
                <w:sz w:val="18"/>
              </w:rPr>
              <w:t>床面孔隙率</w:t>
            </w:r>
          </w:p>
        </w:tc>
      </w:tr>
      <w:tr>
        <w:tc>
          <w:tcPr>
            <w:tcW w:type="dxa" w:w="4816"/>
            <w:vAlign w:val="center"/>
          </w:tcPr>
          <w:p>
            <w:pPr>
              <w:spacing w:after="0"/>
            </w:pPr>
            <w:r/>
            <w:r>
              <w:rPr>
                <w:b w:val="0"/>
                <w:sz w:val="18"/>
              </w:rPr>
              <w:t>d90、d30</w:t>
            </w:r>
          </w:p>
        </w:tc>
        <w:tc>
          <w:tcPr>
            <w:tcW w:type="dxa" w:w="4816"/>
            <w:vAlign w:val="center"/>
          </w:tcPr>
          <w:p>
            <w:pPr>
              <w:spacing w:after="0"/>
            </w:pPr>
            <w:r/>
            <w:r>
              <w:rPr>
                <w:b w:val="0"/>
                <w:sz w:val="18"/>
              </w:rPr>
              <w:t>按质量计的粒径分位数</w:t>
            </w:r>
          </w:p>
        </w:tc>
      </w:tr>
      <w:tr>
        <w:tc>
          <w:tcPr>
            <w:tcW w:type="dxa" w:w="4816"/>
            <w:vAlign w:val="center"/>
          </w:tcPr>
          <w:p>
            <w:pPr>
              <w:spacing w:after="0"/>
            </w:pPr>
            <w:r/>
            <w:r>
              <w:rPr>
                <w:b w:val="0"/>
                <w:sz w:val="18"/>
              </w:rPr>
              <w:t>dm</w:t>
            </w:r>
          </w:p>
        </w:tc>
        <w:tc>
          <w:tcPr>
            <w:tcW w:type="dxa" w:w="4816"/>
            <w:vAlign w:val="center"/>
          </w:tcPr>
          <w:p>
            <w:pPr>
              <w:spacing w:after="0"/>
            </w:pPr>
            <w:r/>
            <w:r>
              <w:rPr>
                <w:b w:val="0"/>
                <w:sz w:val="18"/>
              </w:rPr>
              <w:t>平均粒径</w:t>
            </w:r>
          </w:p>
        </w:tc>
      </w:tr>
      <w:tr>
        <w:tc>
          <w:tcPr>
            <w:tcW w:type="dxa" w:w="4816"/>
            <w:vAlign w:val="center"/>
          </w:tcPr>
          <w:p>
            <w:pPr>
              <w:spacing w:after="0"/>
            </w:pPr>
            <w:r/>
            <w:r>
              <w:rPr>
                <w:b w:val="0"/>
                <w:sz w:val="18"/>
              </w:rPr>
              <w:t>s = ρs/ρ</w:t>
            </w:r>
          </w:p>
        </w:tc>
        <w:tc>
          <w:tcPr>
            <w:tcW w:type="dxa" w:w="4816"/>
            <w:vAlign w:val="center"/>
          </w:tcPr>
          <w:p>
            <w:pPr>
              <w:spacing w:after="0"/>
            </w:pPr>
            <w:r/>
            <w:r>
              <w:rPr>
                <w:b w:val="0"/>
                <w:sz w:val="18"/>
              </w:rPr>
              <w:t>固体与水密度比</w:t>
            </w:r>
          </w:p>
        </w:tc>
      </w:tr>
      <w:tr>
        <w:tc>
          <w:tcPr>
            <w:tcW w:type="dxa" w:w="4816"/>
            <w:vAlign w:val="center"/>
          </w:tcPr>
          <w:p>
            <w:pPr>
              <w:spacing w:after="0"/>
            </w:pPr>
            <w:r/>
            <w:r>
              <w:rPr>
                <w:b w:val="0"/>
                <w:sz w:val="18"/>
              </w:rPr>
              <w:t>θ</w:t>
            </w:r>
          </w:p>
        </w:tc>
        <w:tc>
          <w:tcPr>
            <w:tcW w:type="dxa" w:w="4816"/>
            <w:vAlign w:val="center"/>
          </w:tcPr>
          <w:p>
            <w:pPr>
              <w:spacing w:after="0"/>
            </w:pPr>
            <w:r/>
            <w:r>
              <w:rPr>
                <w:b w:val="0"/>
                <w:sz w:val="18"/>
              </w:rPr>
              <w:t>Shields 参数</w:t>
            </w:r>
          </w:p>
        </w:tc>
      </w:tr>
      <w:tr>
        <w:tc>
          <w:tcPr>
            <w:tcW w:type="dxa" w:w="4816"/>
            <w:vAlign w:val="center"/>
          </w:tcPr>
          <w:p>
            <w:pPr>
              <w:spacing w:after="0"/>
            </w:pPr>
            <w:r/>
            <w:r>
              <w:rPr>
                <w:b w:val="0"/>
                <w:sz w:val="18"/>
              </w:rPr>
              <w:t>F</w:t>
            </w:r>
          </w:p>
        </w:tc>
        <w:tc>
          <w:tcPr>
            <w:tcW w:type="dxa" w:w="4816"/>
            <w:vAlign w:val="center"/>
          </w:tcPr>
          <w:p>
            <w:pPr>
              <w:spacing w:after="0"/>
            </w:pPr>
            <w:r/>
            <w:r>
              <w:rPr>
                <w:b w:val="0"/>
                <w:sz w:val="18"/>
              </w:rPr>
              <w:t>Froude 数</w:t>
            </w:r>
          </w:p>
        </w:tc>
      </w:tr>
      <w:tr>
        <w:tc>
          <w:tcPr>
            <w:tcW w:type="dxa" w:w="4816"/>
            <w:vAlign w:val="center"/>
          </w:tcPr>
          <w:p>
            <w:pPr>
              <w:spacing w:after="0"/>
            </w:pPr>
            <w:r/>
            <w:r>
              <w:rPr>
                <w:b w:val="0"/>
                <w:sz w:val="18"/>
              </w:rPr>
              <w:t>S</w:t>
            </w:r>
          </w:p>
        </w:tc>
        <w:tc>
          <w:tcPr>
            <w:tcW w:type="dxa" w:w="4816"/>
            <w:vAlign w:val="center"/>
          </w:tcPr>
          <w:p>
            <w:pPr>
              <w:spacing w:after="0"/>
            </w:pPr>
            <w:r/>
            <w:r>
              <w:rPr>
                <w:b w:val="0"/>
                <w:sz w:val="18"/>
              </w:rPr>
              <w:t>摩阻坡度</w:t>
            </w:r>
          </w:p>
        </w:tc>
      </w:tr>
    </w:tbl>
    <w:p>
      <w:pPr>
        <w:spacing w:after="0"/>
      </w:pPr>
    </w:p>
    <w:p>
      <w:r>
        <w:t>床面按输沙通量散度更新，界面输沙通量使用“泥沙传播速度”判断上游或下游单元通量。附录最后说明，岸坡失稳算法同样加入了该输沙模型。</w:t>
      </w:r>
    </w:p>
    <w:p>
      <w:r>
        <w:t>对当前项目而言，Exner 模型提供了沉积和输运的物理参考，但不应直接替代 Dazzi 的超量剪应力侵蚀模型，尤其在团洲垸局部溃口土体材料尚未完成粒径和泥沙参数率定时。</w:t>
      </w:r>
    </w:p>
    <w:p>
      <w:pPr>
        <w:spacing w:after="80"/>
      </w:pPr>
      <w:r>
        <w:rPr>
          <w:i/>
          <w:sz w:val="17"/>
        </w:rPr>
        <w:t>文献定位：论文印刷页 699–700；PDF页 39–40。</w:t>
      </w:r>
    </w:p>
    <w:p>
      <w:pPr>
        <w:pStyle w:val="Heading1"/>
      </w:pPr>
      <w:r>
        <w:t>16. 对团洲垸 TELEMAC-2D 项目的逐条转译</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Dazzi 内容</w:t>
            </w:r>
          </w:p>
        </w:tc>
        <w:tc>
          <w:tcPr>
            <w:tcW w:type="dxa" w:w="3211"/>
            <w:vAlign w:val="center"/>
            <w:shd w:fill="D9EAF7"/>
          </w:tcPr>
          <w:p>
            <w:pPr>
              <w:spacing w:after="0"/>
            </w:pPr>
            <w:r/>
            <w:r>
              <w:rPr>
                <w:b/>
                <w:sz w:val="18"/>
              </w:rPr>
              <w:t>团洲垸当前状态</w:t>
            </w:r>
          </w:p>
        </w:tc>
        <w:tc>
          <w:tcPr>
            <w:tcW w:type="dxa" w:w="3211"/>
            <w:vAlign w:val="center"/>
            <w:shd w:fill="D9EAF7"/>
          </w:tcPr>
          <w:p>
            <w:pPr>
              <w:spacing w:after="0"/>
            </w:pPr>
            <w:r/>
            <w:r>
              <w:rPr>
                <w:b/>
                <w:sz w:val="18"/>
              </w:rPr>
              <w:t>需要新增的内容</w:t>
            </w:r>
          </w:p>
        </w:tc>
      </w:tr>
      <w:tr>
        <w:tc>
          <w:tcPr>
            <w:tcW w:type="dxa" w:w="3211"/>
            <w:vAlign w:val="center"/>
          </w:tcPr>
          <w:p>
            <w:pPr>
              <w:spacing w:after="0"/>
            </w:pPr>
            <w:r/>
            <w:r>
              <w:rPr>
                <w:b w:val="0"/>
                <w:sz w:val="18"/>
              </w:rPr>
              <w:t>可蚀区域</w:t>
            </w:r>
          </w:p>
        </w:tc>
        <w:tc>
          <w:tcPr>
            <w:tcW w:type="dxa" w:w="3211"/>
            <w:vAlign w:val="center"/>
          </w:tcPr>
          <w:p>
            <w:pPr>
              <w:spacing w:after="0"/>
            </w:pPr>
            <w:r/>
            <w:r>
              <w:rPr>
                <w:b w:val="0"/>
                <w:sz w:val="18"/>
              </w:rPr>
              <w:t>当前局部案例有 X/Y 激活区和 Z_MIN</w:t>
            </w:r>
          </w:p>
        </w:tc>
        <w:tc>
          <w:tcPr>
            <w:tcW w:type="dxa" w:w="3211"/>
            <w:vAlign w:val="center"/>
          </w:tcPr>
          <w:p>
            <w:pPr>
              <w:spacing w:after="0"/>
            </w:pPr>
            <w:r/>
            <w:r>
              <w:rPr>
                <w:b w:val="0"/>
                <w:sz w:val="18"/>
              </w:rPr>
              <w:t>将可蚀区扩展为三角形/节点掩膜并保留边界诊断</w:t>
            </w:r>
          </w:p>
        </w:tc>
      </w:tr>
      <w:tr>
        <w:tc>
          <w:tcPr>
            <w:tcW w:type="dxa" w:w="3211"/>
            <w:vAlign w:val="center"/>
          </w:tcPr>
          <w:p>
            <w:pPr>
              <w:spacing w:after="0"/>
            </w:pPr>
            <w:r/>
            <w:r>
              <w:rPr>
                <w:b w:val="0"/>
                <w:sz w:val="18"/>
              </w:rPr>
              <w:t>剪应力侵蚀</w:t>
            </w:r>
          </w:p>
        </w:tc>
        <w:tc>
          <w:tcPr>
            <w:tcW w:type="dxa" w:w="3211"/>
            <w:vAlign w:val="center"/>
          </w:tcPr>
          <w:p>
            <w:pPr>
              <w:spacing w:after="0"/>
            </w:pPr>
            <w:r/>
            <w:r>
              <w:rPr>
                <w:b w:val="0"/>
                <w:sz w:val="18"/>
              </w:rPr>
              <w:t>已有 user_condin_h.f 节点式侵蚀</w:t>
            </w:r>
          </w:p>
        </w:tc>
        <w:tc>
          <w:tcPr>
            <w:tcW w:type="dxa" w:w="3211"/>
            <w:vAlign w:val="center"/>
          </w:tcPr>
          <w:p>
            <w:pPr>
              <w:spacing w:after="0"/>
            </w:pPr>
            <w:r/>
            <w:r>
              <w:rPr>
                <w:b w:val="0"/>
                <w:sz w:val="18"/>
              </w:rPr>
              <w:t>把侵蚀体积从节点高程和真实控制面积计算</w:t>
            </w:r>
          </w:p>
        </w:tc>
      </w:tr>
      <w:tr>
        <w:tc>
          <w:tcPr>
            <w:tcW w:type="dxa" w:w="3211"/>
            <w:vAlign w:val="center"/>
          </w:tcPr>
          <w:p>
            <w:pPr>
              <w:spacing w:after="0"/>
            </w:pPr>
            <w:r/>
            <w:r>
              <w:rPr>
                <w:b w:val="0"/>
                <w:sz w:val="18"/>
              </w:rPr>
              <w:t>干湿临界角</w:t>
            </w:r>
          </w:p>
        </w:tc>
        <w:tc>
          <w:tcPr>
            <w:tcW w:type="dxa" w:w="3211"/>
            <w:vAlign w:val="center"/>
          </w:tcPr>
          <w:p>
            <w:pPr>
              <w:spacing w:after="0"/>
            </w:pPr>
            <w:r/>
            <w:r>
              <w:rPr>
                <w:b w:val="0"/>
                <w:sz w:val="18"/>
              </w:rPr>
              <w:t>当前没有</w:t>
            </w:r>
          </w:p>
        </w:tc>
        <w:tc>
          <w:tcPr>
            <w:tcW w:type="dxa" w:w="3211"/>
            <w:vAlign w:val="center"/>
          </w:tcPr>
          <w:p>
            <w:pPr>
              <w:spacing w:after="0"/>
            </w:pPr>
            <w:r/>
            <w:r>
              <w:rPr>
                <w:b w:val="0"/>
                <w:sz w:val="18"/>
              </w:rPr>
              <w:t>加入 φc,dry、φc,wet 和干湿状态字段</w:t>
            </w:r>
          </w:p>
        </w:tc>
      </w:tr>
      <w:tr>
        <w:tc>
          <w:tcPr>
            <w:tcW w:type="dxa" w:w="3211"/>
            <w:vAlign w:val="center"/>
          </w:tcPr>
          <w:p>
            <w:pPr>
              <w:spacing w:after="0"/>
            </w:pPr>
            <w:r/>
            <w:r>
              <w:rPr>
                <w:b w:val="0"/>
                <w:sz w:val="18"/>
              </w:rPr>
              <w:t>沉积角</w:t>
            </w:r>
          </w:p>
        </w:tc>
        <w:tc>
          <w:tcPr>
            <w:tcW w:type="dxa" w:w="3211"/>
            <w:vAlign w:val="center"/>
          </w:tcPr>
          <w:p>
            <w:pPr>
              <w:spacing w:after="0"/>
            </w:pPr>
            <w:r/>
            <w:r>
              <w:rPr>
                <w:b w:val="0"/>
                <w:sz w:val="18"/>
              </w:rPr>
              <w:t>当前没有坡脚沉积</w:t>
            </w:r>
          </w:p>
        </w:tc>
        <w:tc>
          <w:tcPr>
            <w:tcW w:type="dxa" w:w="3211"/>
            <w:vAlign w:val="center"/>
          </w:tcPr>
          <w:p>
            <w:pPr>
              <w:spacing w:after="0"/>
            </w:pPr>
            <w:r/>
            <w:r>
              <w:rPr>
                <w:b w:val="0"/>
                <w:sz w:val="18"/>
              </w:rPr>
              <w:t>加入 φdep 和邻接单元沉积转移</w:t>
            </w:r>
          </w:p>
        </w:tc>
      </w:tr>
      <w:tr>
        <w:tc>
          <w:tcPr>
            <w:tcW w:type="dxa" w:w="3211"/>
            <w:vAlign w:val="center"/>
          </w:tcPr>
          <w:p>
            <w:pPr>
              <w:spacing w:after="0"/>
            </w:pPr>
            <w:r/>
            <w:r>
              <w:rPr>
                <w:b w:val="0"/>
                <w:sz w:val="18"/>
              </w:rPr>
              <w:t>质量守恒</w:t>
            </w:r>
          </w:p>
        </w:tc>
        <w:tc>
          <w:tcPr>
            <w:tcW w:type="dxa" w:w="3211"/>
            <w:vAlign w:val="center"/>
          </w:tcPr>
          <w:p>
            <w:pPr>
              <w:spacing w:after="0"/>
            </w:pPr>
            <w:r/>
            <w:r>
              <w:rPr>
                <w:b w:val="0"/>
                <w:sz w:val="18"/>
              </w:rPr>
              <w:t>TOTAL_DZ 只是节点高程变化总和</w:t>
            </w:r>
          </w:p>
        </w:tc>
        <w:tc>
          <w:tcPr>
            <w:tcW w:type="dxa" w:w="3211"/>
            <w:vAlign w:val="center"/>
          </w:tcPr>
          <w:p>
            <w:pPr>
              <w:spacing w:after="0"/>
            </w:pPr>
            <w:r/>
            <w:r>
              <w:rPr>
                <w:b w:val="0"/>
                <w:sz w:val="18"/>
              </w:rPr>
              <w:t>增加体积、固体质量、库存、出域和残差</w:t>
            </w:r>
          </w:p>
        </w:tc>
      </w:tr>
      <w:tr>
        <w:tc>
          <w:tcPr>
            <w:tcW w:type="dxa" w:w="3211"/>
            <w:vAlign w:val="center"/>
          </w:tcPr>
          <w:p>
            <w:pPr>
              <w:spacing w:after="0"/>
            </w:pPr>
            <w:r/>
            <w:r>
              <w:rPr>
                <w:b w:val="0"/>
                <w:sz w:val="18"/>
              </w:rPr>
              <w:t>水量处理</w:t>
            </w:r>
          </w:p>
        </w:tc>
        <w:tc>
          <w:tcPr>
            <w:tcW w:type="dxa" w:w="3211"/>
            <w:vAlign w:val="center"/>
          </w:tcPr>
          <w:p>
            <w:pPr>
              <w:spacing w:after="0"/>
            </w:pPr>
            <w:r/>
            <w:r>
              <w:rPr>
                <w:b w:val="0"/>
                <w:sz w:val="18"/>
              </w:rPr>
              <w:t>固定 Q(t) 或 prescribed flow 输入</w:t>
            </w:r>
          </w:p>
        </w:tc>
        <w:tc>
          <w:tcPr>
            <w:tcW w:type="dxa" w:w="3211"/>
            <w:vAlign w:val="center"/>
          </w:tcPr>
          <w:p>
            <w:pPr>
              <w:spacing w:after="0"/>
            </w:pPr>
            <w:r/>
            <w:r>
              <w:rPr>
                <w:b w:val="0"/>
                <w:sz w:val="18"/>
              </w:rPr>
              <w:t>保持输入 Q(t) 不变并单独做水量审计</w:t>
            </w:r>
          </w:p>
        </w:tc>
      </w:tr>
      <w:tr>
        <w:tc>
          <w:tcPr>
            <w:tcW w:type="dxa" w:w="3211"/>
            <w:vAlign w:val="center"/>
          </w:tcPr>
          <w:p>
            <w:pPr>
              <w:spacing w:after="0"/>
            </w:pPr>
            <w:r/>
            <w:r>
              <w:rPr>
                <w:b w:val="0"/>
                <w:sz w:val="18"/>
              </w:rPr>
              <w:t>溃口展宽</w:t>
            </w:r>
          </w:p>
        </w:tc>
        <w:tc>
          <w:tcPr>
            <w:tcW w:type="dxa" w:w="3211"/>
            <w:vAlign w:val="center"/>
          </w:tcPr>
          <w:p>
            <w:pPr>
              <w:spacing w:after="0"/>
            </w:pPr>
            <w:r/>
            <w:r>
              <w:rPr>
                <w:b w:val="0"/>
                <w:sz w:val="18"/>
              </w:rPr>
              <w:t>固定 214.459 m 简化溃口或外部脚本</w:t>
            </w:r>
          </w:p>
        </w:tc>
        <w:tc>
          <w:tcPr>
            <w:tcW w:type="dxa" w:w="3211"/>
            <w:vAlign w:val="center"/>
          </w:tcPr>
          <w:p>
            <w:pPr>
              <w:spacing w:after="0"/>
            </w:pPr>
            <w:r/>
            <w:r>
              <w:rPr>
                <w:b w:val="0"/>
                <w:sz w:val="18"/>
              </w:rPr>
              <w:t>由局部形态演化输出宽度过程线</w:t>
            </w:r>
          </w:p>
        </w:tc>
      </w:tr>
      <w:tr>
        <w:tc>
          <w:tcPr>
            <w:tcW w:type="dxa" w:w="3211"/>
            <w:vAlign w:val="center"/>
          </w:tcPr>
          <w:p>
            <w:pPr>
              <w:spacing w:after="0"/>
            </w:pPr>
            <w:r/>
            <w:r>
              <w:rPr>
                <w:b w:val="0"/>
                <w:sz w:val="18"/>
              </w:rPr>
              <w:t>全域洪水</w:t>
            </w:r>
          </w:p>
        </w:tc>
        <w:tc>
          <w:tcPr>
            <w:tcW w:type="dxa" w:w="3211"/>
            <w:vAlign w:val="center"/>
          </w:tcPr>
          <w:p>
            <w:pPr>
              <w:spacing w:after="0"/>
            </w:pPr>
            <w:r/>
            <w:r>
              <w:rPr>
                <w:b w:val="0"/>
                <w:sz w:val="18"/>
              </w:rPr>
              <w:t>已有固定 Q(t) 全域案例</w:t>
            </w:r>
          </w:p>
        </w:tc>
        <w:tc>
          <w:tcPr>
            <w:tcW w:type="dxa" w:w="3211"/>
            <w:vAlign w:val="center"/>
          </w:tcPr>
          <w:p>
            <w:pPr>
              <w:spacing w:after="0"/>
            </w:pPr>
            <w:r/>
            <w:r>
              <w:rPr>
                <w:b w:val="0"/>
                <w:sz w:val="18"/>
              </w:rPr>
              <w:t>在局部算法验证后再做单向几何耦合</w:t>
            </w:r>
          </w:p>
        </w:tc>
      </w:tr>
    </w:tbl>
    <w:p>
      <w:pPr>
        <w:spacing w:after="0"/>
      </w:pPr>
    </w:p>
    <w:tbl>
      <w:tblPr>
        <w:tblStyle w:val="TableGrid"/>
        <w:tblW w:type="auto" w:w="0"/>
        <w:tblLook w:firstColumn="1" w:firstRow="1" w:lastColumn="0" w:lastRow="0" w:noHBand="0" w:noVBand="1" w:val="04A0"/>
      </w:tblPr>
      <w:tblGrid>
        <w:gridCol w:w="9632"/>
      </w:tblGrid>
      <w:tr>
        <w:tc>
          <w:tcPr>
            <w:tcW w:type="dxa" w:w="9632"/>
            <w:shd w:fill="FFF2CC"/>
          </w:tcPr>
          <w:p>
            <w:r/>
            <w:r>
              <w:rPr>
                <w:b/>
                <w:sz w:val="20"/>
              </w:rPr>
              <w:t>不能直接宣称的内容</w:t>
              <w:br/>
            </w:r>
            <w:r>
              <w:rPr>
                <w:sz w:val="19"/>
              </w:rPr>
              <w:t>Dazzi 论文不是 TELEMAC-2D 实现，也没有给出非结构三角网格代码。后续实现可以称为“基于 Dazzi 岸坡失稳思想的 TELEMAC-2D 非结构网格改造”，必须通过单元邻接、干湿角、沉积转移和质量残差测试后再报告结果。</w:t>
            </w:r>
          </w:p>
        </w:tc>
      </w:tr>
    </w:tbl>
    <w:p>
      <w:pPr>
        <w:spacing w:after="0"/>
      </w:pPr>
    </w:p>
    <w:p>
      <w:pPr>
        <w:pStyle w:val="Heading1"/>
      </w:pPr>
      <w:r>
        <w:t>17. 独立实现目录和代码设计</w:t>
      </w:r>
    </w:p>
    <w:p>
      <w:r>
        <w:t>新的实现独立放在：</w:t>
      </w:r>
    </w:p>
    <w:p>
      <w:r>
        <w:t>目前方案与已有资料/边坡失稳独立实现/Dazzi_非结构三角网格耦合/</w:t>
      </w:r>
    </w:p>
    <w:p>
      <w:r>
        <w:t>建议代码文件如下：</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文件</w:t>
            </w:r>
          </w:p>
        </w:tc>
        <w:tc>
          <w:tcPr>
            <w:tcW w:type="dxa" w:w="3211"/>
            <w:vAlign w:val="center"/>
            <w:shd w:fill="D9EAF7"/>
          </w:tcPr>
          <w:p>
            <w:pPr>
              <w:spacing w:after="0"/>
            </w:pPr>
            <w:r/>
            <w:r>
              <w:rPr>
                <w:b/>
                <w:sz w:val="18"/>
              </w:rPr>
              <w:t>职责</w:t>
            </w:r>
          </w:p>
        </w:tc>
        <w:tc>
          <w:tcPr>
            <w:tcW w:type="dxa" w:w="3211"/>
            <w:vAlign w:val="center"/>
            <w:shd w:fill="D9EAF7"/>
          </w:tcPr>
          <w:p>
            <w:pPr>
              <w:spacing w:after="0"/>
            </w:pPr>
            <w:r/>
            <w:r>
              <w:rPr>
                <w:b/>
                <w:sz w:val="18"/>
              </w:rPr>
              <w:t>关键输入/输出</w:t>
            </w:r>
          </w:p>
        </w:tc>
      </w:tr>
      <w:tr>
        <w:tc>
          <w:tcPr>
            <w:tcW w:type="dxa" w:w="3211"/>
            <w:vAlign w:val="center"/>
          </w:tcPr>
          <w:p>
            <w:pPr>
              <w:spacing w:after="0"/>
            </w:pPr>
            <w:r/>
            <w:r>
              <w:rPr>
                <w:b w:val="0"/>
                <w:sz w:val="18"/>
              </w:rPr>
              <w:t>src/mesh_topology.py</w:t>
            </w:r>
          </w:p>
        </w:tc>
        <w:tc>
          <w:tcPr>
            <w:tcW w:type="dxa" w:w="3211"/>
            <w:vAlign w:val="center"/>
          </w:tcPr>
          <w:p>
            <w:pPr>
              <w:spacing w:after="0"/>
            </w:pPr>
            <w:r/>
            <w:r>
              <w:rPr>
                <w:b w:val="0"/>
                <w:sz w:val="18"/>
              </w:rPr>
              <w:t>建立 IKLE 三角形、共享边、邻接和对偶面积</w:t>
            </w:r>
          </w:p>
        </w:tc>
        <w:tc>
          <w:tcPr>
            <w:tcW w:type="dxa" w:w="3211"/>
            <w:vAlign w:val="center"/>
          </w:tcPr>
          <w:p>
            <w:pPr>
              <w:spacing w:after="0"/>
            </w:pPr>
            <w:r/>
            <w:r>
              <w:rPr>
                <w:b w:val="0"/>
                <w:sz w:val="18"/>
              </w:rPr>
              <w:t>输入 x、y、ikle；输出拓扑缓存</w:t>
            </w:r>
          </w:p>
        </w:tc>
      </w:tr>
      <w:tr>
        <w:tc>
          <w:tcPr>
            <w:tcW w:type="dxa" w:w="3211"/>
            <w:vAlign w:val="center"/>
          </w:tcPr>
          <w:p>
            <w:pPr>
              <w:spacing w:after="0"/>
            </w:pPr>
            <w:r/>
            <w:r>
              <w:rPr>
                <w:b w:val="0"/>
                <w:sz w:val="18"/>
              </w:rPr>
              <w:t>src/selafin_io.py</w:t>
            </w:r>
          </w:p>
        </w:tc>
        <w:tc>
          <w:tcPr>
            <w:tcW w:type="dxa" w:w="3211"/>
            <w:vAlign w:val="center"/>
          </w:tcPr>
          <w:p>
            <w:pPr>
              <w:spacing w:after="0"/>
            </w:pPr>
            <w:r/>
            <w:r>
              <w:rPr>
                <w:b w:val="0"/>
                <w:sz w:val="18"/>
              </w:rPr>
              <w:t>读取和写出 SELAFIN</w:t>
            </w:r>
          </w:p>
        </w:tc>
        <w:tc>
          <w:tcPr>
            <w:tcW w:type="dxa" w:w="3211"/>
            <w:vAlign w:val="center"/>
          </w:tcPr>
          <w:p>
            <w:pPr>
              <w:spacing w:after="0"/>
            </w:pPr>
            <w:r/>
            <w:r>
              <w:rPr>
                <w:b w:val="0"/>
                <w:sz w:val="18"/>
              </w:rPr>
              <w:t>H、U、V、BOTTOM、mesh；输出下一阶段几何</w:t>
            </w:r>
          </w:p>
        </w:tc>
      </w:tr>
      <w:tr>
        <w:tc>
          <w:tcPr>
            <w:tcW w:type="dxa" w:w="3211"/>
            <w:vAlign w:val="center"/>
          </w:tcPr>
          <w:p>
            <w:pPr>
              <w:spacing w:after="0"/>
            </w:pPr>
            <w:r/>
            <w:r>
              <w:rPr>
                <w:b w:val="0"/>
                <w:sz w:val="18"/>
              </w:rPr>
              <w:t>src/slope_stability.py</w:t>
            </w:r>
          </w:p>
        </w:tc>
        <w:tc>
          <w:tcPr>
            <w:tcW w:type="dxa" w:w="3211"/>
            <w:vAlign w:val="center"/>
          </w:tcPr>
          <w:p>
            <w:pPr>
              <w:spacing w:after="0"/>
            </w:pPr>
            <w:r/>
            <w:r>
              <w:rPr>
                <w:b w:val="0"/>
                <w:sz w:val="18"/>
              </w:rPr>
              <w:t>计算湿润比例、干湿状态、坡度和失稳边</w:t>
            </w:r>
          </w:p>
        </w:tc>
        <w:tc>
          <w:tcPr>
            <w:tcW w:type="dxa" w:w="3211"/>
            <w:vAlign w:val="center"/>
          </w:tcPr>
          <w:p>
            <w:pPr>
              <w:spacing w:after="0"/>
            </w:pPr>
            <w:r/>
            <w:r>
              <w:rPr>
                <w:b w:val="0"/>
                <w:sz w:val="18"/>
              </w:rPr>
              <w:t>φc,dry、φc,wet、φdep；输出候选失稳边</w:t>
            </w:r>
          </w:p>
        </w:tc>
      </w:tr>
      <w:tr>
        <w:tc>
          <w:tcPr>
            <w:tcW w:type="dxa" w:w="3211"/>
            <w:vAlign w:val="center"/>
          </w:tcPr>
          <w:p>
            <w:pPr>
              <w:spacing w:after="0"/>
            </w:pPr>
            <w:r/>
            <w:r>
              <w:rPr>
                <w:b w:val="0"/>
                <w:sz w:val="18"/>
              </w:rPr>
              <w:t>src/failure_transfer.py</w:t>
            </w:r>
          </w:p>
        </w:tc>
        <w:tc>
          <w:tcPr>
            <w:tcW w:type="dxa" w:w="3211"/>
            <w:vAlign w:val="center"/>
          </w:tcPr>
          <w:p>
            <w:pPr>
              <w:spacing w:after="0"/>
            </w:pPr>
            <w:r/>
            <w:r>
              <w:rPr>
                <w:b w:val="0"/>
                <w:sz w:val="18"/>
              </w:rPr>
              <w:t>执行 φdep 坡度修正和沉积分配</w:t>
            </w:r>
          </w:p>
        </w:tc>
        <w:tc>
          <w:tcPr>
            <w:tcW w:type="dxa" w:w="3211"/>
            <w:vAlign w:val="center"/>
          </w:tcPr>
          <w:p>
            <w:pPr>
              <w:spacing w:after="0"/>
            </w:pPr>
            <w:r/>
            <w:r>
              <w:rPr>
                <w:b w:val="0"/>
                <w:sz w:val="18"/>
              </w:rPr>
              <w:t>拓扑、床面、失稳边；输出新床面和事件</w:t>
            </w:r>
          </w:p>
        </w:tc>
      </w:tr>
      <w:tr>
        <w:tc>
          <w:tcPr>
            <w:tcW w:type="dxa" w:w="3211"/>
            <w:vAlign w:val="center"/>
          </w:tcPr>
          <w:p>
            <w:pPr>
              <w:spacing w:after="0"/>
            </w:pPr>
            <w:r/>
            <w:r>
              <w:rPr>
                <w:b w:val="0"/>
                <w:sz w:val="18"/>
              </w:rPr>
              <w:t>src/mass_balance.py</w:t>
            </w:r>
          </w:p>
        </w:tc>
        <w:tc>
          <w:tcPr>
            <w:tcW w:type="dxa" w:w="3211"/>
            <w:vAlign w:val="center"/>
          </w:tcPr>
          <w:p>
            <w:pPr>
              <w:spacing w:after="0"/>
            </w:pPr>
            <w:r/>
            <w:r>
              <w:rPr>
                <w:b w:val="0"/>
                <w:sz w:val="18"/>
              </w:rPr>
              <w:t>计算几何体积和固体质量账本</w:t>
            </w:r>
          </w:p>
        </w:tc>
        <w:tc>
          <w:tcPr>
            <w:tcW w:type="dxa" w:w="3211"/>
            <w:vAlign w:val="center"/>
          </w:tcPr>
          <w:p>
            <w:pPr>
              <w:spacing w:after="0"/>
            </w:pPr>
            <w:r/>
            <w:r>
              <w:rPr>
                <w:b w:val="0"/>
                <w:sz w:val="18"/>
              </w:rPr>
              <w:t>ρs、p、各类体积；输出 CSV 审计</w:t>
            </w:r>
          </w:p>
        </w:tc>
      </w:tr>
      <w:tr>
        <w:tc>
          <w:tcPr>
            <w:tcW w:type="dxa" w:w="3211"/>
            <w:vAlign w:val="center"/>
          </w:tcPr>
          <w:p>
            <w:pPr>
              <w:spacing w:after="0"/>
            </w:pPr>
            <w:r/>
            <w:r>
              <w:rPr>
                <w:b w:val="0"/>
                <w:sz w:val="18"/>
              </w:rPr>
              <w:t>scripts/build_mesh_cache.py</w:t>
            </w:r>
          </w:p>
        </w:tc>
        <w:tc>
          <w:tcPr>
            <w:tcW w:type="dxa" w:w="3211"/>
            <w:vAlign w:val="center"/>
          </w:tcPr>
          <w:p>
            <w:pPr>
              <w:spacing w:after="0"/>
            </w:pPr>
            <w:r/>
            <w:r>
              <w:rPr>
                <w:b w:val="0"/>
                <w:sz w:val="18"/>
              </w:rPr>
              <w:t>预处理网格</w:t>
            </w:r>
          </w:p>
        </w:tc>
        <w:tc>
          <w:tcPr>
            <w:tcW w:type="dxa" w:w="3211"/>
            <w:vAlign w:val="center"/>
          </w:tcPr>
          <w:p>
            <w:pPr>
              <w:spacing w:after="0"/>
            </w:pPr>
            <w:r/>
            <w:r>
              <w:rPr>
                <w:b w:val="0"/>
                <w:sz w:val="18"/>
              </w:rPr>
              <w:t>SLF/网格；输出 npz 缓存</w:t>
            </w:r>
          </w:p>
        </w:tc>
      </w:tr>
      <w:tr>
        <w:tc>
          <w:tcPr>
            <w:tcW w:type="dxa" w:w="3211"/>
            <w:vAlign w:val="center"/>
          </w:tcPr>
          <w:p>
            <w:pPr>
              <w:spacing w:after="0"/>
            </w:pPr>
            <w:r/>
            <w:r>
              <w:rPr>
                <w:b w:val="0"/>
                <w:sz w:val="18"/>
              </w:rPr>
              <w:t>scripts/run_oneway_coupling.py</w:t>
            </w:r>
          </w:p>
        </w:tc>
        <w:tc>
          <w:tcPr>
            <w:tcW w:type="dxa" w:w="3211"/>
            <w:vAlign w:val="center"/>
          </w:tcPr>
          <w:p>
            <w:pPr>
              <w:spacing w:after="0"/>
            </w:pPr>
            <w:r/>
            <w:r>
              <w:rPr>
                <w:b w:val="0"/>
                <w:sz w:val="18"/>
              </w:rPr>
              <w:t>分窗口调用 TELEMAC-2D</w:t>
            </w:r>
          </w:p>
        </w:tc>
        <w:tc>
          <w:tcPr>
            <w:tcW w:type="dxa" w:w="3211"/>
            <w:vAlign w:val="center"/>
          </w:tcPr>
          <w:p>
            <w:pPr>
              <w:spacing w:after="0"/>
            </w:pPr>
            <w:r/>
            <w:r>
              <w:rPr>
                <w:b w:val="0"/>
                <w:sz w:val="18"/>
              </w:rPr>
              <w:t>CAS、Q(t)、几何；输出阶段结果</w:t>
            </w:r>
          </w:p>
        </w:tc>
      </w:tr>
      <w:tr>
        <w:tc>
          <w:tcPr>
            <w:tcW w:type="dxa" w:w="3211"/>
            <w:vAlign w:val="center"/>
          </w:tcPr>
          <w:p>
            <w:pPr>
              <w:spacing w:after="0"/>
            </w:pPr>
            <w:r/>
            <w:r>
              <w:rPr>
                <w:b w:val="0"/>
                <w:sz w:val="18"/>
              </w:rPr>
              <w:t>scripts/audit_mass_balance.py</w:t>
            </w:r>
          </w:p>
        </w:tc>
        <w:tc>
          <w:tcPr>
            <w:tcW w:type="dxa" w:w="3211"/>
            <w:vAlign w:val="center"/>
          </w:tcPr>
          <w:p>
            <w:pPr>
              <w:spacing w:after="0"/>
            </w:pPr>
            <w:r/>
            <w:r>
              <w:rPr>
                <w:b w:val="0"/>
                <w:sz w:val="18"/>
              </w:rPr>
              <w:t>汇总守恒误差</w:t>
            </w:r>
          </w:p>
        </w:tc>
        <w:tc>
          <w:tcPr>
            <w:tcW w:type="dxa" w:w="3211"/>
            <w:vAlign w:val="center"/>
          </w:tcPr>
          <w:p>
            <w:pPr>
              <w:spacing w:after="0"/>
            </w:pPr>
            <w:r/>
            <w:r>
              <w:rPr>
                <w:b w:val="0"/>
                <w:sz w:val="18"/>
              </w:rPr>
              <w:t>事件 CSV 和结果 SLF；输出报告</w:t>
            </w:r>
          </w:p>
        </w:tc>
      </w:tr>
      <w:tr>
        <w:tc>
          <w:tcPr>
            <w:tcW w:type="dxa" w:w="3211"/>
            <w:vAlign w:val="center"/>
          </w:tcPr>
          <w:p>
            <w:pPr>
              <w:spacing w:after="0"/>
            </w:pPr>
            <w:r/>
            <w:r>
              <w:rPr>
                <w:b w:val="0"/>
                <w:sz w:val="18"/>
              </w:rPr>
              <w:t>scripts/plot_coupling_results.py</w:t>
            </w:r>
          </w:p>
        </w:tc>
        <w:tc>
          <w:tcPr>
            <w:tcW w:type="dxa" w:w="3211"/>
            <w:vAlign w:val="center"/>
          </w:tcPr>
          <w:p>
            <w:pPr>
              <w:spacing w:after="0"/>
            </w:pPr>
            <w:r/>
            <w:r>
              <w:rPr>
                <w:b w:val="0"/>
                <w:sz w:val="18"/>
              </w:rPr>
              <w:t>绘制宽度、底高程、干湿区、沉积区和水动力</w:t>
            </w:r>
          </w:p>
        </w:tc>
        <w:tc>
          <w:tcPr>
            <w:tcW w:type="dxa" w:w="3211"/>
            <w:vAlign w:val="center"/>
          </w:tcPr>
          <w:p>
            <w:pPr>
              <w:spacing w:after="0"/>
            </w:pPr>
            <w:r/>
            <w:r>
              <w:rPr>
                <w:b w:val="0"/>
                <w:sz w:val="18"/>
              </w:rPr>
              <w:t>结果目录；输出 PNG/CSV</w:t>
            </w:r>
          </w:p>
        </w:tc>
      </w:tr>
      <w:tr>
        <w:tc>
          <w:tcPr>
            <w:tcW w:type="dxa" w:w="3211"/>
            <w:vAlign w:val="center"/>
          </w:tcPr>
          <w:p>
            <w:pPr>
              <w:spacing w:after="0"/>
            </w:pPr>
            <w:r/>
            <w:r>
              <w:rPr>
                <w:b w:val="0"/>
                <w:sz w:val="18"/>
              </w:rPr>
              <w:t>telemac/user_condin_h_fixedbed.f</w:t>
            </w:r>
          </w:p>
        </w:tc>
        <w:tc>
          <w:tcPr>
            <w:tcW w:type="dxa" w:w="3211"/>
            <w:vAlign w:val="center"/>
          </w:tcPr>
          <w:p>
            <w:pPr>
              <w:spacing w:after="0"/>
            </w:pPr>
            <w:r/>
            <w:r>
              <w:rPr>
                <w:b w:val="0"/>
                <w:sz w:val="18"/>
              </w:rPr>
              <w:t>提供初始水深和速度，不叠加旧侵蚀</w:t>
            </w:r>
          </w:p>
        </w:tc>
        <w:tc>
          <w:tcPr>
            <w:tcW w:type="dxa" w:w="3211"/>
            <w:vAlign w:val="center"/>
          </w:tcPr>
          <w:p>
            <w:pPr>
              <w:spacing w:after="0"/>
            </w:pPr>
            <w:r/>
            <w:r>
              <w:rPr>
                <w:b w:val="0"/>
                <w:sz w:val="18"/>
              </w:rPr>
              <w:t>局部案例初始条件</w:t>
            </w:r>
          </w:p>
        </w:tc>
      </w:tr>
    </w:tbl>
    <w:p>
      <w:pPr>
        <w:spacing w:after="0"/>
      </w:pPr>
    </w:p>
    <w:p>
      <w:pPr>
        <w:pStyle w:val="Heading1"/>
      </w:pPr>
      <w:r>
        <w:t>18. 验证矩阵和验收标准</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阶段</w:t>
            </w:r>
          </w:p>
        </w:tc>
        <w:tc>
          <w:tcPr>
            <w:tcW w:type="dxa" w:w="3211"/>
            <w:vAlign w:val="center"/>
            <w:shd w:fill="D9EAF7"/>
          </w:tcPr>
          <w:p>
            <w:pPr>
              <w:spacing w:after="0"/>
            </w:pPr>
            <w:r/>
            <w:r>
              <w:rPr>
                <w:b/>
                <w:sz w:val="18"/>
              </w:rPr>
              <w:t>测试</w:t>
            </w:r>
          </w:p>
        </w:tc>
        <w:tc>
          <w:tcPr>
            <w:tcW w:type="dxa" w:w="3211"/>
            <w:vAlign w:val="center"/>
            <w:shd w:fill="D9EAF7"/>
          </w:tcPr>
          <w:p>
            <w:pPr>
              <w:spacing w:after="0"/>
            </w:pPr>
            <w:r/>
            <w:r>
              <w:rPr>
                <w:b/>
                <w:sz w:val="18"/>
              </w:rPr>
              <w:t>验收内容</w:t>
            </w:r>
          </w:p>
        </w:tc>
      </w:tr>
      <w:tr>
        <w:tc>
          <w:tcPr>
            <w:tcW w:type="dxa" w:w="3211"/>
            <w:vAlign w:val="center"/>
          </w:tcPr>
          <w:p>
            <w:pPr>
              <w:spacing w:after="0"/>
            </w:pPr>
            <w:r/>
            <w:r>
              <w:rPr>
                <w:b w:val="0"/>
                <w:sz w:val="18"/>
              </w:rPr>
              <w:t>A</w:t>
            </w:r>
          </w:p>
        </w:tc>
        <w:tc>
          <w:tcPr>
            <w:tcW w:type="dxa" w:w="3211"/>
            <w:vAlign w:val="center"/>
          </w:tcPr>
          <w:p>
            <w:pPr>
              <w:spacing w:after="0"/>
            </w:pPr>
            <w:r/>
            <w:r>
              <w:rPr>
                <w:b w:val="0"/>
                <w:sz w:val="18"/>
              </w:rPr>
              <w:t>单三角形/双三角形</w:t>
            </w:r>
          </w:p>
        </w:tc>
        <w:tc>
          <w:tcPr>
            <w:tcW w:type="dxa" w:w="3211"/>
            <w:vAlign w:val="center"/>
          </w:tcPr>
          <w:p>
            <w:pPr>
              <w:spacing w:after="0"/>
            </w:pPr>
            <w:r/>
            <w:r>
              <w:rPr>
                <w:b w:val="0"/>
                <w:sz w:val="18"/>
              </w:rPr>
              <w:t>面积、共享边、邻接和对偶面积正确</w:t>
            </w:r>
          </w:p>
        </w:tc>
      </w:tr>
      <w:tr>
        <w:tc>
          <w:tcPr>
            <w:tcW w:type="dxa" w:w="3211"/>
            <w:vAlign w:val="center"/>
          </w:tcPr>
          <w:p>
            <w:pPr>
              <w:spacing w:after="0"/>
            </w:pPr>
            <w:r/>
            <w:r>
              <w:rPr>
                <w:b w:val="0"/>
                <w:sz w:val="18"/>
              </w:rPr>
              <w:t>B</w:t>
            </w:r>
          </w:p>
        </w:tc>
        <w:tc>
          <w:tcPr>
            <w:tcW w:type="dxa" w:w="3211"/>
            <w:vAlign w:val="center"/>
          </w:tcPr>
          <w:p>
            <w:pPr>
              <w:spacing w:after="0"/>
            </w:pPr>
            <w:r/>
            <w:r>
              <w:rPr>
                <w:b w:val="0"/>
                <w:sz w:val="18"/>
              </w:rPr>
              <w:t>平底三角网格</w:t>
            </w:r>
          </w:p>
        </w:tc>
        <w:tc>
          <w:tcPr>
            <w:tcW w:type="dxa" w:w="3211"/>
            <w:vAlign w:val="center"/>
          </w:tcPr>
          <w:p>
            <w:pPr>
              <w:spacing w:after="0"/>
            </w:pPr>
            <w:r/>
            <w:r>
              <w:rPr>
                <w:b w:val="0"/>
                <w:sz w:val="18"/>
              </w:rPr>
              <w:t>φc,dry 和 φc,wet 均不触发失稳</w:t>
            </w:r>
          </w:p>
        </w:tc>
      </w:tr>
      <w:tr>
        <w:tc>
          <w:tcPr>
            <w:tcW w:type="dxa" w:w="3211"/>
            <w:vAlign w:val="center"/>
          </w:tcPr>
          <w:p>
            <w:pPr>
              <w:spacing w:after="0"/>
            </w:pPr>
            <w:r/>
            <w:r>
              <w:rPr>
                <w:b w:val="0"/>
                <w:sz w:val="18"/>
              </w:rPr>
              <w:t>C</w:t>
            </w:r>
          </w:p>
        </w:tc>
        <w:tc>
          <w:tcPr>
            <w:tcW w:type="dxa" w:w="3211"/>
            <w:vAlign w:val="center"/>
          </w:tcPr>
          <w:p>
            <w:pPr>
              <w:spacing w:after="0"/>
            </w:pPr>
            <w:r/>
            <w:r>
              <w:rPr>
                <w:b w:val="0"/>
                <w:sz w:val="18"/>
              </w:rPr>
              <w:t>人工陡坡</w:t>
            </w:r>
          </w:p>
        </w:tc>
        <w:tc>
          <w:tcPr>
            <w:tcW w:type="dxa" w:w="3211"/>
            <w:vAlign w:val="center"/>
          </w:tcPr>
          <w:p>
            <w:pPr>
              <w:spacing w:after="0"/>
            </w:pPr>
            <w:r/>
            <w:r>
              <w:rPr>
                <w:b w:val="0"/>
                <w:sz w:val="18"/>
              </w:rPr>
              <w:t>超过临界角后坡度趋向 φdep，迭代终止</w:t>
            </w:r>
          </w:p>
        </w:tc>
      </w:tr>
      <w:tr>
        <w:tc>
          <w:tcPr>
            <w:tcW w:type="dxa" w:w="3211"/>
            <w:vAlign w:val="center"/>
          </w:tcPr>
          <w:p>
            <w:pPr>
              <w:spacing w:after="0"/>
            </w:pPr>
            <w:r/>
            <w:r>
              <w:rPr>
                <w:b w:val="0"/>
                <w:sz w:val="18"/>
              </w:rPr>
              <w:t>D</w:t>
            </w:r>
          </w:p>
        </w:tc>
        <w:tc>
          <w:tcPr>
            <w:tcW w:type="dxa" w:w="3211"/>
            <w:vAlign w:val="center"/>
          </w:tcPr>
          <w:p>
            <w:pPr>
              <w:spacing w:after="0"/>
            </w:pPr>
            <w:r/>
            <w:r>
              <w:rPr>
                <w:b w:val="0"/>
                <w:sz w:val="18"/>
              </w:rPr>
              <w:t>干湿切换</w:t>
            </w:r>
          </w:p>
        </w:tc>
        <w:tc>
          <w:tcPr>
            <w:tcW w:type="dxa" w:w="3211"/>
            <w:vAlign w:val="center"/>
          </w:tcPr>
          <w:p>
            <w:pPr>
              <w:spacing w:after="0"/>
            </w:pPr>
            <w:r/>
            <w:r>
              <w:rPr>
                <w:b w:val="0"/>
                <w:sz w:val="18"/>
              </w:rPr>
              <w:t>干湿角按面积比例判定，结果可重复</w:t>
            </w:r>
          </w:p>
        </w:tc>
      </w:tr>
      <w:tr>
        <w:tc>
          <w:tcPr>
            <w:tcW w:type="dxa" w:w="3211"/>
            <w:vAlign w:val="center"/>
          </w:tcPr>
          <w:p>
            <w:pPr>
              <w:spacing w:after="0"/>
            </w:pPr>
            <w:r/>
            <w:r>
              <w:rPr>
                <w:b w:val="0"/>
                <w:sz w:val="18"/>
              </w:rPr>
              <w:t>E</w:t>
            </w:r>
          </w:p>
        </w:tc>
        <w:tc>
          <w:tcPr>
            <w:tcW w:type="dxa" w:w="3211"/>
            <w:vAlign w:val="center"/>
          </w:tcPr>
          <w:p>
            <w:pPr>
              <w:spacing w:after="0"/>
            </w:pPr>
            <w:r/>
            <w:r>
              <w:rPr>
                <w:b w:val="0"/>
                <w:sz w:val="18"/>
              </w:rPr>
              <w:t>体积账本</w:t>
            </w:r>
          </w:p>
        </w:tc>
        <w:tc>
          <w:tcPr>
            <w:tcW w:type="dxa" w:w="3211"/>
            <w:vAlign w:val="center"/>
          </w:tcPr>
          <w:p>
            <w:pPr>
              <w:spacing w:after="0"/>
            </w:pPr>
            <w:r/>
            <w:r>
              <w:rPr>
                <w:b w:val="0"/>
                <w:sz w:val="18"/>
              </w:rPr>
              <w:t>Vfail = Vdeposit + Voutflow + Vinventory</w:t>
            </w:r>
          </w:p>
        </w:tc>
      </w:tr>
      <w:tr>
        <w:tc>
          <w:tcPr>
            <w:tcW w:type="dxa" w:w="3211"/>
            <w:vAlign w:val="center"/>
          </w:tcPr>
          <w:p>
            <w:pPr>
              <w:spacing w:after="0"/>
            </w:pPr>
            <w:r/>
            <w:r>
              <w:rPr>
                <w:b w:val="0"/>
                <w:sz w:val="18"/>
              </w:rPr>
              <w:t>F</w:t>
            </w:r>
          </w:p>
        </w:tc>
        <w:tc>
          <w:tcPr>
            <w:tcW w:type="dxa" w:w="3211"/>
            <w:vAlign w:val="center"/>
          </w:tcPr>
          <w:p>
            <w:pPr>
              <w:spacing w:after="0"/>
            </w:pPr>
            <w:r/>
            <w:r>
              <w:rPr>
                <w:b w:val="0"/>
                <w:sz w:val="18"/>
              </w:rPr>
              <w:t>固体质量账本</w:t>
            </w:r>
          </w:p>
        </w:tc>
        <w:tc>
          <w:tcPr>
            <w:tcW w:type="dxa" w:w="3211"/>
            <w:vAlign w:val="center"/>
          </w:tcPr>
          <w:p>
            <w:pPr>
              <w:spacing w:after="0"/>
            </w:pPr>
            <w:r/>
            <w:r>
              <w:rPr>
                <w:b w:val="0"/>
                <w:sz w:val="18"/>
              </w:rPr>
              <w:t>Mfail = Mdeposit + Moutflow + Minventory</w:t>
            </w:r>
          </w:p>
        </w:tc>
      </w:tr>
      <w:tr>
        <w:tc>
          <w:tcPr>
            <w:tcW w:type="dxa" w:w="3211"/>
            <w:vAlign w:val="center"/>
          </w:tcPr>
          <w:p>
            <w:pPr>
              <w:spacing w:after="0"/>
            </w:pPr>
            <w:r/>
            <w:r>
              <w:rPr>
                <w:b w:val="0"/>
                <w:sz w:val="18"/>
              </w:rPr>
              <w:t>G</w:t>
            </w:r>
          </w:p>
        </w:tc>
        <w:tc>
          <w:tcPr>
            <w:tcW w:type="dxa" w:w="3211"/>
            <w:vAlign w:val="center"/>
          </w:tcPr>
          <w:p>
            <w:pPr>
              <w:spacing w:after="0"/>
            </w:pPr>
            <w:r/>
            <w:r>
              <w:rPr>
                <w:b w:val="0"/>
                <w:sz w:val="18"/>
              </w:rPr>
              <w:t>固定床 TELEMAC</w:t>
            </w:r>
          </w:p>
        </w:tc>
        <w:tc>
          <w:tcPr>
            <w:tcW w:type="dxa" w:w="3211"/>
            <w:vAlign w:val="center"/>
          </w:tcPr>
          <w:p>
            <w:pPr>
              <w:spacing w:after="0"/>
            </w:pPr>
            <w:r/>
            <w:r>
              <w:rPr>
                <w:b w:val="0"/>
                <w:sz w:val="18"/>
              </w:rPr>
              <w:t>slide_enabled=false 时水动力与基线一致</w:t>
            </w:r>
          </w:p>
        </w:tc>
      </w:tr>
      <w:tr>
        <w:tc>
          <w:tcPr>
            <w:tcW w:type="dxa" w:w="3211"/>
            <w:vAlign w:val="center"/>
          </w:tcPr>
          <w:p>
            <w:pPr>
              <w:spacing w:after="0"/>
            </w:pPr>
            <w:r/>
            <w:r>
              <w:rPr>
                <w:b w:val="0"/>
                <w:sz w:val="18"/>
              </w:rPr>
              <w:t>H</w:t>
            </w:r>
          </w:p>
        </w:tc>
        <w:tc>
          <w:tcPr>
            <w:tcW w:type="dxa" w:w="3211"/>
            <w:vAlign w:val="center"/>
          </w:tcPr>
          <w:p>
            <w:pPr>
              <w:spacing w:after="0"/>
            </w:pPr>
            <w:r/>
            <w:r>
              <w:rPr>
                <w:b w:val="0"/>
                <w:sz w:val="18"/>
              </w:rPr>
              <w:t>局部 B1</w:t>
            </w:r>
          </w:p>
        </w:tc>
        <w:tc>
          <w:tcPr>
            <w:tcW w:type="dxa" w:w="3211"/>
            <w:vAlign w:val="center"/>
          </w:tcPr>
          <w:p>
            <w:pPr>
              <w:spacing w:after="0"/>
            </w:pPr>
            <w:r/>
            <w:r>
              <w:rPr>
                <w:b w:val="0"/>
                <w:sz w:val="18"/>
              </w:rPr>
              <w:t>溃口宽度、底高程、最终形态和水动力输出完整</w:t>
            </w:r>
          </w:p>
        </w:tc>
      </w:tr>
      <w:tr>
        <w:tc>
          <w:tcPr>
            <w:tcW w:type="dxa" w:w="3211"/>
            <w:vAlign w:val="center"/>
          </w:tcPr>
          <w:p>
            <w:pPr>
              <w:spacing w:after="0"/>
            </w:pPr>
            <w:r/>
            <w:r>
              <w:rPr>
                <w:b w:val="0"/>
                <w:sz w:val="18"/>
              </w:rPr>
              <w:t>I</w:t>
            </w:r>
          </w:p>
        </w:tc>
        <w:tc>
          <w:tcPr>
            <w:tcW w:type="dxa" w:w="3211"/>
            <w:vAlign w:val="center"/>
          </w:tcPr>
          <w:p>
            <w:pPr>
              <w:spacing w:after="0"/>
            </w:pPr>
            <w:r/>
            <w:r>
              <w:rPr>
                <w:b w:val="0"/>
                <w:sz w:val="18"/>
              </w:rPr>
              <w:t>固定 Q(t) 全域</w:t>
            </w:r>
          </w:p>
        </w:tc>
        <w:tc>
          <w:tcPr>
            <w:tcW w:type="dxa" w:w="3211"/>
            <w:vAlign w:val="center"/>
          </w:tcPr>
          <w:p>
            <w:pPr>
              <w:spacing w:after="0"/>
            </w:pPr>
            <w:r/>
            <w:r>
              <w:rPr>
                <w:b w:val="0"/>
                <w:sz w:val="18"/>
              </w:rPr>
              <w:t>输入 Q(t) 完整保留，不能被形态算法覆盖</w:t>
            </w:r>
          </w:p>
        </w:tc>
      </w:tr>
      <w:tr>
        <w:tc>
          <w:tcPr>
            <w:tcW w:type="dxa" w:w="3211"/>
            <w:vAlign w:val="center"/>
          </w:tcPr>
          <w:p>
            <w:pPr>
              <w:spacing w:after="0"/>
            </w:pPr>
            <w:r/>
            <w:r>
              <w:rPr>
                <w:b w:val="0"/>
                <w:sz w:val="18"/>
              </w:rPr>
              <w:t>J</w:t>
            </w:r>
          </w:p>
        </w:tc>
        <w:tc>
          <w:tcPr>
            <w:tcW w:type="dxa" w:w="3211"/>
            <w:vAlign w:val="center"/>
          </w:tcPr>
          <w:p>
            <w:pPr>
              <w:spacing w:after="0"/>
            </w:pPr>
            <w:r/>
            <w:r>
              <w:rPr>
                <w:b w:val="0"/>
                <w:sz w:val="18"/>
              </w:rPr>
              <w:t>动态流量后续</w:t>
            </w:r>
          </w:p>
        </w:tc>
        <w:tc>
          <w:tcPr>
            <w:tcW w:type="dxa" w:w="3211"/>
            <w:vAlign w:val="center"/>
          </w:tcPr>
          <w:p>
            <w:pPr>
              <w:spacing w:after="0"/>
            </w:pPr>
            <w:r/>
            <w:r>
              <w:rPr>
                <w:b w:val="0"/>
                <w:sz w:val="18"/>
              </w:rPr>
              <w:t>单独定义水头—几何—流量接口，不与固定 Q(t) 混合</w:t>
            </w:r>
          </w:p>
        </w:tc>
      </w:tr>
    </w:tbl>
    <w:p>
      <w:pPr>
        <w:spacing w:after="0"/>
      </w:pPr>
    </w:p>
    <w:p>
      <w:r>
        <w:t>守恒测试的数值容差应按双精度计算和网格尺度设置。合成网格可以要求接近机器精度；真实 TELEMAC 分阶段耦合则应报告绝对残差、相对残差和最大局部修正，不能只给一个总和。</w:t>
      </w:r>
    </w:p>
    <w:p>
      <w:pPr>
        <w:pStyle w:val="Heading1"/>
      </w:pPr>
      <w:r>
        <w:t>19. 参数管理和不能直接移植的数值</w:t>
      </w:r>
    </w:p>
    <w:p>
      <w:r>
        <w:t>Dazzi 的试验参数用于说明模型行为和开展敏感性分析，不能直接当作团洲垸土体参数。团洲垸的参数文件应至少分为水动力、侵蚀、坡面失稳、沉积和守恒五组。</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参数组</w:t>
            </w:r>
          </w:p>
        </w:tc>
        <w:tc>
          <w:tcPr>
            <w:tcW w:type="dxa" w:w="3211"/>
            <w:vAlign w:val="center"/>
            <w:shd w:fill="D9EAF7"/>
          </w:tcPr>
          <w:p>
            <w:pPr>
              <w:spacing w:after="0"/>
            </w:pPr>
            <w:r/>
            <w:r>
              <w:rPr>
                <w:b/>
                <w:sz w:val="18"/>
              </w:rPr>
              <w:t>参数</w:t>
            </w:r>
          </w:p>
        </w:tc>
        <w:tc>
          <w:tcPr>
            <w:tcW w:type="dxa" w:w="3211"/>
            <w:vAlign w:val="center"/>
            <w:shd w:fill="D9EAF7"/>
          </w:tcPr>
          <w:p>
            <w:pPr>
              <w:spacing w:after="0"/>
            </w:pPr>
            <w:r/>
            <w:r>
              <w:rPr>
                <w:b/>
                <w:sz w:val="18"/>
              </w:rPr>
              <w:t>处理原则</w:t>
            </w:r>
          </w:p>
        </w:tc>
      </w:tr>
      <w:tr>
        <w:tc>
          <w:tcPr>
            <w:tcW w:type="dxa" w:w="3211"/>
            <w:vAlign w:val="center"/>
          </w:tcPr>
          <w:p>
            <w:pPr>
              <w:spacing w:after="0"/>
            </w:pPr>
            <w:r/>
            <w:r>
              <w:rPr>
                <w:b w:val="0"/>
                <w:sz w:val="18"/>
              </w:rPr>
              <w:t>水动力</w:t>
            </w:r>
          </w:p>
        </w:tc>
        <w:tc>
          <w:tcPr>
            <w:tcW w:type="dxa" w:w="3211"/>
            <w:vAlign w:val="center"/>
          </w:tcPr>
          <w:p>
            <w:pPr>
              <w:spacing w:after="0"/>
            </w:pPr>
            <w:r/>
            <w:r>
              <w:rPr>
                <w:b w:val="0"/>
                <w:sz w:val="18"/>
              </w:rPr>
              <w:t>nf、时间步、干湿阈值、边界类型</w:t>
            </w:r>
          </w:p>
        </w:tc>
        <w:tc>
          <w:tcPr>
            <w:tcW w:type="dxa" w:w="3211"/>
            <w:vAlign w:val="center"/>
          </w:tcPr>
          <w:p>
            <w:pPr>
              <w:spacing w:after="0"/>
            </w:pPr>
            <w:r/>
            <w:r>
              <w:rPr>
                <w:b w:val="0"/>
                <w:sz w:val="18"/>
              </w:rPr>
              <w:t>由 TELEMAC 案例和测量资料确定</w:t>
            </w:r>
          </w:p>
        </w:tc>
      </w:tr>
      <w:tr>
        <w:tc>
          <w:tcPr>
            <w:tcW w:type="dxa" w:w="3211"/>
            <w:vAlign w:val="center"/>
          </w:tcPr>
          <w:p>
            <w:pPr>
              <w:spacing w:after="0"/>
            </w:pPr>
            <w:r/>
            <w:r>
              <w:rPr>
                <w:b w:val="0"/>
                <w:sz w:val="18"/>
              </w:rPr>
              <w:t>侵蚀</w:t>
            </w:r>
          </w:p>
        </w:tc>
        <w:tc>
          <w:tcPr>
            <w:tcW w:type="dxa" w:w="3211"/>
            <w:vAlign w:val="center"/>
          </w:tcPr>
          <w:p>
            <w:pPr>
              <w:spacing w:after="0"/>
            </w:pPr>
            <w:r/>
            <w:r>
              <w:rPr>
                <w:b w:val="0"/>
                <w:sz w:val="18"/>
              </w:rPr>
              <w:t>kd、τc、p、z_min</w:t>
            </w:r>
          </w:p>
        </w:tc>
        <w:tc>
          <w:tcPr>
            <w:tcW w:type="dxa" w:w="3211"/>
            <w:vAlign w:val="center"/>
          </w:tcPr>
          <w:p>
            <w:pPr>
              <w:spacing w:after="0"/>
            </w:pPr>
            <w:r/>
            <w:r>
              <w:rPr>
                <w:b w:val="0"/>
                <w:sz w:val="18"/>
              </w:rPr>
              <w:t>需要材料试验或率定，报告敏感性</w:t>
            </w:r>
          </w:p>
        </w:tc>
      </w:tr>
      <w:tr>
        <w:tc>
          <w:tcPr>
            <w:tcW w:type="dxa" w:w="3211"/>
            <w:vAlign w:val="center"/>
          </w:tcPr>
          <w:p>
            <w:pPr>
              <w:spacing w:after="0"/>
            </w:pPr>
            <w:r/>
            <w:r>
              <w:rPr>
                <w:b w:val="0"/>
                <w:sz w:val="18"/>
              </w:rPr>
              <w:t>失稳</w:t>
            </w:r>
          </w:p>
        </w:tc>
        <w:tc>
          <w:tcPr>
            <w:tcW w:type="dxa" w:w="3211"/>
            <w:vAlign w:val="center"/>
          </w:tcPr>
          <w:p>
            <w:pPr>
              <w:spacing w:after="0"/>
            </w:pPr>
            <w:r/>
            <w:r>
              <w:rPr>
                <w:b w:val="0"/>
                <w:sz w:val="18"/>
              </w:rPr>
              <w:t>φc,dry、φc,wet</w:t>
            </w:r>
          </w:p>
        </w:tc>
        <w:tc>
          <w:tcPr>
            <w:tcW w:type="dxa" w:w="3211"/>
            <w:vAlign w:val="center"/>
          </w:tcPr>
          <w:p>
            <w:pPr>
              <w:spacing w:after="0"/>
            </w:pPr>
            <w:r/>
            <w:r>
              <w:rPr>
                <w:b w:val="0"/>
                <w:sz w:val="18"/>
              </w:rPr>
              <w:t>干湿分开，不能只保留一个坡角</w:t>
            </w:r>
          </w:p>
        </w:tc>
      </w:tr>
      <w:tr>
        <w:tc>
          <w:tcPr>
            <w:tcW w:type="dxa" w:w="3211"/>
            <w:vAlign w:val="center"/>
          </w:tcPr>
          <w:p>
            <w:pPr>
              <w:spacing w:after="0"/>
            </w:pPr>
            <w:r/>
            <w:r>
              <w:rPr>
                <w:b w:val="0"/>
                <w:sz w:val="18"/>
              </w:rPr>
              <w:t>沉积</w:t>
            </w:r>
          </w:p>
        </w:tc>
        <w:tc>
          <w:tcPr>
            <w:tcW w:type="dxa" w:w="3211"/>
            <w:vAlign w:val="center"/>
          </w:tcPr>
          <w:p>
            <w:pPr>
              <w:spacing w:after="0"/>
            </w:pPr>
            <w:r/>
            <w:r>
              <w:rPr>
                <w:b w:val="0"/>
                <w:sz w:val="18"/>
              </w:rPr>
              <w:t>φdep、最大迭代次数、Δtstab</w:t>
            </w:r>
          </w:p>
        </w:tc>
        <w:tc>
          <w:tcPr>
            <w:tcW w:type="dxa" w:w="3211"/>
            <w:vAlign w:val="center"/>
          </w:tcPr>
          <w:p>
            <w:pPr>
              <w:spacing w:after="0"/>
            </w:pPr>
            <w:r/>
            <w:r>
              <w:rPr>
                <w:b w:val="0"/>
                <w:sz w:val="18"/>
              </w:rPr>
              <w:t>独立配置并测试时间间隔敏感性</w:t>
            </w:r>
          </w:p>
        </w:tc>
      </w:tr>
      <w:tr>
        <w:tc>
          <w:tcPr>
            <w:tcW w:type="dxa" w:w="3211"/>
            <w:vAlign w:val="center"/>
          </w:tcPr>
          <w:p>
            <w:pPr>
              <w:spacing w:after="0"/>
            </w:pPr>
            <w:r/>
            <w:r>
              <w:rPr>
                <w:b w:val="0"/>
                <w:sz w:val="18"/>
              </w:rPr>
              <w:t>固体质量</w:t>
            </w:r>
          </w:p>
        </w:tc>
        <w:tc>
          <w:tcPr>
            <w:tcW w:type="dxa" w:w="3211"/>
            <w:vAlign w:val="center"/>
          </w:tcPr>
          <w:p>
            <w:pPr>
              <w:spacing w:after="0"/>
            </w:pPr>
            <w:r/>
            <w:r>
              <w:rPr>
                <w:b w:val="0"/>
                <w:sz w:val="18"/>
              </w:rPr>
              <w:t>ρs、p、库存上限</w:t>
            </w:r>
          </w:p>
        </w:tc>
        <w:tc>
          <w:tcPr>
            <w:tcW w:type="dxa" w:w="3211"/>
            <w:vAlign w:val="center"/>
          </w:tcPr>
          <w:p>
            <w:pPr>
              <w:spacing w:after="0"/>
            </w:pPr>
            <w:r/>
            <w:r>
              <w:rPr>
                <w:b w:val="0"/>
                <w:sz w:val="18"/>
              </w:rPr>
              <w:t>按固相质量记账，不把体积直接当质量</w:t>
            </w:r>
          </w:p>
        </w:tc>
      </w:tr>
    </w:tbl>
    <w:p>
      <w:pPr>
        <w:spacing w:after="0"/>
      </w:pPr>
    </w:p>
    <w:p>
      <w:pPr>
        <w:pStyle w:val="Heading1"/>
      </w:pPr>
      <w:r>
        <w:t>20. 最终理解和后续实施边界</w:t>
      </w:r>
    </w:p>
    <w:p>
      <w:r>
        <w:t>Dazzi 的主要贡献是把基于水动力剪切应力的侵蚀定律和基于临界坡角的岸坡失稳加入二维浅水模型，使溃口位置和宽度可以由漫顶和材料参数共同决定。其岸坡失稳算法的关键是三种角度、邻居等量反向修正和递归稳定；其侵蚀模型的关键是超量剪应力、孔隙率换算、可蚀区限制和最小床面约束。</w:t>
      </w:r>
    </w:p>
    <w:p>
      <w:r>
        <w:t>本项目的新增工作是把结构化网格的邻居修正改造成 TELEMAC 非结构三角网格上的共享边/控制体转移，并补上论文主侵蚀模型中没有保留的沉积、库存和固体质量审计。首版应采用 Python 单向耦合，使用固定 Q(t) 作为水动力控制案例；动态溃口流量计算在后续单独设计。</w:t>
      </w:r>
    </w:p>
    <w:p>
      <w:r>
        <w:t>在代码、案例和质量账本全部通过验证前，报告中只能使用“方法设计”“原型”“待验证实现”等表述，不能把未经验证的算法称为已实现模型。</w:t>
      </w:r>
    </w:p>
    <w:p>
      <w:pPr>
        <w:pStyle w:val="Heading1"/>
      </w:pPr>
      <w:r>
        <w:t>附录 1：术语表</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D9EAF7"/>
          </w:tcPr>
          <w:p>
            <w:pPr>
              <w:spacing w:after="0"/>
            </w:pPr>
            <w:r/>
            <w:r>
              <w:rPr>
                <w:b/>
                <w:sz w:val="18"/>
              </w:rPr>
              <w:t>术语</w:t>
            </w:r>
          </w:p>
        </w:tc>
        <w:tc>
          <w:tcPr>
            <w:tcW w:type="dxa" w:w="4816"/>
            <w:vAlign w:val="center"/>
            <w:shd w:fill="D9EAF7"/>
          </w:tcPr>
          <w:p>
            <w:pPr>
              <w:spacing w:after="0"/>
            </w:pPr>
            <w:r/>
            <w:r>
              <w:rPr>
                <w:b/>
                <w:sz w:val="18"/>
              </w:rPr>
              <w:t>解释</w:t>
            </w:r>
          </w:p>
        </w:tc>
      </w:tr>
      <w:tr>
        <w:tc>
          <w:tcPr>
            <w:tcW w:type="dxa" w:w="4816"/>
            <w:vAlign w:val="center"/>
          </w:tcPr>
          <w:p>
            <w:pPr>
              <w:spacing w:after="0"/>
            </w:pPr>
            <w:r/>
            <w:r>
              <w:rPr>
                <w:b w:val="0"/>
                <w:sz w:val="18"/>
              </w:rPr>
              <w:t>SWE</w:t>
            </w:r>
          </w:p>
        </w:tc>
        <w:tc>
          <w:tcPr>
            <w:tcW w:type="dxa" w:w="4816"/>
            <w:vAlign w:val="center"/>
          </w:tcPr>
          <w:p>
            <w:pPr>
              <w:spacing w:after="0"/>
            </w:pPr>
            <w:r/>
            <w:r>
              <w:rPr>
                <w:b w:val="0"/>
                <w:sz w:val="18"/>
              </w:rPr>
              <w:t>Shallow Water Equations，二维浅水方程</w:t>
            </w:r>
          </w:p>
        </w:tc>
      </w:tr>
      <w:tr>
        <w:tc>
          <w:tcPr>
            <w:tcW w:type="dxa" w:w="4816"/>
            <w:vAlign w:val="center"/>
          </w:tcPr>
          <w:p>
            <w:pPr>
              <w:spacing w:after="0"/>
            </w:pPr>
            <w:r/>
            <w:r>
              <w:rPr>
                <w:b w:val="0"/>
                <w:sz w:val="18"/>
              </w:rPr>
              <w:t>Exner 方程</w:t>
            </w:r>
          </w:p>
        </w:tc>
        <w:tc>
          <w:tcPr>
            <w:tcW w:type="dxa" w:w="4816"/>
            <w:vAlign w:val="center"/>
          </w:tcPr>
          <w:p>
            <w:pPr>
              <w:spacing w:after="0"/>
            </w:pPr>
            <w:r/>
            <w:r>
              <w:rPr>
                <w:b w:val="0"/>
                <w:sz w:val="18"/>
              </w:rPr>
              <w:t>通过输沙通量散度描述床面变化的守恒方程</w:t>
            </w:r>
          </w:p>
        </w:tc>
      </w:tr>
      <w:tr>
        <w:tc>
          <w:tcPr>
            <w:tcW w:type="dxa" w:w="4816"/>
            <w:vAlign w:val="center"/>
          </w:tcPr>
          <w:p>
            <w:pPr>
              <w:spacing w:after="0"/>
            </w:pPr>
            <w:r/>
            <w:r>
              <w:rPr>
                <w:b w:val="0"/>
                <w:sz w:val="18"/>
              </w:rPr>
              <w:t>headcut</w:t>
            </w:r>
          </w:p>
        </w:tc>
        <w:tc>
          <w:tcPr>
            <w:tcW w:type="dxa" w:w="4816"/>
            <w:vAlign w:val="center"/>
          </w:tcPr>
          <w:p>
            <w:pPr>
              <w:spacing w:after="0"/>
            </w:pPr>
            <w:r/>
            <w:r>
              <w:rPr>
                <w:b w:val="0"/>
                <w:sz w:val="18"/>
              </w:rPr>
              <w:t>黏性堤防中近似垂直的溯源冲刷台阶</w:t>
            </w:r>
          </w:p>
        </w:tc>
      </w:tr>
      <w:tr>
        <w:tc>
          <w:tcPr>
            <w:tcW w:type="dxa" w:w="4816"/>
            <w:vAlign w:val="center"/>
          </w:tcPr>
          <w:p>
            <w:pPr>
              <w:spacing w:after="0"/>
            </w:pPr>
            <w:r/>
            <w:r>
              <w:rPr>
                <w:b w:val="0"/>
                <w:sz w:val="18"/>
              </w:rPr>
              <w:t>wet/dry front</w:t>
            </w:r>
          </w:p>
        </w:tc>
        <w:tc>
          <w:tcPr>
            <w:tcW w:type="dxa" w:w="4816"/>
            <w:vAlign w:val="center"/>
          </w:tcPr>
          <w:p>
            <w:pPr>
              <w:spacing w:after="0"/>
            </w:pPr>
            <w:r/>
            <w:r>
              <w:rPr>
                <w:b w:val="0"/>
                <w:sz w:val="18"/>
              </w:rPr>
              <w:t>湿润区和干燥区之间的水动力前沿</w:t>
            </w:r>
          </w:p>
        </w:tc>
      </w:tr>
      <w:tr>
        <w:tc>
          <w:tcPr>
            <w:tcW w:type="dxa" w:w="4816"/>
            <w:vAlign w:val="center"/>
          </w:tcPr>
          <w:p>
            <w:pPr>
              <w:spacing w:after="0"/>
            </w:pPr>
            <w:r/>
            <w:r>
              <w:rPr>
                <w:b w:val="0"/>
                <w:sz w:val="18"/>
              </w:rPr>
              <w:t>φc,dry</w:t>
            </w:r>
          </w:p>
        </w:tc>
        <w:tc>
          <w:tcPr>
            <w:tcW w:type="dxa" w:w="4816"/>
            <w:vAlign w:val="center"/>
          </w:tcPr>
          <w:p>
            <w:pPr>
              <w:spacing w:after="0"/>
            </w:pPr>
            <w:r/>
            <w:r>
              <w:rPr>
                <w:b w:val="0"/>
                <w:sz w:val="18"/>
              </w:rPr>
              <w:t>干态边坡失稳临界坡角</w:t>
            </w:r>
          </w:p>
        </w:tc>
      </w:tr>
      <w:tr>
        <w:tc>
          <w:tcPr>
            <w:tcW w:type="dxa" w:w="4816"/>
            <w:vAlign w:val="center"/>
          </w:tcPr>
          <w:p>
            <w:pPr>
              <w:spacing w:after="0"/>
            </w:pPr>
            <w:r/>
            <w:r>
              <w:rPr>
                <w:b w:val="0"/>
                <w:sz w:val="18"/>
              </w:rPr>
              <w:t>φc,wet</w:t>
            </w:r>
          </w:p>
        </w:tc>
        <w:tc>
          <w:tcPr>
            <w:tcW w:type="dxa" w:w="4816"/>
            <w:vAlign w:val="center"/>
          </w:tcPr>
          <w:p>
            <w:pPr>
              <w:spacing w:after="0"/>
            </w:pPr>
            <w:r/>
            <w:r>
              <w:rPr>
                <w:b w:val="0"/>
                <w:sz w:val="18"/>
              </w:rPr>
              <w:t>湿态边坡失稳临界坡角</w:t>
            </w:r>
          </w:p>
        </w:tc>
      </w:tr>
      <w:tr>
        <w:tc>
          <w:tcPr>
            <w:tcW w:type="dxa" w:w="4816"/>
            <w:vAlign w:val="center"/>
          </w:tcPr>
          <w:p>
            <w:pPr>
              <w:spacing w:after="0"/>
            </w:pPr>
            <w:r/>
            <w:r>
              <w:rPr>
                <w:b w:val="0"/>
                <w:sz w:val="18"/>
              </w:rPr>
              <w:t>φdep</w:t>
            </w:r>
          </w:p>
        </w:tc>
        <w:tc>
          <w:tcPr>
            <w:tcW w:type="dxa" w:w="4816"/>
            <w:vAlign w:val="center"/>
          </w:tcPr>
          <w:p>
            <w:pPr>
              <w:spacing w:after="0"/>
            </w:pPr>
            <w:r/>
            <w:r>
              <w:rPr>
                <w:b w:val="0"/>
                <w:sz w:val="18"/>
              </w:rPr>
              <w:t>坍塌沉积物形成的目标坡角</w:t>
            </w:r>
          </w:p>
        </w:tc>
      </w:tr>
      <w:tr>
        <w:tc>
          <w:tcPr>
            <w:tcW w:type="dxa" w:w="4816"/>
            <w:vAlign w:val="center"/>
          </w:tcPr>
          <w:p>
            <w:pPr>
              <w:spacing w:after="0"/>
            </w:pPr>
            <w:r/>
            <w:r>
              <w:rPr>
                <w:b w:val="0"/>
                <w:sz w:val="18"/>
              </w:rPr>
              <w:t>kd</w:t>
            </w:r>
          </w:p>
        </w:tc>
        <w:tc>
          <w:tcPr>
            <w:tcW w:type="dxa" w:w="4816"/>
            <w:vAlign w:val="center"/>
          </w:tcPr>
          <w:p>
            <w:pPr>
              <w:spacing w:after="0"/>
            </w:pPr>
            <w:r/>
            <w:r>
              <w:rPr>
                <w:b w:val="0"/>
                <w:sz w:val="18"/>
              </w:rPr>
              <w:t>材料可蚀性系数</w:t>
            </w:r>
          </w:p>
        </w:tc>
      </w:tr>
      <w:tr>
        <w:tc>
          <w:tcPr>
            <w:tcW w:type="dxa" w:w="4816"/>
            <w:vAlign w:val="center"/>
          </w:tcPr>
          <w:p>
            <w:pPr>
              <w:spacing w:after="0"/>
            </w:pPr>
            <w:r/>
            <w:r>
              <w:rPr>
                <w:b w:val="0"/>
                <w:sz w:val="18"/>
              </w:rPr>
              <w:t>τc</w:t>
            </w:r>
          </w:p>
        </w:tc>
        <w:tc>
          <w:tcPr>
            <w:tcW w:type="dxa" w:w="4816"/>
            <w:vAlign w:val="center"/>
          </w:tcPr>
          <w:p>
            <w:pPr>
              <w:spacing w:after="0"/>
            </w:pPr>
            <w:r/>
            <w:r>
              <w:rPr>
                <w:b w:val="0"/>
                <w:sz w:val="18"/>
              </w:rPr>
              <w:t>临界床面剪应力</w:t>
            </w:r>
          </w:p>
        </w:tc>
      </w:tr>
      <w:tr>
        <w:tc>
          <w:tcPr>
            <w:tcW w:type="dxa" w:w="4816"/>
            <w:vAlign w:val="center"/>
          </w:tcPr>
          <w:p>
            <w:pPr>
              <w:spacing w:after="0"/>
            </w:pPr>
            <w:r/>
            <w:r>
              <w:rPr>
                <w:b w:val="0"/>
                <w:sz w:val="18"/>
              </w:rPr>
              <w:t>p</w:t>
            </w:r>
          </w:p>
        </w:tc>
        <w:tc>
          <w:tcPr>
            <w:tcW w:type="dxa" w:w="4816"/>
            <w:vAlign w:val="center"/>
          </w:tcPr>
          <w:p>
            <w:pPr>
              <w:spacing w:after="0"/>
            </w:pPr>
            <w:r/>
            <w:r>
              <w:rPr>
                <w:b w:val="0"/>
                <w:sz w:val="18"/>
              </w:rPr>
              <w:t>孔隙率</w:t>
            </w:r>
          </w:p>
        </w:tc>
      </w:tr>
    </w:tbl>
    <w:p>
      <w:pPr>
        <w:spacing w:after="0"/>
      </w:pPr>
    </w:p>
    <w:p>
      <w:pPr>
        <w:pStyle w:val="Heading1"/>
      </w:pPr>
      <w:r>
        <w:t>附录 2：文献来源和页码索引</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D9EAF7"/>
          </w:tcPr>
          <w:p>
            <w:pPr>
              <w:spacing w:after="0"/>
            </w:pPr>
            <w:r/>
            <w:r>
              <w:rPr>
                <w:b/>
                <w:sz w:val="18"/>
              </w:rPr>
              <w:t>主题</w:t>
            </w:r>
          </w:p>
        </w:tc>
        <w:tc>
          <w:tcPr>
            <w:tcW w:type="dxa" w:w="3211"/>
            <w:vAlign w:val="center"/>
            <w:shd w:fill="D9EAF7"/>
          </w:tcPr>
          <w:p>
            <w:pPr>
              <w:spacing w:after="0"/>
            </w:pPr>
            <w:r/>
            <w:r>
              <w:rPr>
                <w:b/>
                <w:sz w:val="18"/>
              </w:rPr>
              <w:t>论文印刷页</w:t>
            </w:r>
          </w:p>
        </w:tc>
        <w:tc>
          <w:tcPr>
            <w:tcW w:type="dxa" w:w="3211"/>
            <w:vAlign w:val="center"/>
            <w:shd w:fill="D9EAF7"/>
          </w:tcPr>
          <w:p>
            <w:pPr>
              <w:spacing w:after="0"/>
            </w:pPr>
            <w:r/>
            <w:r>
              <w:rPr>
                <w:b/>
                <w:sz w:val="18"/>
              </w:rPr>
              <w:t>PDF页</w:t>
            </w:r>
          </w:p>
        </w:tc>
      </w:tr>
      <w:tr>
        <w:tc>
          <w:tcPr>
            <w:tcW w:type="dxa" w:w="3211"/>
            <w:vAlign w:val="center"/>
          </w:tcPr>
          <w:p>
            <w:pPr>
              <w:spacing w:after="0"/>
            </w:pPr>
            <w:r/>
            <w:r>
              <w:rPr>
                <w:b w:val="0"/>
                <w:sz w:val="18"/>
              </w:rPr>
              <w:t>摘要和引言</w:t>
            </w:r>
          </w:p>
        </w:tc>
        <w:tc>
          <w:tcPr>
            <w:tcW w:type="dxa" w:w="3211"/>
            <w:vAlign w:val="center"/>
          </w:tcPr>
          <w:p>
            <w:pPr>
              <w:spacing w:after="0"/>
            </w:pPr>
            <w:r/>
            <w:r>
              <w:rPr>
                <w:b w:val="0"/>
                <w:sz w:val="18"/>
              </w:rPr>
              <w:t>682–684</w:t>
            </w:r>
          </w:p>
        </w:tc>
        <w:tc>
          <w:tcPr>
            <w:tcW w:type="dxa" w:w="3211"/>
            <w:vAlign w:val="center"/>
          </w:tcPr>
          <w:p>
            <w:pPr>
              <w:spacing w:after="0"/>
            </w:pPr>
            <w:r/>
            <w:r>
              <w:rPr>
                <w:b w:val="0"/>
                <w:sz w:val="18"/>
              </w:rPr>
              <w:t>1–7</w:t>
            </w:r>
          </w:p>
        </w:tc>
      </w:tr>
      <w:tr>
        <w:tc>
          <w:tcPr>
            <w:tcW w:type="dxa" w:w="3211"/>
            <w:vAlign w:val="center"/>
          </w:tcPr>
          <w:p>
            <w:pPr>
              <w:spacing w:after="0"/>
            </w:pPr>
            <w:r/>
            <w:r>
              <w:rPr>
                <w:b w:val="0"/>
                <w:sz w:val="18"/>
              </w:rPr>
              <w:t>二维水动力</w:t>
            </w:r>
          </w:p>
        </w:tc>
        <w:tc>
          <w:tcPr>
            <w:tcW w:type="dxa" w:w="3211"/>
            <w:vAlign w:val="center"/>
          </w:tcPr>
          <w:p>
            <w:pPr>
              <w:spacing w:after="0"/>
            </w:pPr>
            <w:r/>
            <w:r>
              <w:rPr>
                <w:b w:val="0"/>
                <w:sz w:val="18"/>
              </w:rPr>
              <w:t>684</w:t>
            </w:r>
          </w:p>
        </w:tc>
        <w:tc>
          <w:tcPr>
            <w:tcW w:type="dxa" w:w="3211"/>
            <w:vAlign w:val="center"/>
          </w:tcPr>
          <w:p>
            <w:pPr>
              <w:spacing w:after="0"/>
            </w:pPr>
            <w:r/>
            <w:r>
              <w:rPr>
                <w:b w:val="0"/>
                <w:sz w:val="18"/>
              </w:rPr>
              <w:t>7</w:t>
            </w:r>
          </w:p>
        </w:tc>
      </w:tr>
      <w:tr>
        <w:tc>
          <w:tcPr>
            <w:tcW w:type="dxa" w:w="3211"/>
            <w:vAlign w:val="center"/>
          </w:tcPr>
          <w:p>
            <w:pPr>
              <w:spacing w:after="0"/>
            </w:pPr>
            <w:r/>
            <w:r>
              <w:rPr>
                <w:b w:val="0"/>
                <w:sz w:val="18"/>
              </w:rPr>
              <w:t>侵蚀模型</w:t>
            </w:r>
          </w:p>
        </w:tc>
        <w:tc>
          <w:tcPr>
            <w:tcW w:type="dxa" w:w="3211"/>
            <w:vAlign w:val="center"/>
          </w:tcPr>
          <w:p>
            <w:pPr>
              <w:spacing w:after="0"/>
            </w:pPr>
            <w:r/>
            <w:r>
              <w:rPr>
                <w:b w:val="0"/>
                <w:sz w:val="18"/>
              </w:rPr>
              <w:t>685</w:t>
            </w:r>
          </w:p>
        </w:tc>
        <w:tc>
          <w:tcPr>
            <w:tcW w:type="dxa" w:w="3211"/>
            <w:vAlign w:val="center"/>
          </w:tcPr>
          <w:p>
            <w:pPr>
              <w:spacing w:after="0"/>
            </w:pPr>
            <w:r/>
            <w:r>
              <w:rPr>
                <w:b w:val="0"/>
                <w:sz w:val="18"/>
              </w:rPr>
              <w:t>9–10</w:t>
            </w:r>
          </w:p>
        </w:tc>
      </w:tr>
      <w:tr>
        <w:tc>
          <w:tcPr>
            <w:tcW w:type="dxa" w:w="3211"/>
            <w:vAlign w:val="center"/>
          </w:tcPr>
          <w:p>
            <w:pPr>
              <w:spacing w:after="0"/>
            </w:pPr>
            <w:r/>
            <w:r>
              <w:rPr>
                <w:b w:val="0"/>
                <w:sz w:val="18"/>
              </w:rPr>
              <w:t>岸坡失稳</w:t>
            </w:r>
          </w:p>
        </w:tc>
        <w:tc>
          <w:tcPr>
            <w:tcW w:type="dxa" w:w="3211"/>
            <w:vAlign w:val="center"/>
          </w:tcPr>
          <w:p>
            <w:pPr>
              <w:spacing w:after="0"/>
            </w:pPr>
            <w:r/>
            <w:r>
              <w:rPr>
                <w:b w:val="0"/>
                <w:sz w:val="18"/>
              </w:rPr>
              <w:t>686</w:t>
            </w:r>
          </w:p>
        </w:tc>
        <w:tc>
          <w:tcPr>
            <w:tcW w:type="dxa" w:w="3211"/>
            <w:vAlign w:val="center"/>
          </w:tcPr>
          <w:p>
            <w:pPr>
              <w:spacing w:after="0"/>
            </w:pPr>
            <w:r/>
            <w:r>
              <w:rPr>
                <w:b w:val="0"/>
                <w:sz w:val="18"/>
              </w:rPr>
              <w:t>11</w:t>
            </w:r>
          </w:p>
        </w:tc>
      </w:tr>
      <w:tr>
        <w:tc>
          <w:tcPr>
            <w:tcW w:type="dxa" w:w="3211"/>
            <w:vAlign w:val="center"/>
          </w:tcPr>
          <w:p>
            <w:pPr>
              <w:spacing w:after="0"/>
            </w:pPr>
            <w:r/>
            <w:r>
              <w:rPr>
                <w:b w:val="0"/>
                <w:sz w:val="18"/>
              </w:rPr>
              <w:t>一维试验</w:t>
            </w:r>
          </w:p>
        </w:tc>
        <w:tc>
          <w:tcPr>
            <w:tcW w:type="dxa" w:w="3211"/>
            <w:vAlign w:val="center"/>
          </w:tcPr>
          <w:p>
            <w:pPr>
              <w:spacing w:after="0"/>
            </w:pPr>
            <w:r/>
            <w:r>
              <w:rPr>
                <w:b w:val="0"/>
                <w:sz w:val="18"/>
              </w:rPr>
              <w:t>687–688</w:t>
            </w:r>
          </w:p>
        </w:tc>
        <w:tc>
          <w:tcPr>
            <w:tcW w:type="dxa" w:w="3211"/>
            <w:vAlign w:val="center"/>
          </w:tcPr>
          <w:p>
            <w:pPr>
              <w:spacing w:after="0"/>
            </w:pPr>
            <w:r/>
            <w:r>
              <w:rPr>
                <w:b w:val="0"/>
                <w:sz w:val="18"/>
              </w:rPr>
              <w:t>13–15</w:t>
            </w:r>
          </w:p>
        </w:tc>
      </w:tr>
      <w:tr>
        <w:tc>
          <w:tcPr>
            <w:tcW w:type="dxa" w:w="3211"/>
            <w:vAlign w:val="center"/>
          </w:tcPr>
          <w:p>
            <w:pPr>
              <w:spacing w:after="0"/>
            </w:pPr>
            <w:r/>
            <w:r>
              <w:rPr>
                <w:b w:val="0"/>
                <w:sz w:val="18"/>
              </w:rPr>
              <w:t>二维试验和表 1/2</w:t>
            </w:r>
          </w:p>
        </w:tc>
        <w:tc>
          <w:tcPr>
            <w:tcW w:type="dxa" w:w="3211"/>
            <w:vAlign w:val="center"/>
          </w:tcPr>
          <w:p>
            <w:pPr>
              <w:spacing w:after="0"/>
            </w:pPr>
            <w:r/>
            <w:r>
              <w:rPr>
                <w:b w:val="0"/>
                <w:sz w:val="18"/>
              </w:rPr>
              <w:t>689–692</w:t>
            </w:r>
          </w:p>
        </w:tc>
        <w:tc>
          <w:tcPr>
            <w:tcW w:type="dxa" w:w="3211"/>
            <w:vAlign w:val="center"/>
          </w:tcPr>
          <w:p>
            <w:pPr>
              <w:spacing w:after="0"/>
            </w:pPr>
            <w:r/>
            <w:r>
              <w:rPr>
                <w:b w:val="0"/>
                <w:sz w:val="18"/>
              </w:rPr>
              <w:t>16–23</w:t>
            </w:r>
          </w:p>
        </w:tc>
      </w:tr>
      <w:tr>
        <w:tc>
          <w:tcPr>
            <w:tcW w:type="dxa" w:w="3211"/>
            <w:vAlign w:val="center"/>
          </w:tcPr>
          <w:p>
            <w:pPr>
              <w:spacing w:after="0"/>
            </w:pPr>
            <w:r/>
            <w:r>
              <w:rPr>
                <w:b w:val="0"/>
                <w:sz w:val="18"/>
              </w:rPr>
              <w:t>侧向溃口</w:t>
            </w:r>
          </w:p>
        </w:tc>
        <w:tc>
          <w:tcPr>
            <w:tcW w:type="dxa" w:w="3211"/>
            <w:vAlign w:val="center"/>
          </w:tcPr>
          <w:p>
            <w:pPr>
              <w:spacing w:after="0"/>
            </w:pPr>
            <w:r/>
            <w:r>
              <w:rPr>
                <w:b w:val="0"/>
                <w:sz w:val="18"/>
              </w:rPr>
              <w:t>693–696</w:t>
            </w:r>
          </w:p>
        </w:tc>
        <w:tc>
          <w:tcPr>
            <w:tcW w:type="dxa" w:w="3211"/>
            <w:vAlign w:val="center"/>
          </w:tcPr>
          <w:p>
            <w:pPr>
              <w:spacing w:after="0"/>
            </w:pPr>
            <w:r/>
            <w:r>
              <w:rPr>
                <w:b w:val="0"/>
                <w:sz w:val="18"/>
              </w:rPr>
              <w:t>25–32</w:t>
            </w:r>
          </w:p>
        </w:tc>
      </w:tr>
      <w:tr>
        <w:tc>
          <w:tcPr>
            <w:tcW w:type="dxa" w:w="3211"/>
            <w:vAlign w:val="center"/>
          </w:tcPr>
          <w:p>
            <w:pPr>
              <w:spacing w:after="0"/>
            </w:pPr>
            <w:r/>
            <w:r>
              <w:rPr>
                <w:b w:val="0"/>
                <w:sz w:val="18"/>
              </w:rPr>
              <w:t>恩扎河</w:t>
            </w:r>
          </w:p>
        </w:tc>
        <w:tc>
          <w:tcPr>
            <w:tcW w:type="dxa" w:w="3211"/>
            <w:vAlign w:val="center"/>
          </w:tcPr>
          <w:p>
            <w:pPr>
              <w:spacing w:after="0"/>
            </w:pPr>
            <w:r/>
            <w:r>
              <w:rPr>
                <w:b w:val="0"/>
                <w:sz w:val="18"/>
              </w:rPr>
              <w:t>693–698</w:t>
            </w:r>
          </w:p>
        </w:tc>
        <w:tc>
          <w:tcPr>
            <w:tcW w:type="dxa" w:w="3211"/>
            <w:vAlign w:val="center"/>
          </w:tcPr>
          <w:p>
            <w:pPr>
              <w:spacing w:after="0"/>
            </w:pPr>
            <w:r/>
            <w:r>
              <w:rPr>
                <w:b w:val="0"/>
                <w:sz w:val="18"/>
              </w:rPr>
              <w:t>30–37</w:t>
            </w:r>
          </w:p>
        </w:tc>
      </w:tr>
      <w:tr>
        <w:tc>
          <w:tcPr>
            <w:tcW w:type="dxa" w:w="3211"/>
            <w:vAlign w:val="center"/>
          </w:tcPr>
          <w:p>
            <w:pPr>
              <w:spacing w:after="0"/>
            </w:pPr>
            <w:r/>
            <w:r>
              <w:rPr>
                <w:b w:val="0"/>
                <w:sz w:val="18"/>
              </w:rPr>
              <w:t>讨论和结论</w:t>
            </w:r>
          </w:p>
        </w:tc>
        <w:tc>
          <w:tcPr>
            <w:tcW w:type="dxa" w:w="3211"/>
            <w:vAlign w:val="center"/>
          </w:tcPr>
          <w:p>
            <w:pPr>
              <w:spacing w:after="0"/>
            </w:pPr>
            <w:r/>
            <w:r>
              <w:rPr>
                <w:b w:val="0"/>
                <w:sz w:val="18"/>
              </w:rPr>
              <w:t>698–699</w:t>
            </w:r>
          </w:p>
        </w:tc>
        <w:tc>
          <w:tcPr>
            <w:tcW w:type="dxa" w:w="3211"/>
            <w:vAlign w:val="center"/>
          </w:tcPr>
          <w:p>
            <w:pPr>
              <w:spacing w:after="0"/>
            </w:pPr>
            <w:r/>
            <w:r>
              <w:rPr>
                <w:b w:val="0"/>
                <w:sz w:val="18"/>
              </w:rPr>
              <w:t>37–39</w:t>
            </w:r>
          </w:p>
        </w:tc>
      </w:tr>
      <w:tr>
        <w:tc>
          <w:tcPr>
            <w:tcW w:type="dxa" w:w="3211"/>
            <w:vAlign w:val="center"/>
          </w:tcPr>
          <w:p>
            <w:pPr>
              <w:spacing w:after="0"/>
            </w:pPr>
            <w:r/>
            <w:r>
              <w:rPr>
                <w:b w:val="0"/>
                <w:sz w:val="18"/>
              </w:rPr>
              <w:t>Exner 附录</w:t>
            </w:r>
          </w:p>
        </w:tc>
        <w:tc>
          <w:tcPr>
            <w:tcW w:type="dxa" w:w="3211"/>
            <w:vAlign w:val="center"/>
          </w:tcPr>
          <w:p>
            <w:pPr>
              <w:spacing w:after="0"/>
            </w:pPr>
            <w:r/>
            <w:r>
              <w:rPr>
                <w:b w:val="0"/>
                <w:sz w:val="18"/>
              </w:rPr>
              <w:t>699–700</w:t>
            </w:r>
          </w:p>
        </w:tc>
        <w:tc>
          <w:tcPr>
            <w:tcW w:type="dxa" w:w="3211"/>
            <w:vAlign w:val="center"/>
          </w:tcPr>
          <w:p>
            <w:pPr>
              <w:spacing w:after="0"/>
            </w:pPr>
            <w:r/>
            <w:r>
              <w:rPr>
                <w:b w:val="0"/>
                <w:sz w:val="18"/>
              </w:rPr>
              <w:t>39–40</w:t>
            </w:r>
          </w:p>
        </w:tc>
      </w:tr>
    </w:tbl>
    <w:p>
      <w:pPr>
        <w:spacing w:after="0"/>
      </w:pPr>
    </w:p>
    <w:p>
      <w:r>
        <w:t>本文件基于仓库中的 Dazzi 等 - 中英对照版.pdf 逐节整理。公式采用纯文本表示，变量含义和页码以论文原文为准。</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Dazzi 全文理解与 TELEMAC-2D 非结构三角网格改造设计</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