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Dazzi 等（2019）堤防溃口模型</w:t>
        <w:br/>
        <w:t>方法理解与 TELEMAC-2D 非结构三角网格改造约束</w:t>
      </w:r>
    </w:p>
    <w:p>
      <w:pPr>
        <w:jc w:val="center"/>
      </w:pPr>
      <w:r>
        <w:rPr>
          <w:sz w:val="20"/>
        </w:rPr>
        <w:t>独立实现准备文档 | 2026-10-24</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pPr>
              <w:spacing w:after="0"/>
            </w:pPr>
            <w:r/>
            <w:r>
              <w:rPr>
                <w:b/>
              </w:rPr>
              <w:t>项目</w:t>
            </w:r>
          </w:p>
        </w:tc>
        <w:tc>
          <w:tcPr>
            <w:tcW w:type="dxa" w:w="4703"/>
            <w:vAlign w:val="center"/>
            <w:shd w:fill="D9EAF7"/>
          </w:tcPr>
          <w:p>
            <w:pPr>
              <w:spacing w:after="0"/>
            </w:pPr>
            <w:r/>
            <w:r>
              <w:rPr>
                <w:b/>
              </w:rPr>
              <w:t>内容</w:t>
            </w:r>
          </w:p>
        </w:tc>
      </w:tr>
      <w:tr>
        <w:tc>
          <w:tcPr>
            <w:tcW w:type="dxa" w:w="4703"/>
            <w:vAlign w:val="center"/>
          </w:tcPr>
          <w:p>
            <w:pPr>
              <w:spacing w:after="0"/>
            </w:pPr>
            <w:r/>
            <w:r>
              <w:rPr>
                <w:b w:val="0"/>
              </w:rPr>
              <w:t>原始文献</w:t>
            </w:r>
          </w:p>
        </w:tc>
        <w:tc>
          <w:tcPr>
            <w:tcW w:type="dxa" w:w="4703"/>
            <w:vAlign w:val="center"/>
          </w:tcPr>
          <w:p>
            <w:pPr>
              <w:spacing w:after="0"/>
            </w:pPr>
            <w:r/>
            <w:r>
              <w:rPr>
                <w:b w:val="0"/>
              </w:rPr>
              <w:t>Dazzi, Vacondio &amp; Mignosa (2019), Water Resources Research, 55, 682–702</w:t>
            </w:r>
          </w:p>
        </w:tc>
      </w:tr>
      <w:tr>
        <w:tc>
          <w:tcPr>
            <w:tcW w:type="dxa" w:w="4703"/>
            <w:vAlign w:val="center"/>
          </w:tcPr>
          <w:p>
            <w:pPr>
              <w:spacing w:after="0"/>
            </w:pPr>
            <w:r/>
            <w:r>
              <w:rPr>
                <w:b w:val="0"/>
              </w:rPr>
              <w:t>DOI</w:t>
            </w:r>
          </w:p>
        </w:tc>
        <w:tc>
          <w:tcPr>
            <w:tcW w:type="dxa" w:w="4703"/>
            <w:vAlign w:val="center"/>
          </w:tcPr>
          <w:p>
            <w:pPr>
              <w:spacing w:after="0"/>
            </w:pPr>
            <w:r/>
            <w:r>
              <w:rPr>
                <w:b w:val="0"/>
              </w:rPr>
              <w:t>10.1029/2018WR023826</w:t>
            </w:r>
          </w:p>
        </w:tc>
      </w:tr>
      <w:tr>
        <w:tc>
          <w:tcPr>
            <w:tcW w:type="dxa" w:w="4703"/>
            <w:vAlign w:val="center"/>
          </w:tcPr>
          <w:p>
            <w:pPr>
              <w:spacing w:after="0"/>
            </w:pPr>
            <w:r/>
            <w:r>
              <w:rPr>
                <w:b w:val="0"/>
              </w:rPr>
              <w:t>本地资料</w:t>
            </w:r>
          </w:p>
        </w:tc>
        <w:tc>
          <w:tcPr>
            <w:tcW w:type="dxa" w:w="4703"/>
            <w:vAlign w:val="center"/>
          </w:tcPr>
          <w:p>
            <w:pPr>
              <w:spacing w:after="0"/>
            </w:pPr>
            <w:r/>
            <w:r>
              <w:rPr>
                <w:b w:val="0"/>
              </w:rPr>
              <w:t>Dazzi 等 - 中英对照版.pdf</w:t>
            </w:r>
          </w:p>
        </w:tc>
      </w:tr>
      <w:tr>
        <w:tc>
          <w:tcPr>
            <w:tcW w:type="dxa" w:w="4703"/>
            <w:vAlign w:val="center"/>
          </w:tcPr>
          <w:p>
            <w:pPr>
              <w:spacing w:after="0"/>
            </w:pPr>
            <w:r/>
            <w:r>
              <w:rPr>
                <w:b w:val="0"/>
              </w:rPr>
              <w:t>本文件用途</w:t>
            </w:r>
          </w:p>
        </w:tc>
        <w:tc>
          <w:tcPr>
            <w:tcW w:type="dxa" w:w="4703"/>
            <w:vAlign w:val="center"/>
          </w:tcPr>
          <w:p>
            <w:pPr>
              <w:spacing w:after="0"/>
            </w:pPr>
            <w:r/>
            <w:r>
              <w:rPr>
                <w:b w:val="0"/>
              </w:rPr>
              <w:t>整理可复用的模型逻辑，区分论文已实现内容与本项目拟新增内容</w:t>
            </w:r>
          </w:p>
        </w:tc>
      </w:tr>
      <w:tr>
        <w:tc>
          <w:tcPr>
            <w:tcW w:type="dxa" w:w="4703"/>
            <w:vAlign w:val="center"/>
          </w:tcPr>
          <w:p>
            <w:pPr>
              <w:spacing w:after="0"/>
            </w:pPr>
            <w:r/>
            <w:r>
              <w:rPr>
                <w:b w:val="0"/>
              </w:rPr>
              <w:t>独立实现目录</w:t>
            </w:r>
          </w:p>
        </w:tc>
        <w:tc>
          <w:tcPr>
            <w:tcW w:type="dxa" w:w="4703"/>
            <w:vAlign w:val="center"/>
          </w:tcPr>
          <w:p>
            <w:pPr>
              <w:spacing w:after="0"/>
            </w:pPr>
            <w:r/>
            <w:r>
              <w:rPr>
                <w:b w:val="0"/>
              </w:rPr>
              <w:t>边坡失稳独立实现/Dazzi_非结构三角网格耦合</w:t>
            </w:r>
          </w:p>
        </w:tc>
      </w:tr>
    </w:tbl>
    <w:p/>
    <w:p>
      <w:pPr>
        <w:pStyle w:val="Heading1"/>
      </w:pPr>
      <w:r>
        <w:t>1. 阅读结论</w:t>
      </w:r>
    </w:p>
    <w:p>
      <w:r>
        <w:t>Dazzi 模型由二维浅水水动力、超量剪应力侵蚀和边坡失稳三个核心环节组成。论文另外实现了一个基于 Exner 方程的推移质输运模型，用于对比，不是主侵蚀模型的一部分。</w:t>
      </w:r>
    </w:p>
    <w:p>
      <w:r>
        <w:t>对本项目最重要的内容是边坡失稳算法：它使用干态临界角 φc,dry、湿态临界角 φc,wet 和坍塌后沉积角 φdep。失稳修正通过相邻单元的等量反向高程调整保持土体质量守恒，并重复迭代直到局部坡度稳定。</w:t>
      </w:r>
    </w:p>
    <w:p>
      <w:r>
        <w:t>论文的侵蚀模型与边坡失稳算法需要分开理解。侵蚀模型只允许冲刷，假设被冲刷土体随水流带走；边坡失稳修正则对当前单元和邻居单元施加等量反向修正。后续 TELEMAC 非结构网格实现应保留这一差异，同时把沉积、库存和出域量显式记账。</w:t>
      </w:r>
    </w:p>
    <w:p>
      <w:r>
        <w:rPr>
          <w:i/>
          <w:sz w:val="18"/>
        </w:rPr>
        <w:t>来源核对：论文印刷页 682–686；PDF页 1–11。</w:t>
      </w:r>
    </w:p>
    <w:p>
      <w:pPr>
        <w:pStyle w:val="Heading1"/>
      </w:pPr>
      <w:r>
        <w:t>2. 论文模型结构</w:t>
      </w:r>
    </w:p>
    <w:p>
      <w:pPr>
        <w:pStyle w:val="Heading2"/>
      </w:pPr>
      <w:r>
        <w:t>2.1 二维浅水水动力模块</w:t>
      </w:r>
    </w:p>
    <w:p>
      <w:r>
        <w:t>论文采用二维深度平均浅水方程，守恒变量包括水面高程、动量和水深。水动力采用有限体积离散，使用 HLLC 近似黎曼求解器，并采用适用于干湿界面的修正。模型以 CUDA/C++ 实现，主要目标是支持大范围和高分辨率计算。</w:t>
      </w:r>
    </w:p>
    <w:p>
      <w:pPr>
        <w:pStyle w:val="ListBullet"/>
      </w:pPr>
      <w:r>
        <w:t>水面高程 η = h + z，其中 h 为水深，z 为床面高程。</w:t>
      </w:r>
    </w:p>
    <w:p>
      <w:pPr>
        <w:pStyle w:val="ListBullet"/>
      </w:pPr>
      <w:r>
        <w:t>局部床面坡度和摩阻作为源项进入浅水方程。</w:t>
      </w:r>
    </w:p>
    <w:p>
      <w:pPr>
        <w:pStyle w:val="ListBullet"/>
      </w:pPr>
      <w:r>
        <w:t>模型是深度平均模型，不能描述悬臂式坍塌、三维溯源侵蚀和明显垂向加速度。</w:t>
      </w:r>
    </w:p>
    <w:p>
      <w:pPr>
        <w:pStyle w:val="ListBullet"/>
      </w:pPr>
      <w:r>
        <w:t>Dazzi 的水动力模块与本项目 TELEMAC-2D 并非同一离散实现，因此只能迁移模型思想和质量守恒关系。</w:t>
      </w:r>
    </w:p>
    <w:p>
      <w:r>
        <w:rPr>
          <w:i/>
          <w:sz w:val="18"/>
        </w:rPr>
        <w:t>来源核对：论文印刷页 684；PDF页 5–7。</w:t>
      </w:r>
    </w:p>
    <w:p>
      <w:pPr>
        <w:pStyle w:val="Heading2"/>
      </w:pPr>
      <w:r>
        <w:t>2.2 超量剪应力侵蚀模块</w:t>
      </w:r>
    </w:p>
    <w:p>
      <w:r>
        <w:t>侵蚀只在预先指定的可蚀堤防区域内发生。论文使用线性超量剪应力关系：</w:t>
      </w:r>
    </w:p>
    <w:p>
      <w:r>
        <w:t>∂z/∂t = − E/(1−p)</w:t>
      </w:r>
    </w:p>
    <w:p>
      <w:r>
        <w:t>E = kd(τ−τc)，当 τ &gt; τc；E = 0，当 τ ≤ τc。</w:t>
      </w:r>
    </w:p>
    <w:p>
      <w:r>
        <w:t>床面剪应力采用：</w:t>
      </w:r>
    </w:p>
    <w:p>
      <w:r>
        <w:t>τ = γ nf²(u²+v²) / h^(1/3)</w:t>
      </w:r>
    </w:p>
    <w:p>
      <w:r>
        <w:t>其中 p 为孔隙率，E 为单位面积侵蚀体积速率，kd 为可蚀性系数，τc 为临界剪应力，γ 为水的容重，nf 为曼宁糙率，u、v 为速度分量，h 为水深。离散更新为：</w:t>
      </w:r>
    </w:p>
    <w:p>
      <w:r>
        <w:t>z(n+1) = z(n) − [E(τ)/(1−p)] Δt</w:t>
      </w:r>
    </w:p>
    <w:p>
      <w:pPr>
        <w:pStyle w:val="ListBullet"/>
      </w:pPr>
      <w:r>
        <w:t>可以设置最小床面高程，以阻止侵蚀穿透不可蚀基础层。</w:t>
      </w:r>
    </w:p>
    <w:p>
      <w:pPr>
        <w:pStyle w:val="ListBullet"/>
      </w:pPr>
      <w:r>
        <w:t>该模块只允许冲刷，不计算沉积；冲刷土体被假设为随水流带走。</w:t>
      </w:r>
    </w:p>
    <w:p>
      <w:pPr>
        <w:pStyle w:val="ListBullet"/>
      </w:pPr>
      <w:r>
        <w:t>为了保持整体水量，论文保持发生冲刷单元的原水深，并相应调整水面高程。</w:t>
      </w:r>
    </w:p>
    <w:p>
      <w:pPr>
        <w:pStyle w:val="ListBullet"/>
      </w:pPr>
      <w:r>
        <w:t>kd 和 τc 对材料、含水率、压实程度和土壤质地敏感，论文指出其不确定性可达 2–3 个数量级。</w:t>
      </w:r>
    </w:p>
    <w:p>
      <w:r>
        <w:rPr>
          <w:i/>
          <w:sz w:val="18"/>
        </w:rPr>
        <w:t>来源核对：论文印刷页 685；PDF页 9–10。</w:t>
      </w:r>
    </w:p>
    <w:p>
      <w:pPr>
        <w:pStyle w:val="Heading2"/>
      </w:pPr>
      <w:r>
        <w:t>2.3 边坡失稳算法</w:t>
      </w:r>
    </w:p>
    <w:p>
      <w:r>
        <w:t>边坡失稳用于描述溃口侧壁在溃口加深后发生的突然坍塌。论文说明，深度平均模型无法表示悬臂式失稳，因此该算法只处理基于局部坡度超过临界值的块体调整。</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spacing w:after="0"/>
            </w:pPr>
            <w:r/>
            <w:r>
              <w:rPr>
                <w:b/>
              </w:rPr>
              <w:t>符号</w:t>
            </w:r>
          </w:p>
        </w:tc>
        <w:tc>
          <w:tcPr>
            <w:tcW w:type="dxa" w:w="3135"/>
            <w:vAlign w:val="center"/>
            <w:shd w:fill="D9EAF7"/>
          </w:tcPr>
          <w:p>
            <w:pPr>
              <w:spacing w:after="0"/>
            </w:pPr>
            <w:r/>
            <w:r>
              <w:rPr>
                <w:b/>
              </w:rPr>
              <w:t>含义</w:t>
            </w:r>
          </w:p>
        </w:tc>
        <w:tc>
          <w:tcPr>
            <w:tcW w:type="dxa" w:w="3135"/>
            <w:vAlign w:val="center"/>
            <w:shd w:fill="D9EAF7"/>
          </w:tcPr>
          <w:p>
            <w:pPr>
              <w:spacing w:after="0"/>
            </w:pPr>
            <w:r/>
            <w:r>
              <w:rPr>
                <w:b/>
              </w:rPr>
              <w:t>在本项目中的处理</w:t>
            </w:r>
          </w:p>
        </w:tc>
      </w:tr>
      <w:tr>
        <w:tc>
          <w:tcPr>
            <w:tcW w:type="dxa" w:w="3135"/>
            <w:vAlign w:val="center"/>
          </w:tcPr>
          <w:p>
            <w:pPr>
              <w:spacing w:after="0"/>
            </w:pPr>
            <w:r/>
            <w:r>
              <w:rPr>
                <w:b w:val="0"/>
              </w:rPr>
              <w:t>φc,dry</w:t>
            </w:r>
          </w:p>
        </w:tc>
        <w:tc>
          <w:tcPr>
            <w:tcW w:type="dxa" w:w="3135"/>
            <w:vAlign w:val="center"/>
          </w:tcPr>
          <w:p>
            <w:pPr>
              <w:spacing w:after="0"/>
            </w:pPr>
            <w:r/>
            <w:r>
              <w:rPr>
                <w:b w:val="0"/>
              </w:rPr>
              <w:t>干单元临界坡角</w:t>
            </w:r>
          </w:p>
        </w:tc>
        <w:tc>
          <w:tcPr>
            <w:tcW w:type="dxa" w:w="3135"/>
            <w:vAlign w:val="center"/>
          </w:tcPr>
          <w:p>
            <w:pPr>
              <w:spacing w:after="0"/>
            </w:pPr>
            <w:r/>
            <w:r>
              <w:rPr>
                <w:b w:val="0"/>
              </w:rPr>
              <w:t>单元位于水面以上时使用</w:t>
            </w:r>
          </w:p>
        </w:tc>
      </w:tr>
      <w:tr>
        <w:tc>
          <w:tcPr>
            <w:tcW w:type="dxa" w:w="3135"/>
            <w:vAlign w:val="center"/>
          </w:tcPr>
          <w:p>
            <w:pPr>
              <w:spacing w:after="0"/>
            </w:pPr>
            <w:r/>
            <w:r>
              <w:rPr>
                <w:b w:val="0"/>
              </w:rPr>
              <w:t>φc,wet</w:t>
            </w:r>
          </w:p>
        </w:tc>
        <w:tc>
          <w:tcPr>
            <w:tcW w:type="dxa" w:w="3135"/>
            <w:vAlign w:val="center"/>
          </w:tcPr>
          <w:p>
            <w:pPr>
              <w:spacing w:after="0"/>
            </w:pPr>
            <w:r/>
            <w:r>
              <w:rPr>
                <w:b w:val="0"/>
              </w:rPr>
              <w:t>湿单元临界坡角</w:t>
            </w:r>
          </w:p>
        </w:tc>
        <w:tc>
          <w:tcPr>
            <w:tcW w:type="dxa" w:w="3135"/>
            <w:vAlign w:val="center"/>
          </w:tcPr>
          <w:p>
            <w:pPr>
              <w:spacing w:after="0"/>
            </w:pPr>
            <w:r/>
            <w:r>
              <w:rPr>
                <w:b w:val="0"/>
              </w:rPr>
              <w:t>单元位于水面以下时使用</w:t>
            </w:r>
          </w:p>
        </w:tc>
      </w:tr>
      <w:tr>
        <w:tc>
          <w:tcPr>
            <w:tcW w:type="dxa" w:w="3135"/>
            <w:vAlign w:val="center"/>
          </w:tcPr>
          <w:p>
            <w:pPr>
              <w:spacing w:after="0"/>
            </w:pPr>
            <w:r/>
            <w:r>
              <w:rPr>
                <w:b w:val="0"/>
              </w:rPr>
              <w:t>φdep</w:t>
            </w:r>
          </w:p>
        </w:tc>
        <w:tc>
          <w:tcPr>
            <w:tcW w:type="dxa" w:w="3135"/>
            <w:vAlign w:val="center"/>
          </w:tcPr>
          <w:p>
            <w:pPr>
              <w:spacing w:after="0"/>
            </w:pPr>
            <w:r/>
            <w:r>
              <w:rPr>
                <w:b w:val="0"/>
              </w:rPr>
              <w:t>坍塌后沉积物形成的坡角</w:t>
            </w:r>
          </w:p>
        </w:tc>
        <w:tc>
          <w:tcPr>
            <w:tcW w:type="dxa" w:w="3135"/>
            <w:vAlign w:val="center"/>
          </w:tcPr>
          <w:p>
            <w:pPr>
              <w:spacing w:after="0"/>
            </w:pPr>
            <w:r/>
            <w:r>
              <w:rPr>
                <w:b w:val="0"/>
              </w:rPr>
              <w:t>作为修正后的目标坡角，独立于干湿临界角</w:t>
            </w:r>
          </w:p>
        </w:tc>
      </w:tr>
      <w:tr>
        <w:tc>
          <w:tcPr>
            <w:tcW w:type="dxa" w:w="3135"/>
            <w:vAlign w:val="center"/>
          </w:tcPr>
          <w:p>
            <w:pPr>
              <w:spacing w:after="0"/>
            </w:pPr>
            <w:r/>
            <w:r>
              <w:rPr>
                <w:b w:val="0"/>
              </w:rPr>
              <w:t>φk</w:t>
            </w:r>
          </w:p>
        </w:tc>
        <w:tc>
          <w:tcPr>
            <w:tcW w:type="dxa" w:w="3135"/>
            <w:vAlign w:val="center"/>
          </w:tcPr>
          <w:p>
            <w:pPr>
              <w:spacing w:after="0"/>
            </w:pPr>
            <w:r/>
            <w:r>
              <w:rPr>
                <w:b w:val="0"/>
              </w:rPr>
              <w:t>当前方向的局部坡角</w:t>
            </w:r>
          </w:p>
        </w:tc>
        <w:tc>
          <w:tcPr>
            <w:tcW w:type="dxa" w:w="3135"/>
            <w:vAlign w:val="center"/>
          </w:tcPr>
          <w:p>
            <w:pPr>
              <w:spacing w:after="0"/>
            </w:pPr>
            <w:r/>
            <w:r>
              <w:rPr>
                <w:b w:val="0"/>
              </w:rPr>
              <w:t>在非结构网格中按共享边或相邻控制体计算</w:t>
            </w:r>
          </w:p>
        </w:tc>
      </w:tr>
      <w:tr>
        <w:tc>
          <w:tcPr>
            <w:tcW w:type="dxa" w:w="3135"/>
            <w:vAlign w:val="center"/>
          </w:tcPr>
          <w:p>
            <w:pPr>
              <w:spacing w:after="0"/>
            </w:pPr>
            <w:r/>
            <w:r>
              <w:rPr>
                <w:b w:val="0"/>
              </w:rPr>
              <w:t>lk</w:t>
            </w:r>
          </w:p>
        </w:tc>
        <w:tc>
          <w:tcPr>
            <w:tcW w:type="dxa" w:w="3135"/>
            <w:vAlign w:val="center"/>
          </w:tcPr>
          <w:p>
            <w:pPr>
              <w:spacing w:after="0"/>
            </w:pPr>
            <w:r/>
            <w:r>
              <w:rPr>
                <w:b w:val="0"/>
              </w:rPr>
              <w:t>相邻单元间的方向距离</w:t>
            </w:r>
          </w:p>
        </w:tc>
        <w:tc>
          <w:tcPr>
            <w:tcW w:type="dxa" w:w="3135"/>
            <w:vAlign w:val="center"/>
          </w:tcPr>
          <w:p>
            <w:pPr>
              <w:spacing w:after="0"/>
            </w:pPr>
            <w:r/>
            <w:r>
              <w:rPr>
                <w:b w:val="0"/>
              </w:rPr>
              <w:t>改为相邻三角形中心在共享边法向上的距离</w:t>
            </w:r>
          </w:p>
        </w:tc>
      </w:tr>
    </w:tbl>
    <w:p/>
    <w:p>
      <w:r>
        <w:t>结构化网格中的局部坡度为：</w:t>
      </w:r>
    </w:p>
    <w:p>
      <w:r>
        <w:t>tan φk = (zk − zi,j) / lk</w:t>
      </w:r>
    </w:p>
    <w:p>
      <w:r>
        <w:t>当 |φk| &gt; φc 时，论文使用以下修正：</w:t>
      </w:r>
    </w:p>
    <w:p>
      <w:r>
        <w:t>Δzk = 0.5 lk [tan|φk| − tanφdep] sign(φk)</w:t>
      </w:r>
    </w:p>
    <w:p>
      <w:r>
        <w:t>邻居单元施加等量反向修正，使总土体质量保持不变。一个单元的更新值为：</w:t>
      </w:r>
    </w:p>
    <w:p>
      <w:r>
        <w:t>znew(i,j) = zij + Σk Δzk</w:t>
      </w:r>
    </w:p>
    <w:p>
      <w:pPr>
        <w:pStyle w:val="ListBullet"/>
      </w:pPr>
      <w:r>
        <w:t>每次修正会改变周围坡度，因此算法要反复迭代，直到不再存在超过临界坡角的方向。</w:t>
      </w:r>
    </w:p>
    <w:p>
      <w:pPr>
        <w:pStyle w:val="ListBullet"/>
      </w:pPr>
      <w:r>
        <w:t>论文建议失稳检查间隔 Δtstab 可大于水动力时间步；试验中 Δtstab = 500–1000 Δt 与每步检查得到的结果相近。</w:t>
      </w:r>
    </w:p>
    <w:p>
      <w:pPr>
        <w:pStyle w:val="ListBullet"/>
      </w:pPr>
      <w:r>
        <w:t>论文的 CUDA 实现允许不同线程重复计算相邻修正，以减少额外存储。TELEMAC/Python 版本应采用确定性的边排序和单次边修正，避免并行重复更新。</w:t>
      </w:r>
    </w:p>
    <w:p>
      <w:r>
        <w:rPr>
          <w:i/>
          <w:sz w:val="18"/>
        </w:rPr>
        <w:t>来源核对：论文印刷页 686；PDF页 11。</w:t>
      </w:r>
    </w:p>
    <w:p>
      <w:pPr>
        <w:pStyle w:val="Heading1"/>
      </w:pPr>
      <w:r>
        <w:t>3. Dazzi 参数与验证案例</w:t>
      </w:r>
    </w:p>
    <w:p>
      <w:pPr>
        <w:pStyle w:val="Heading2"/>
      </w:pPr>
      <w:r>
        <w:t>3.1 一维正向溃坝试验</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pPr>
              <w:spacing w:after="0"/>
            </w:pPr>
            <w:r/>
            <w:r>
              <w:rPr>
                <w:b/>
              </w:rPr>
              <w:t>项目</w:t>
            </w:r>
          </w:p>
        </w:tc>
        <w:tc>
          <w:tcPr>
            <w:tcW w:type="dxa" w:w="4703"/>
            <w:vAlign w:val="center"/>
            <w:shd w:fill="D9EAF7"/>
          </w:tcPr>
          <w:p>
            <w:pPr>
              <w:spacing w:after="0"/>
            </w:pPr>
            <w:r/>
            <w:r>
              <w:rPr>
                <w:b/>
              </w:rPr>
              <w:t>论文参数</w:t>
            </w:r>
          </w:p>
        </w:tc>
      </w:tr>
      <w:tr>
        <w:tc>
          <w:tcPr>
            <w:tcW w:type="dxa" w:w="4703"/>
            <w:vAlign w:val="center"/>
          </w:tcPr>
          <w:p>
            <w:pPr>
              <w:spacing w:after="0"/>
            </w:pPr>
            <w:r/>
            <w:r>
              <w:rPr>
                <w:b w:val="0"/>
              </w:rPr>
              <w:t>试验</w:t>
            </w:r>
          </w:p>
        </w:tc>
        <w:tc>
          <w:tcPr>
            <w:tcW w:type="dxa" w:w="4703"/>
            <w:vAlign w:val="center"/>
          </w:tcPr>
          <w:p>
            <w:pPr>
              <w:spacing w:after="0"/>
            </w:pPr>
            <w:r/>
            <w:r>
              <w:rPr>
                <w:b w:val="0"/>
              </w:rPr>
              <w:t>Tingsanchali and Chinnarasri (2001), Test C-2</w:t>
            </w:r>
          </w:p>
        </w:tc>
      </w:tr>
      <w:tr>
        <w:tc>
          <w:tcPr>
            <w:tcW w:type="dxa" w:w="4703"/>
            <w:vAlign w:val="center"/>
          </w:tcPr>
          <w:p>
            <w:pPr>
              <w:spacing w:after="0"/>
            </w:pPr>
            <w:r/>
            <w:r>
              <w:rPr>
                <w:b w:val="0"/>
              </w:rPr>
              <w:t>坝高/坝顶宽</w:t>
            </w:r>
          </w:p>
        </w:tc>
        <w:tc>
          <w:tcPr>
            <w:tcW w:type="dxa" w:w="4703"/>
            <w:vAlign w:val="center"/>
          </w:tcPr>
          <w:p>
            <w:pPr>
              <w:spacing w:after="0"/>
            </w:pPr>
            <w:r/>
            <w:r>
              <w:rPr>
                <w:b w:val="0"/>
              </w:rPr>
              <w:t>0.8 m / 0.3 m</w:t>
            </w:r>
          </w:p>
        </w:tc>
      </w:tr>
      <w:tr>
        <w:tc>
          <w:tcPr>
            <w:tcW w:type="dxa" w:w="4703"/>
            <w:vAlign w:val="center"/>
          </w:tcPr>
          <w:p>
            <w:pPr>
              <w:spacing w:after="0"/>
            </w:pPr>
            <w:r/>
            <w:r>
              <w:rPr>
                <w:b w:val="0"/>
              </w:rPr>
              <w:t>上下游坡</w:t>
            </w:r>
          </w:p>
        </w:tc>
        <w:tc>
          <w:tcPr>
            <w:tcW w:type="dxa" w:w="4703"/>
            <w:vAlign w:val="center"/>
          </w:tcPr>
          <w:p>
            <w:pPr>
              <w:spacing w:after="0"/>
            </w:pPr>
            <w:r/>
            <w:r>
              <w:rPr>
                <w:b w:val="0"/>
              </w:rPr>
              <w:t>1V:3H / 1V:2.5H</w:t>
            </w:r>
          </w:p>
        </w:tc>
      </w:tr>
      <w:tr>
        <w:tc>
          <w:tcPr>
            <w:tcW w:type="dxa" w:w="4703"/>
            <w:vAlign w:val="center"/>
          </w:tcPr>
          <w:p>
            <w:pPr>
              <w:spacing w:after="0"/>
            </w:pPr>
            <w:r/>
            <w:r>
              <w:rPr>
                <w:b w:val="0"/>
              </w:rPr>
              <w:t>材料</w:t>
            </w:r>
          </w:p>
        </w:tc>
        <w:tc>
          <w:tcPr>
            <w:tcW w:type="dxa" w:w="4703"/>
            <w:vAlign w:val="center"/>
          </w:tcPr>
          <w:p>
            <w:pPr>
              <w:spacing w:after="0"/>
            </w:pPr>
            <w:r/>
            <w:r>
              <w:rPr>
                <w:b w:val="0"/>
              </w:rPr>
              <w:t>砂，ρs = 2650 kg/m³</w:t>
            </w:r>
          </w:p>
        </w:tc>
      </w:tr>
      <w:tr>
        <w:tc>
          <w:tcPr>
            <w:tcW w:type="dxa" w:w="4703"/>
            <w:vAlign w:val="center"/>
          </w:tcPr>
          <w:p>
            <w:pPr>
              <w:spacing w:after="0"/>
            </w:pPr>
            <w:r/>
            <w:r>
              <w:rPr>
                <w:b w:val="0"/>
              </w:rPr>
              <w:t>孔隙率</w:t>
            </w:r>
          </w:p>
        </w:tc>
        <w:tc>
          <w:tcPr>
            <w:tcW w:type="dxa" w:w="4703"/>
            <w:vAlign w:val="center"/>
          </w:tcPr>
          <w:p>
            <w:pPr>
              <w:spacing w:after="0"/>
            </w:pPr>
            <w:r/>
            <w:r>
              <w:rPr>
                <w:b w:val="0"/>
              </w:rPr>
              <w:t>p = 0.4</w:t>
            </w:r>
          </w:p>
        </w:tc>
      </w:tr>
      <w:tr>
        <w:tc>
          <w:tcPr>
            <w:tcW w:type="dxa" w:w="4703"/>
            <w:vAlign w:val="center"/>
          </w:tcPr>
          <w:p>
            <w:pPr>
              <w:spacing w:after="0"/>
            </w:pPr>
            <w:r/>
            <w:r>
              <w:rPr>
                <w:b w:val="0"/>
              </w:rPr>
              <w:t>临界角</w:t>
            </w:r>
          </w:p>
        </w:tc>
        <w:tc>
          <w:tcPr>
            <w:tcW w:type="dxa" w:w="4703"/>
            <w:vAlign w:val="center"/>
          </w:tcPr>
          <w:p>
            <w:pPr>
              <w:spacing w:after="0"/>
            </w:pPr>
            <w:r/>
            <w:r>
              <w:rPr>
                <w:b w:val="0"/>
              </w:rPr>
              <w:t>φc,wet = φdep = 30°，φc,dry = 50°</w:t>
            </w:r>
          </w:p>
        </w:tc>
      </w:tr>
      <w:tr>
        <w:tc>
          <w:tcPr>
            <w:tcW w:type="dxa" w:w="4703"/>
            <w:vAlign w:val="center"/>
          </w:tcPr>
          <w:p>
            <w:pPr>
              <w:spacing w:after="0"/>
            </w:pPr>
            <w:r/>
            <w:r>
              <w:rPr>
                <w:b w:val="0"/>
              </w:rPr>
              <w:t>流量</w:t>
            </w:r>
          </w:p>
        </w:tc>
        <w:tc>
          <w:tcPr>
            <w:tcW w:type="dxa" w:w="4703"/>
            <w:vAlign w:val="center"/>
          </w:tcPr>
          <w:p>
            <w:pPr>
              <w:spacing w:after="0"/>
            </w:pPr>
            <w:r/>
            <w:r>
              <w:rPr>
                <w:b w:val="0"/>
              </w:rPr>
              <w:t>1.23 L/s 恒定入流</w:t>
            </w:r>
          </w:p>
        </w:tc>
      </w:tr>
      <w:tr>
        <w:tc>
          <w:tcPr>
            <w:tcW w:type="dxa" w:w="4703"/>
            <w:vAlign w:val="center"/>
          </w:tcPr>
          <w:p>
            <w:pPr>
              <w:spacing w:after="0"/>
            </w:pPr>
            <w:r/>
            <w:r>
              <w:rPr>
                <w:b w:val="0"/>
              </w:rPr>
              <w:t>网格</w:t>
            </w:r>
          </w:p>
        </w:tc>
        <w:tc>
          <w:tcPr>
            <w:tcW w:type="dxa" w:w="4703"/>
            <w:vAlign w:val="center"/>
          </w:tcPr>
          <w:p>
            <w:pPr>
              <w:spacing w:after="0"/>
            </w:pPr>
            <w:r/>
            <w:r>
              <w:rPr>
                <w:b w:val="0"/>
              </w:rPr>
              <w:t>Δx = Δy = 0.05 m</w:t>
            </w:r>
          </w:p>
        </w:tc>
      </w:tr>
    </w:tbl>
    <w:p/>
    <w:p>
      <w:r>
        <w:t>论文中该案例的侵蚀模型通过 kd 率定；较好的结果对应 kd = 500 cm³·N⁻¹·s⁻¹、τc = 10⁻² Pa。该案例也显示，单纯侵蚀模型会使下游坡面后退，而实验中坝趾沉积会使坡面变缓。</w:t>
      </w:r>
    </w:p>
    <w:p>
      <w:r>
        <w:rPr>
          <w:i/>
          <w:sz w:val="18"/>
        </w:rPr>
        <w:t>来源核对：论文印刷页 686–687；PDF页 13–14。</w:t>
      </w:r>
    </w:p>
    <w:p>
      <w:pPr>
        <w:pStyle w:val="Heading2"/>
      </w:pPr>
      <w:r>
        <w:t>3.2 HR Wallingford 二维正向溃口</w:t>
      </w:r>
    </w:p>
    <w:p>
      <w:r>
        <w:t>论文选择试验 #2（砂质、非黏性）和试验 #10（黏土、黏性）进行二维验证。两类材料的侵蚀形态不同：砂质材料主要表现为坡面均匀侵蚀，黏性材料出现深切侵蚀，而深度平均浅水模型不能完整描述这种 headcut 过程。</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spacing w:after="0"/>
            </w:pPr>
            <w:r/>
            <w:r>
              <w:rPr>
                <w:b/>
              </w:rPr>
              <w:t>参数</w:t>
            </w:r>
          </w:p>
        </w:tc>
        <w:tc>
          <w:tcPr>
            <w:tcW w:type="dxa" w:w="3135"/>
            <w:vAlign w:val="center"/>
            <w:shd w:fill="D9EAF7"/>
          </w:tcPr>
          <w:p>
            <w:pPr>
              <w:spacing w:after="0"/>
            </w:pPr>
            <w:r/>
            <w:r>
              <w:rPr>
                <w:b/>
              </w:rPr>
              <w:t>试验 #2</w:t>
            </w:r>
          </w:p>
        </w:tc>
        <w:tc>
          <w:tcPr>
            <w:tcW w:type="dxa" w:w="3135"/>
            <w:vAlign w:val="center"/>
            <w:shd w:fill="D9EAF7"/>
          </w:tcPr>
          <w:p>
            <w:pPr>
              <w:spacing w:after="0"/>
            </w:pPr>
            <w:r/>
            <w:r>
              <w:rPr>
                <w:b/>
              </w:rPr>
              <w:t>试验 #10</w:t>
            </w:r>
          </w:p>
        </w:tc>
      </w:tr>
      <w:tr>
        <w:tc>
          <w:tcPr>
            <w:tcW w:type="dxa" w:w="3135"/>
            <w:vAlign w:val="center"/>
          </w:tcPr>
          <w:p>
            <w:pPr>
              <w:spacing w:after="0"/>
            </w:pPr>
            <w:r/>
            <w:r>
              <w:rPr>
                <w:b w:val="0"/>
              </w:rPr>
              <w:t>材料</w:t>
            </w:r>
          </w:p>
        </w:tc>
        <w:tc>
          <w:tcPr>
            <w:tcW w:type="dxa" w:w="3135"/>
            <w:vAlign w:val="center"/>
          </w:tcPr>
          <w:p>
            <w:pPr>
              <w:spacing w:after="0"/>
            </w:pPr>
            <w:r/>
            <w:r>
              <w:rPr>
                <w:b w:val="0"/>
              </w:rPr>
              <w:t>砂</w:t>
            </w:r>
          </w:p>
        </w:tc>
        <w:tc>
          <w:tcPr>
            <w:tcW w:type="dxa" w:w="3135"/>
            <w:vAlign w:val="center"/>
          </w:tcPr>
          <w:p>
            <w:pPr>
              <w:spacing w:after="0"/>
            </w:pPr>
            <w:r/>
            <w:r>
              <w:rPr>
                <w:b w:val="0"/>
              </w:rPr>
              <w:t>黏土</w:t>
            </w:r>
          </w:p>
        </w:tc>
      </w:tr>
      <w:tr>
        <w:tc>
          <w:tcPr>
            <w:tcW w:type="dxa" w:w="3135"/>
            <w:vAlign w:val="center"/>
          </w:tcPr>
          <w:p>
            <w:pPr>
              <w:spacing w:after="0"/>
            </w:pPr>
            <w:r/>
            <w:r>
              <w:rPr>
                <w:b w:val="0"/>
              </w:rPr>
              <w:t>d50</w:t>
            </w:r>
          </w:p>
        </w:tc>
        <w:tc>
          <w:tcPr>
            <w:tcW w:type="dxa" w:w="3135"/>
            <w:vAlign w:val="center"/>
          </w:tcPr>
          <w:p>
            <w:pPr>
              <w:spacing w:after="0"/>
            </w:pPr>
            <w:r/>
            <w:r>
              <w:rPr>
                <w:b w:val="0"/>
              </w:rPr>
              <w:t>0.25 mm</w:t>
            </w:r>
          </w:p>
        </w:tc>
        <w:tc>
          <w:tcPr>
            <w:tcW w:type="dxa" w:w="3135"/>
            <w:vAlign w:val="center"/>
          </w:tcPr>
          <w:p>
            <w:pPr>
              <w:spacing w:after="0"/>
            </w:pPr>
            <w:r/>
            <w:r>
              <w:rPr>
                <w:b w:val="0"/>
              </w:rPr>
              <w:t>0.005 mm</w:t>
            </w:r>
          </w:p>
        </w:tc>
      </w:tr>
      <w:tr>
        <w:tc>
          <w:tcPr>
            <w:tcW w:type="dxa" w:w="3135"/>
            <w:vAlign w:val="center"/>
          </w:tcPr>
          <w:p>
            <w:pPr>
              <w:spacing w:after="0"/>
            </w:pPr>
            <w:r/>
            <w:r>
              <w:rPr>
                <w:b w:val="0"/>
              </w:rPr>
              <w:t>坝高</w:t>
            </w:r>
          </w:p>
        </w:tc>
        <w:tc>
          <w:tcPr>
            <w:tcW w:type="dxa" w:w="3135"/>
            <w:vAlign w:val="center"/>
          </w:tcPr>
          <w:p>
            <w:pPr>
              <w:spacing w:after="0"/>
            </w:pPr>
            <w:r/>
            <w:r>
              <w:rPr>
                <w:b w:val="0"/>
              </w:rPr>
              <w:t>0.50 m</w:t>
            </w:r>
          </w:p>
        </w:tc>
        <w:tc>
          <w:tcPr>
            <w:tcW w:type="dxa" w:w="3135"/>
            <w:vAlign w:val="center"/>
          </w:tcPr>
          <w:p>
            <w:pPr>
              <w:spacing w:after="0"/>
            </w:pPr>
            <w:r/>
            <w:r>
              <w:rPr>
                <w:b w:val="0"/>
              </w:rPr>
              <w:t>0.60 m</w:t>
            </w:r>
          </w:p>
        </w:tc>
      </w:tr>
      <w:tr>
        <w:tc>
          <w:tcPr>
            <w:tcW w:type="dxa" w:w="3135"/>
            <w:vAlign w:val="center"/>
          </w:tcPr>
          <w:p>
            <w:pPr>
              <w:spacing w:after="0"/>
            </w:pPr>
            <w:r/>
            <w:r>
              <w:rPr>
                <w:b w:val="0"/>
              </w:rPr>
              <w:t>坝顶宽</w:t>
            </w:r>
          </w:p>
        </w:tc>
        <w:tc>
          <w:tcPr>
            <w:tcW w:type="dxa" w:w="3135"/>
            <w:vAlign w:val="center"/>
          </w:tcPr>
          <w:p>
            <w:pPr>
              <w:spacing w:after="0"/>
            </w:pPr>
            <w:r/>
            <w:r>
              <w:rPr>
                <w:b w:val="0"/>
              </w:rPr>
              <w:t>0.20 m</w:t>
            </w:r>
          </w:p>
        </w:tc>
        <w:tc>
          <w:tcPr>
            <w:tcW w:type="dxa" w:w="3135"/>
            <w:vAlign w:val="center"/>
          </w:tcPr>
          <w:p>
            <w:pPr>
              <w:spacing w:after="0"/>
            </w:pPr>
            <w:r/>
            <w:r>
              <w:rPr>
                <w:b w:val="0"/>
              </w:rPr>
              <w:t>0.20 m</w:t>
            </w:r>
          </w:p>
        </w:tc>
      </w:tr>
      <w:tr>
        <w:tc>
          <w:tcPr>
            <w:tcW w:type="dxa" w:w="3135"/>
            <w:vAlign w:val="center"/>
          </w:tcPr>
          <w:p>
            <w:pPr>
              <w:spacing w:after="0"/>
            </w:pPr>
            <w:r/>
            <w:r>
              <w:rPr>
                <w:b w:val="0"/>
              </w:rPr>
              <w:t>导流槽宽</w:t>
            </w:r>
          </w:p>
        </w:tc>
        <w:tc>
          <w:tcPr>
            <w:tcW w:type="dxa" w:w="3135"/>
            <w:vAlign w:val="center"/>
          </w:tcPr>
          <w:p>
            <w:pPr>
              <w:spacing w:after="0"/>
            </w:pPr>
            <w:r/>
            <w:r>
              <w:rPr>
                <w:b w:val="0"/>
              </w:rPr>
              <w:t>0.15 m</w:t>
            </w:r>
          </w:p>
        </w:tc>
        <w:tc>
          <w:tcPr>
            <w:tcW w:type="dxa" w:w="3135"/>
            <w:vAlign w:val="center"/>
          </w:tcPr>
          <w:p>
            <w:pPr>
              <w:spacing w:after="0"/>
            </w:pPr>
            <w:r/>
            <w:r>
              <w:rPr>
                <w:b w:val="0"/>
              </w:rPr>
              <w:t>0.50 m</w:t>
            </w:r>
          </w:p>
        </w:tc>
      </w:tr>
      <w:tr>
        <w:tc>
          <w:tcPr>
            <w:tcW w:type="dxa" w:w="3135"/>
            <w:vAlign w:val="center"/>
          </w:tcPr>
          <w:p>
            <w:pPr>
              <w:spacing w:after="0"/>
            </w:pPr>
            <w:r/>
            <w:r>
              <w:rPr>
                <w:b w:val="0"/>
              </w:rPr>
              <w:t>网格</w:t>
            </w:r>
          </w:p>
        </w:tc>
        <w:tc>
          <w:tcPr>
            <w:tcW w:type="dxa" w:w="3135"/>
            <w:vAlign w:val="center"/>
          </w:tcPr>
          <w:p>
            <w:pPr>
              <w:spacing w:after="0"/>
            </w:pPr>
            <w:r/>
            <w:r>
              <w:rPr>
                <w:b w:val="0"/>
              </w:rPr>
              <w:t>0.05 m 方格</w:t>
            </w:r>
          </w:p>
        </w:tc>
        <w:tc>
          <w:tcPr>
            <w:tcW w:type="dxa" w:w="3135"/>
            <w:vAlign w:val="center"/>
          </w:tcPr>
          <w:p>
            <w:pPr>
              <w:spacing w:after="0"/>
            </w:pPr>
            <w:r/>
            <w:r>
              <w:rPr>
                <w:b w:val="0"/>
              </w:rPr>
              <w:t>0.05 m 方格</w:t>
            </w:r>
          </w:p>
        </w:tc>
      </w:tr>
    </w:tbl>
    <w:p/>
    <w:p>
      <w:r>
        <w:t>试验 #2 基准模拟采用 φc,wet = φdep = 30°、φc,dry = 45°，kd = 150 cm³·N⁻¹·s⁻¹，τc = 10⁻² Pa。试验 #10 基准模拟采用 p = 0.4、τc = 0.1 Pa、kd = 5 cm³·N⁻¹·s⁻¹、φc,wet = φdep = 30°、φc,dry = 45°。论文指出 φc,dry 对最终溃口宽度和峰值流量的影响比 φc,wet 更明显。</w:t>
      </w:r>
    </w:p>
    <w:p>
      <w:r>
        <w:rPr>
          <w:i/>
          <w:sz w:val="18"/>
        </w:rPr>
        <w:t>来源核对：论文印刷页 689–692；PDF页 16–19。</w:t>
      </w:r>
    </w:p>
    <w:p>
      <w:pPr>
        <w:pStyle w:val="Heading2"/>
      </w:pPr>
      <w:r>
        <w:t>3.3 侧向堤防溃口</w:t>
      </w:r>
    </w:p>
    <w:p>
      <w:r>
        <w:t>侧向溃口试验采用 3 m 高、6 m 坝顶宽、两侧 1V:2H 的砂质堤防，网格尺寸 0.5 m，ρs = 2650 kg/m³，p = 0.4。参数设为 τc = 0.5 Pa、kd = 80 cm³·N⁻¹·s⁻¹、φc,wet = φdep = 30°、φc,dry = 40°。</w:t>
      </w:r>
    </w:p>
    <w:p>
      <w:r>
        <w:t>论文发现，侧向溃口存在高速带、回流或滞水区以及不对称展宽。忽略沉积的侵蚀模型不能完整复现沉积区，但仍能较好预测总溃口宽度和出流峰值。</w:t>
      </w:r>
    </w:p>
    <w:p>
      <w:r>
        <w:rPr>
          <w:i/>
          <w:sz w:val="18"/>
        </w:rPr>
        <w:t>来源核对：论文印刷页 694–696；PDF页 25–29。</w:t>
      </w:r>
    </w:p>
    <w:p>
      <w:pPr>
        <w:pStyle w:val="Heading2"/>
      </w:pPr>
      <w:r>
        <w:t>3.4 恩扎河真实案例</w:t>
      </w:r>
    </w:p>
    <w:p>
      <w:r>
        <w:t>恩扎河案例用于检验真实场景适用性。论文模拟了多处相近溃口逐渐合并的过程，重点比较溃口位置、最终溃口宽度、出流过程和淹没范围。模型使用实测或转换得到的入流过程线，并通过糙率进行率定。</w:t>
      </w:r>
    </w:p>
    <w:p>
      <w:r>
        <w:t>该案例表明，模型适合大范围洪水风险模拟，但不能把合理的宏观出流结果解释为已经准确重建了三维溃口侵蚀机理。</w:t>
      </w:r>
    </w:p>
    <w:p>
      <w:r>
        <w:rPr>
          <w:i/>
          <w:sz w:val="18"/>
        </w:rPr>
        <w:t>来源核对：论文印刷页 696–698；PDF页 29–35。</w:t>
      </w:r>
    </w:p>
    <w:p>
      <w:pPr>
        <w:pStyle w:val="Heading1"/>
      </w:pPr>
      <w:r>
        <w:t>4. 对 TELEMAC-2D 非结构三角网格改造的约束</w:t>
      </w:r>
    </w:p>
    <w:p>
      <w:r>
        <w:t>本项目不直接照搬 Dazzi 的结构化网格索引，而是保留其“临界坡角—沉积坡角—等量反向修正—迭代稳定”的逻辑。</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pPr>
              <w:spacing w:after="0"/>
            </w:pPr>
            <w:r/>
            <w:r>
              <w:rPr>
                <w:b/>
              </w:rPr>
              <w:t>Dazzi 结构化网格</w:t>
            </w:r>
          </w:p>
        </w:tc>
        <w:tc>
          <w:tcPr>
            <w:tcW w:type="dxa" w:w="4703"/>
            <w:vAlign w:val="center"/>
            <w:shd w:fill="D9EAF7"/>
          </w:tcPr>
          <w:p>
            <w:pPr>
              <w:spacing w:after="0"/>
            </w:pPr>
            <w:r/>
            <w:r>
              <w:rPr>
                <w:b/>
              </w:rPr>
              <w:t>TELEMAC 三角网格改造</w:t>
            </w:r>
          </w:p>
        </w:tc>
      </w:tr>
      <w:tr>
        <w:tc>
          <w:tcPr>
            <w:tcW w:type="dxa" w:w="4703"/>
            <w:vAlign w:val="center"/>
          </w:tcPr>
          <w:p>
            <w:pPr>
              <w:spacing w:after="0"/>
            </w:pPr>
            <w:r/>
            <w:r>
              <w:rPr>
                <w:b w:val="0"/>
              </w:rPr>
              <w:t>四个方向邻居</w:t>
            </w:r>
          </w:p>
        </w:tc>
        <w:tc>
          <w:tcPr>
            <w:tcW w:type="dxa" w:w="4703"/>
            <w:vAlign w:val="center"/>
          </w:tcPr>
          <w:p>
            <w:pPr>
              <w:spacing w:after="0"/>
            </w:pPr>
            <w:r/>
            <w:r>
              <w:rPr>
                <w:b w:val="0"/>
              </w:rPr>
              <w:t>由 IKLE 建立共享边和三角形邻接</w:t>
            </w:r>
          </w:p>
        </w:tc>
      </w:tr>
      <w:tr>
        <w:tc>
          <w:tcPr>
            <w:tcW w:type="dxa" w:w="4703"/>
            <w:vAlign w:val="center"/>
          </w:tcPr>
          <w:p>
            <w:pPr>
              <w:spacing w:after="0"/>
            </w:pPr>
            <w:r/>
            <w:r>
              <w:rPr>
                <w:b w:val="0"/>
              </w:rPr>
              <w:t>网格间距 Δx、Δy</w:t>
            </w:r>
          </w:p>
        </w:tc>
        <w:tc>
          <w:tcPr>
            <w:tcW w:type="dxa" w:w="4703"/>
            <w:vAlign w:val="center"/>
          </w:tcPr>
          <w:p>
            <w:pPr>
              <w:spacing w:after="0"/>
            </w:pPr>
            <w:r/>
            <w:r>
              <w:rPr>
                <w:b w:val="0"/>
              </w:rPr>
              <w:t>共享边法向上的相邻三角形中心距离</w:t>
            </w:r>
          </w:p>
        </w:tc>
      </w:tr>
      <w:tr>
        <w:tc>
          <w:tcPr>
            <w:tcW w:type="dxa" w:w="4703"/>
            <w:vAlign w:val="center"/>
          </w:tcPr>
          <w:p>
            <w:pPr>
              <w:spacing w:after="0"/>
            </w:pPr>
            <w:r/>
            <w:r>
              <w:rPr>
                <w:b w:val="0"/>
              </w:rPr>
              <w:t>单元高程 zi,j</w:t>
            </w:r>
          </w:p>
        </w:tc>
        <w:tc>
          <w:tcPr>
            <w:tcW w:type="dxa" w:w="4703"/>
            <w:vAlign w:val="center"/>
          </w:tcPr>
          <w:p>
            <w:pPr>
              <w:spacing w:after="0"/>
            </w:pPr>
            <w:r/>
            <w:r>
              <w:rPr>
                <w:b w:val="0"/>
              </w:rPr>
              <w:t>三角形平均床面高程或节点对偶控制体高程</w:t>
            </w:r>
          </w:p>
        </w:tc>
      </w:tr>
      <w:tr>
        <w:tc>
          <w:tcPr>
            <w:tcW w:type="dxa" w:w="4703"/>
            <w:vAlign w:val="center"/>
          </w:tcPr>
          <w:p>
            <w:pPr>
              <w:spacing w:after="0"/>
            </w:pPr>
            <w:r/>
            <w:r>
              <w:rPr>
                <w:b w:val="0"/>
              </w:rPr>
              <w:t>单元水面上下分类</w:t>
            </w:r>
          </w:p>
        </w:tc>
        <w:tc>
          <w:tcPr>
            <w:tcW w:type="dxa" w:w="4703"/>
            <w:vAlign w:val="center"/>
          </w:tcPr>
          <w:p>
            <w:pPr>
              <w:spacing w:after="0"/>
            </w:pPr>
            <w:r/>
            <w:r>
              <w:rPr>
                <w:b w:val="0"/>
              </w:rPr>
              <w:t>由三角形湿润面积比例或重构水深判断</w:t>
            </w:r>
          </w:p>
        </w:tc>
      </w:tr>
      <w:tr>
        <w:tc>
          <w:tcPr>
            <w:tcW w:type="dxa" w:w="4703"/>
            <w:vAlign w:val="center"/>
          </w:tcPr>
          <w:p>
            <w:pPr>
              <w:spacing w:after="0"/>
            </w:pPr>
            <w:r/>
            <w:r>
              <w:rPr>
                <w:b w:val="0"/>
              </w:rPr>
              <w:t>邻居等量反向修正</w:t>
            </w:r>
          </w:p>
        </w:tc>
        <w:tc>
          <w:tcPr>
            <w:tcW w:type="dxa" w:w="4703"/>
            <w:vAlign w:val="center"/>
          </w:tcPr>
          <w:p>
            <w:pPr>
              <w:spacing w:after="0"/>
            </w:pPr>
            <w:r/>
            <w:r>
              <w:rPr>
                <w:b w:val="0"/>
              </w:rPr>
              <w:t>按节点对偶面积或三角形控制面积分配体积</w:t>
            </w:r>
          </w:p>
        </w:tc>
      </w:tr>
      <w:tr>
        <w:tc>
          <w:tcPr>
            <w:tcW w:type="dxa" w:w="4703"/>
            <w:vAlign w:val="center"/>
          </w:tcPr>
          <w:p>
            <w:pPr>
              <w:spacing w:after="0"/>
            </w:pPr>
            <w:r/>
            <w:r>
              <w:rPr>
                <w:b w:val="0"/>
              </w:rPr>
              <w:t>递归稳定</w:t>
            </w:r>
          </w:p>
        </w:tc>
        <w:tc>
          <w:tcPr>
            <w:tcW w:type="dxa" w:w="4703"/>
            <w:vAlign w:val="center"/>
          </w:tcPr>
          <w:p>
            <w:pPr>
              <w:spacing w:after="0"/>
            </w:pPr>
            <w:r/>
            <w:r>
              <w:rPr>
                <w:b w:val="0"/>
              </w:rPr>
              <w:t>按确定性边顺序迭代至最大超坡度低于容差</w:t>
            </w:r>
          </w:p>
        </w:tc>
      </w:tr>
    </w:tbl>
    <w:p/>
    <w:p>
      <w:pPr>
        <w:pStyle w:val="Heading2"/>
      </w:pPr>
      <w:r>
        <w:t>4.1 推荐的三角网格离散方式</w:t>
      </w:r>
    </w:p>
    <w:p>
      <w:pPr>
        <w:pStyle w:val="ListNumber"/>
      </w:pPr>
      <w:r>
        <w:t>从 IKLE 生成 edge_to_cells、cell_neighbors、node_cells 和边界边列表。</w:t>
      </w:r>
    </w:p>
    <w:p>
      <w:pPr>
        <w:pStyle w:val="ListNumber"/>
      </w:pPr>
      <w:r>
        <w:t>计算三角形面积、中心、共享边长度以及相邻中心的法向距离。</w:t>
      </w:r>
    </w:p>
    <w:p>
      <w:pPr>
        <w:pStyle w:val="ListNumber"/>
      </w:pPr>
      <w:r>
        <w:t>为节点计算对偶控制面积 A*i，使节点高程变化可以转换为体积变化。</w:t>
      </w:r>
    </w:p>
    <w:p>
      <w:pPr>
        <w:pStyle w:val="ListNumber"/>
      </w:pPr>
      <w:r>
        <w:t>对每个三角形计算水深重构和湿润面积比例，分别选择 φc,dry 或 φc,wet。</w:t>
      </w:r>
    </w:p>
    <w:p>
      <w:pPr>
        <w:pStyle w:val="ListNumber"/>
      </w:pPr>
      <w:r>
        <w:t>对共享边计算坡度；超过临界坡角时，将坡度调整到 φdep。</w:t>
      </w:r>
    </w:p>
    <w:p>
      <w:pPr>
        <w:pStyle w:val="ListNumber"/>
      </w:pPr>
      <w:r>
        <w:t>对每个边修正保存 donor、receiver、ΔV、固体质量和干湿状态。</w:t>
      </w:r>
    </w:p>
    <w:p>
      <w:pPr>
        <w:pStyle w:val="ListNumber"/>
      </w:pPr>
      <w:r>
        <w:t>完成一轮后重新计算坡度，迭代至稳定或达到最大迭代次数。</w:t>
      </w:r>
    </w:p>
    <w:p>
      <w:pPr>
        <w:pStyle w:val="Heading2"/>
      </w:pPr>
      <w:r>
        <w:t>4.2 守恒账本</w:t>
      </w:r>
    </w:p>
    <w:p>
      <w:r>
        <w:t>边坡失稳转移必须同时记录几何体积和固体质量：</w:t>
      </w:r>
    </w:p>
    <w:p>
      <w:r>
        <w:t>Vfail = Vdeposit + Voutflow + Vinventory</w:t>
      </w:r>
    </w:p>
    <w:p>
      <w:r>
        <w:t>Msolid = ρs(1−p)V</w:t>
      </w:r>
    </w:p>
    <w:p>
      <w:r>
        <w:t>Mfail = Mdeposit + Moutflow + Minventory</w:t>
      </w:r>
    </w:p>
    <w:p>
      <w:r>
        <w:t>Dazzi 的原始侵蚀模块通过保持侵蚀前水深来保持水量；本项目保留这一水量处理作为水动力审计项，但把坡面坍塌和坡脚沉积产生的土体转移单独纳入固体质量账本。</w:t>
      </w:r>
    </w:p>
    <w:p>
      <w:pPr>
        <w:pStyle w:val="Heading1"/>
      </w:pPr>
      <w:r>
        <w:t>5. 与当前项目的关系</w:t>
      </w:r>
    </w:p>
    <w:p>
      <w:r>
        <w:t>当前项目中的 user_condin_h.f 主要实现初始水深、初始速度和节点式超量剪应力侵蚀；现有代码没有 Dazzi 式干湿临界角、独立沉积角、相邻单元坍塌转移和迭代稳定过程。</w:t>
      </w:r>
    </w:p>
    <w:p>
      <w:pPr>
        <w:pStyle w:val="ListBullet"/>
      </w:pPr>
      <w:r>
        <w:t>现有局部 B1 案例继续作为垂向侵蚀基线。</w:t>
      </w:r>
    </w:p>
    <w:p>
      <w:pPr>
        <w:pStyle w:val="ListBullet"/>
      </w:pPr>
      <w:r>
        <w:t>Dazzi 非结构网格改造放在独立目录中，首版不覆盖已有 Fortran、几何和结果文件。</w:t>
      </w:r>
    </w:p>
    <w:p>
      <w:pPr>
        <w:pStyle w:val="ListBullet"/>
      </w:pPr>
      <w:r>
        <w:t>首版采用 Python 单向耦合，TELEMAC-2D 提供每个时间窗口的 H、U、V 和 BOTTOM。</w:t>
      </w:r>
    </w:p>
    <w:p>
      <w:pPr>
        <w:pStyle w:val="ListBullet"/>
      </w:pPr>
      <w:r>
        <w:t>固定实测 Q(t) 仍作为水动力输入；动态溃口流量计算另设后续案例。</w:t>
      </w:r>
    </w:p>
    <w:p>
      <w:pPr>
        <w:pStyle w:val="Heading1"/>
      </w:pPr>
      <w:r>
        <w:t>6. 独立实现目录和后续文件</w:t>
      </w:r>
    </w:p>
    <w:p>
      <w:r>
        <w:t>本文件所在目录为：</w:t>
      </w:r>
    </w:p>
    <w:p>
      <w:r>
        <w:t>目前方案与已有资料/边坡失稳独立实现/Dazzi_非结构三角网格耦合/</w:t>
      </w:r>
    </w:p>
    <w:p>
      <w:r>
        <w:t>后续代码文件职责如下：</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pPr>
              <w:spacing w:after="0"/>
            </w:pPr>
            <w:r/>
            <w:r>
              <w:rPr>
                <w:b/>
              </w:rPr>
              <w:t>文件</w:t>
            </w:r>
          </w:p>
        </w:tc>
        <w:tc>
          <w:tcPr>
            <w:tcW w:type="dxa" w:w="4703"/>
            <w:vAlign w:val="center"/>
            <w:shd w:fill="D9EAF7"/>
          </w:tcPr>
          <w:p>
            <w:pPr>
              <w:spacing w:after="0"/>
            </w:pPr>
            <w:r/>
            <w:r>
              <w:rPr>
                <w:b/>
              </w:rPr>
              <w:t>职责</w:t>
            </w:r>
          </w:p>
        </w:tc>
      </w:tr>
      <w:tr>
        <w:tc>
          <w:tcPr>
            <w:tcW w:type="dxa" w:w="4703"/>
            <w:vAlign w:val="center"/>
          </w:tcPr>
          <w:p>
            <w:pPr>
              <w:spacing w:after="0"/>
            </w:pPr>
            <w:r/>
            <w:r>
              <w:rPr>
                <w:b w:val="0"/>
              </w:rPr>
              <w:t>src/mesh_topology.py</w:t>
            </w:r>
          </w:p>
        </w:tc>
        <w:tc>
          <w:tcPr>
            <w:tcW w:type="dxa" w:w="4703"/>
            <w:vAlign w:val="center"/>
          </w:tcPr>
          <w:p>
            <w:pPr>
              <w:spacing w:after="0"/>
            </w:pPr>
            <w:r/>
            <w:r>
              <w:rPr>
                <w:b w:val="0"/>
              </w:rPr>
              <w:t>IKLE、共享边、三角形邻接、对偶面积和边界拓扑</w:t>
            </w:r>
          </w:p>
        </w:tc>
      </w:tr>
      <w:tr>
        <w:tc>
          <w:tcPr>
            <w:tcW w:type="dxa" w:w="4703"/>
            <w:vAlign w:val="center"/>
          </w:tcPr>
          <w:p>
            <w:pPr>
              <w:spacing w:after="0"/>
            </w:pPr>
            <w:r/>
            <w:r>
              <w:rPr>
                <w:b w:val="0"/>
              </w:rPr>
              <w:t>src/selafin_io.py</w:t>
            </w:r>
          </w:p>
        </w:tc>
        <w:tc>
          <w:tcPr>
            <w:tcW w:type="dxa" w:w="4703"/>
            <w:vAlign w:val="center"/>
          </w:tcPr>
          <w:p>
            <w:pPr>
              <w:spacing w:after="0"/>
            </w:pPr>
            <w:r/>
            <w:r>
              <w:rPr>
                <w:b w:val="0"/>
              </w:rPr>
              <w:t>读取 TELEMAC 结果并写出更新后的几何文件</w:t>
            </w:r>
          </w:p>
        </w:tc>
      </w:tr>
      <w:tr>
        <w:tc>
          <w:tcPr>
            <w:tcW w:type="dxa" w:w="4703"/>
            <w:vAlign w:val="center"/>
          </w:tcPr>
          <w:p>
            <w:pPr>
              <w:spacing w:after="0"/>
            </w:pPr>
            <w:r/>
            <w:r>
              <w:rPr>
                <w:b w:val="0"/>
              </w:rPr>
              <w:t>src/slope_stability.py</w:t>
            </w:r>
          </w:p>
        </w:tc>
        <w:tc>
          <w:tcPr>
            <w:tcW w:type="dxa" w:w="4703"/>
            <w:vAlign w:val="center"/>
          </w:tcPr>
          <w:p>
            <w:pPr>
              <w:spacing w:after="0"/>
            </w:pPr>
            <w:r/>
            <w:r>
              <w:rPr>
                <w:b w:val="0"/>
              </w:rPr>
              <w:t>干湿状态、φc,dry、φc,wet、局部坡度和稳定判定</w:t>
            </w:r>
          </w:p>
        </w:tc>
      </w:tr>
      <w:tr>
        <w:tc>
          <w:tcPr>
            <w:tcW w:type="dxa" w:w="4703"/>
            <w:vAlign w:val="center"/>
          </w:tcPr>
          <w:p>
            <w:pPr>
              <w:spacing w:after="0"/>
            </w:pPr>
            <w:r/>
            <w:r>
              <w:rPr>
                <w:b w:val="0"/>
              </w:rPr>
              <w:t>src/failure_transfer.py</w:t>
            </w:r>
          </w:p>
        </w:tc>
        <w:tc>
          <w:tcPr>
            <w:tcW w:type="dxa" w:w="4703"/>
            <w:vAlign w:val="center"/>
          </w:tcPr>
          <w:p>
            <w:pPr>
              <w:spacing w:after="0"/>
            </w:pPr>
            <w:r/>
            <w:r>
              <w:rPr>
                <w:b w:val="0"/>
              </w:rPr>
              <w:t>按 φdep 进行边坡修正、坍塌体积和沉积分配</w:t>
            </w:r>
          </w:p>
        </w:tc>
      </w:tr>
      <w:tr>
        <w:tc>
          <w:tcPr>
            <w:tcW w:type="dxa" w:w="4703"/>
            <w:vAlign w:val="center"/>
          </w:tcPr>
          <w:p>
            <w:pPr>
              <w:spacing w:after="0"/>
            </w:pPr>
            <w:r/>
            <w:r>
              <w:rPr>
                <w:b w:val="0"/>
              </w:rPr>
              <w:t>src/mass_balance.py</w:t>
            </w:r>
          </w:p>
        </w:tc>
        <w:tc>
          <w:tcPr>
            <w:tcW w:type="dxa" w:w="4703"/>
            <w:vAlign w:val="center"/>
          </w:tcPr>
          <w:p>
            <w:pPr>
              <w:spacing w:after="0"/>
            </w:pPr>
            <w:r/>
            <w:r>
              <w:rPr>
                <w:b w:val="0"/>
              </w:rPr>
              <w:t>体积、固体质量、库存和出域量审计</w:t>
            </w:r>
          </w:p>
        </w:tc>
      </w:tr>
      <w:tr>
        <w:tc>
          <w:tcPr>
            <w:tcW w:type="dxa" w:w="4703"/>
            <w:vAlign w:val="center"/>
          </w:tcPr>
          <w:p>
            <w:pPr>
              <w:spacing w:after="0"/>
            </w:pPr>
            <w:r/>
            <w:r>
              <w:rPr>
                <w:b w:val="0"/>
              </w:rPr>
              <w:t>scripts/run_oneway_coupling.py</w:t>
            </w:r>
          </w:p>
        </w:tc>
        <w:tc>
          <w:tcPr>
            <w:tcW w:type="dxa" w:w="4703"/>
            <w:vAlign w:val="center"/>
          </w:tcPr>
          <w:p>
            <w:pPr>
              <w:spacing w:after="0"/>
            </w:pPr>
            <w:r/>
            <w:r>
              <w:rPr>
                <w:b w:val="0"/>
              </w:rPr>
              <w:t>分窗口运行 TELEMAC-2D 和 Python 坍塌模块</w:t>
            </w:r>
          </w:p>
        </w:tc>
      </w:tr>
      <w:tr>
        <w:tc>
          <w:tcPr>
            <w:tcW w:type="dxa" w:w="4703"/>
            <w:vAlign w:val="center"/>
          </w:tcPr>
          <w:p>
            <w:pPr>
              <w:spacing w:after="0"/>
            </w:pPr>
            <w:r/>
            <w:r>
              <w:rPr>
                <w:b w:val="0"/>
              </w:rPr>
              <w:t>tests/test_dry_wet_angle.py</w:t>
            </w:r>
          </w:p>
        </w:tc>
        <w:tc>
          <w:tcPr>
            <w:tcW w:type="dxa" w:w="4703"/>
            <w:vAlign w:val="center"/>
          </w:tcPr>
          <w:p>
            <w:pPr>
              <w:spacing w:after="0"/>
            </w:pPr>
            <w:r/>
            <w:r>
              <w:rPr>
                <w:b w:val="0"/>
              </w:rPr>
              <w:t>干态、湿态和干湿交界测试</w:t>
            </w:r>
          </w:p>
        </w:tc>
      </w:tr>
    </w:tbl>
    <w:p/>
    <w:p>
      <w:pPr>
        <w:pStyle w:val="Heading1"/>
      </w:pPr>
      <w:r>
        <w:t>7. 论文明确的适用边界</w:t>
      </w:r>
    </w:p>
    <w:p>
      <w:pPr>
        <w:pStyle w:val="ListBullet"/>
      </w:pPr>
      <w:r>
        <w:t>深度平均浅水方程不能描述三维垂向加速度、流线曲率和悬臂式坍塌。</w:t>
      </w:r>
    </w:p>
    <w:p>
      <w:pPr>
        <w:pStyle w:val="ListBullet"/>
      </w:pPr>
      <w:r>
        <w:t>黏性材料的 headcut 侵蚀不能由该二维模型完整恢复。</w:t>
      </w:r>
    </w:p>
    <w:p>
      <w:pPr>
        <w:pStyle w:val="ListBullet"/>
      </w:pPr>
      <w:r>
        <w:t>论文主侵蚀模型不模拟沉积，因此小尺度非黏性试验中的坡脚形态可能偏差较大。</w:t>
      </w:r>
    </w:p>
    <w:p>
      <w:pPr>
        <w:pStyle w:val="ListBullet"/>
      </w:pPr>
      <w:r>
        <w:t>草皮、入渗、泥沙浓度和材料空间非均质性没有在基础模型中完整处理。</w:t>
      </w:r>
    </w:p>
    <w:p>
      <w:pPr>
        <w:pStyle w:val="ListBullet"/>
      </w:pPr>
      <w:r>
        <w:t>参数必须进行敏感性分析；实验案例参数不能直接作为团洲垸参数。</w:t>
      </w:r>
    </w:p>
    <w:p>
      <w:r>
        <w:rPr>
          <w:i/>
          <w:sz w:val="18"/>
        </w:rPr>
        <w:t>来源核对：论文印刷页 698–699；PDF页 37–39。</w:t>
      </w:r>
    </w:p>
    <w:p>
      <w:pPr>
        <w:pStyle w:val="Heading1"/>
      </w:pPr>
      <w:r>
        <w:t>8. 实施顺序和验收标准</w:t>
      </w:r>
    </w:p>
    <w:p>
      <w:pPr>
        <w:pStyle w:val="ListNumber"/>
      </w:pPr>
      <w:r>
        <w:t>先完成 PDF 方法文档和参数表，确认 φc,dry、φc,wet、φdep 三个参数始终分开。</w:t>
      </w:r>
    </w:p>
    <w:p>
      <w:pPr>
        <w:pStyle w:val="ListNumber"/>
      </w:pPr>
      <w:r>
        <w:t>在单个三角形、规则三角形坡面和人工干湿界面上验证拓扑与边坡修正。</w:t>
      </w:r>
    </w:p>
    <w:p>
      <w:pPr>
        <w:pStyle w:val="ListNumber"/>
      </w:pPr>
      <w:r>
        <w:t>验证每条边修正的体积守恒、固体质量守恒和迭代终止条件。</w:t>
      </w:r>
    </w:p>
    <w:p>
      <w:pPr>
        <w:pStyle w:val="ListNumber"/>
      </w:pPr>
      <w:r>
        <w:t>使用固定床 TELEMAC-2D 案例确认水动力接口，再接入局部 B1 案例。</w:t>
      </w:r>
    </w:p>
    <w:p>
      <w:pPr>
        <w:pStyle w:val="ListNumber"/>
      </w:pPr>
      <w:r>
        <w:t>最后接入团洲垸全域固定 Q(t) 案例，并单独比较溃口宽度、底高程、水位、流速和质量账本。</w:t>
      </w:r>
    </w:p>
    <w:p>
      <w:r>
        <w:t>验收时必须分别报告：水量误差、土体体积残差、固体质量残差、最大坡度超限、最低床面高程和 Q(t) 输入一致性。未经这些检查，不将算法称为已实现或已验证。</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Dazzi 方法理解与 TELEMAC-2D 非结构三角网格改造约束</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