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40"/>
        <w:jc w:val="center"/>
      </w:pPr>
      <w:r>
        <w:rPr>
          <w:b/>
          <w:bCs/>
          <w:color w:val="1B4F72"/>
          <w:sz w:val="52"/>
          <w:szCs w:val="52"/>
        </w:rPr>
        <w:t xml:space="preserve">BIOGATE</w:t>
      </w:r>
    </w:p>
    <w:p>
      <w:pPr>
        <w:spacing w:after="40"/>
        <w:jc w:val="center"/>
      </w:pPr>
      <w:r>
        <w:rPr>
          <w:color w:val="2C3E50"/>
          <w:sz w:val="36"/>
          <w:szCs w:val="36"/>
        </w:rPr>
        <w:t xml:space="preserve">180-Day Execution Timeline</w:t>
      </w:r>
    </w:p>
    <w:p>
      <w:pPr>
        <w:spacing w:after="40"/>
        <w:jc w:val="center"/>
      </w:pPr>
      <w:r>
        <w:rPr>
          <w:i/>
          <w:iCs/>
          <w:color w:val="666666"/>
          <w:sz w:val="24"/>
          <w:szCs w:val="24"/>
        </w:rPr>
        <w:t xml:space="preserve">Amendment v1.1 — Multi-Format Ingestion &amp; Platform Expansion</w:t>
      </w:r>
    </w:p>
    <w:p>
      <w:pPr>
        <w:spacing w:after="600"/>
        <w:jc w:val="center"/>
      </w:pPr>
      <w:r>
        <w:rPr>
          <w:color w:val="999999"/>
          <w:sz w:val="20"/>
          <w:szCs w:val="20"/>
        </w:rPr>
        <w:t xml:space="preserve">Version 1.1  |  Confidential  |  March 2026</w:t>
      </w:r>
    </w:p>
    <w:p>
      <w:pPr>
        <w:pStyle w:val="Heading1"/>
      </w:pPr>
      <w:r>
        <w:t xml:space="preserve">Amendment Summary</w:t>
      </w:r>
    </w:p>
    <w:p>
      <w:pPr>
        <w:spacing w:after="120"/>
      </w:pPr>
      <w:r>
        <w:t xml:space="preserve">This document amends the BioGate 180-Day Execution Timeline v1.0. It reflects two architectural changes made after completing Week 5 of technical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20"/>
              <w:left w:type="dxa" w:w="200"/>
              <w:bottom w:type="dxa" w:w="120"/>
              <w:right w:type="dxa" w:w="200"/>
            </w:tcMar>
          </w:tcPr>
          <w:p>
            <w:pPr>
              <w:spacing w:after="80"/>
            </w:pPr>
            <w:r>
              <w:rPr>
                <w:b/>
                <w:bCs/>
              </w:rPr>
              <w:t xml:space="preserve">Change 1: Universal Document Ingestion (Immediate)</w:t>
            </w:r>
          </w:p>
          <w:p>
            <w:pPr>
              <w:spacing w:after="80"/>
            </w:pPr>
            <w:r>
              <w:t xml:space="preserve">BioGate now accepts any vendor documentation format — CSV, Excel, PDF (text and scanned), images (invoices, packing slips, labels), email attachments, and Word documents. The ingestion engine uses Claude’s vision API for OCR + extraction in a single pass. This replaces the CSV-only upload path and is the highest-impact improvement for customer adoption.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20"/>
              <w:left w:type="dxa" w:w="200"/>
              <w:bottom w:type="dxa" w:w="120"/>
              <w:right w:type="dxa" w:w="200"/>
            </w:tcMar>
          </w:tcPr>
          <w:p>
            <w:pPr>
              <w:spacing w:after="80"/>
            </w:pPr>
            <w:r>
              <w:rPr>
                <w:b/>
                <w:bCs/>
              </w:rPr>
              <w:t xml:space="preserve">Change 2: Multi-Regulation Platform Vision (Long-Term)</w:t>
            </w:r>
          </w:p>
          <w:p>
            <w:pPr>
              <w:spacing w:after="80"/>
            </w:pPr>
            <w:r>
              <w:t xml:space="preserve">BioGate’s architecture is now explicitly designed as a multi-regulation compliance engine. BIOSECURE is the beachhead; the platform will expand to FDA CDS transparency, QMSR/ISO 13485, DURC oversight, and export controls. Eventually, the same primitives extend to adjacent regulated industries (defense, pharma manufacturing, medical devices). This is a long-term architectural direction — no immediate timeline changes needed beyond ensuring the core infrastructure is built regulation-agnostic.</w:t>
            </w:r>
          </w:p>
        </w:tc>
      </w:tr>
    </w:tbl>
    <w:p>
      <w:pPr>
        <w:pStyle w:val="Heading1"/>
      </w:pPr>
      <w:r>
        <w:t xml:space="preserve">Impact on Existing Timeline</w:t>
      </w:r>
    </w:p>
    <w:p>
      <w:pPr>
        <w:pStyle w:val="Heading2"/>
      </w:pPr>
      <w:r>
        <w:t xml:space="preserve">Phases 0–1 (Weeks 1–5): No Changes</w:t>
      </w:r>
    </w:p>
    <w:p>
      <w:pPr>
        <w:spacing w:after="120"/>
      </w:pPr>
      <w:r>
        <w:t xml:space="preserve">All Phase 0 and Phase 1 work is complete. The watchlist ingestion pipeline, fuzzy matching engine, Claude API normalization, parent company resolution, and CLI audit runner are all built and working. These remain unchanged.</w:t>
      </w:r>
    </w:p>
    <w:p>
      <w:pPr>
        <w:pStyle w:val="Heading2"/>
      </w:pPr>
      <w:r>
        <w:t xml:space="preserve">Phase 2 (Weeks 6–7): Modified — Add Multi-Format Ingestion</w:t>
      </w:r>
    </w:p>
    <w:p>
      <w:pPr>
        <w:spacing w:after="120"/>
      </w:pPr>
      <w:r>
        <w:t xml:space="preserve">Week 6 now includes multi-format document processing alongside the Compliance Certificate build. This is the critical change. The ingestion pipeline must accept PDF, image, Excel, and email inputs before the web dashboard goes live in Phase 3. Building it now means every customer demo from Week 8 onward shows the full capability.</w:t>
      </w:r>
    </w:p>
    <w:p>
      <w:pPr>
        <w:pStyle w:val="Heading2"/>
      </w:pPr>
      <w:r>
        <w:t xml:space="preserve">WEEK 6 (Revised) — Days 36–42</w:t>
      </w:r>
    </w:p>
    <w:p>
      <w:pPr>
        <w:spacing w:after="120"/>
      </w:pPr>
      <w:r>
        <w:t xml:space="preserve">Week 6 now has two parallel tracks: multi-format ingestion AND Compliance Certificate generation. This is an aggressive week — prioritize ingestion if you must choose, since the certificate can extend into Week 7.</w:t>
      </w:r>
    </w:p>
    <w:p>
      <w:pPr>
        <w:spacing w:before="120" w:after="80"/>
      </w:pPr>
      <w:r>
        <w:rPr>
          <w:b/>
          <w:bCs/>
        </w:rPr>
        <w:t xml:space="preserve">MULTI-FORMAT INGESTION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 python-magic for MIME type detection. Build media type router: detect input format and dispatch to correct extraction handler (csv_parser, excel_parser, pdf_text, pdf_vision, image_vision, email_parser, docx_parser)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PDF text extraction handler using pdfplumber: extract text + tables from text-based PDFs, pass to Claude API for structured vendor record extraction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PDF/image vision handler using Claude Vision API: for scanned PDFs and images (invoices, packing slips, labels), send image to Claude vision with structured extraction prompt. Single-pass OCR + extraction.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Excel handler using openpyxl: detect header row, extract vendor data with column mapping heuristics similar to CSV parser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email handler: parse .eml/.msg files, extract body text + attachments. Each attachment re-routes through the ingestion pipeline recursively.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extraction_confidence scoring (0–1.0) to every vendor record. Records below 0.7 flagged for human review. Add document_uploads table to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CLI runner: python run_audit.py --input [any_file] auto-detects format and routes to correct handler. Test with PDF purchase order, photo of invoice, Excel spreadsheet, and CSV.</w:t>
            </w:r>
          </w:p>
        </w:tc>
      </w:tr>
    </w:tbl>
    <w:p>
      <w:pPr>
        <w:spacing w:before="200" w:after="80"/>
      </w:pPr>
      <w:r>
        <w:rPr>
          <w:b/>
          <w:bCs/>
        </w:rPr>
        <w:t xml:space="preserve">COMPLIANCE CERTIFICATE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Compliance Certificate PDF generator using WeasyPrint: takes JSON risk report, outputs professional PDF with BioGate letterhead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includes: audit date, org name, watchlist sources + version dates, full vendor table with tiers and evidence citations, attestation statement, digital signature block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digital signing: sign PDF hash with BioGate’s private key, include verification QR code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public verification endpoint: GET /verify/{certificate_id} returns JSON confirming certificate authenticity</w:t>
            </w:r>
          </w:p>
        </w:tc>
      </w:tr>
    </w:tbl>
    <w:p>
      <w:pPr>
        <w:spacing w:before="200" w:after="80"/>
      </w:pPr>
      <w:r>
        <w:rPr>
          <w:b/>
          <w:bCs/>
        </w:rPr>
        <w:t xml:space="preserve">BUSINESS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 first paid pilot: target $500–1,000. Do not negotiate below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Write 1-page BIOSECURE explainer. Post on LinkedIn. First content marketing.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3-minute investor pitch: problem, solution, traction (even early traction counts).</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18"/>
                <w:szCs w:val="18"/>
              </w:rPr>
              <w:t xml:space="preserve">★ WIN</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accepts PDF, image, Excel, and CSV inputs end-to-end. Compliance Certificate PDF generated and digitally signed.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E74C3C" w:val="clear"/>
            <w:tcMar>
              <w:top w:type="dxa" w:w="80"/>
              <w:left w:type="dxa" w:w="120"/>
              <w:bottom w:type="dxa" w:w="80"/>
              <w:right w:type="dxa" w:w="120"/>
            </w:tcMar>
          </w:tcPr>
          <w:p>
            <w:r>
              <w:rPr>
                <w:rFonts w:ascii="Arial" w:cs="Arial" w:eastAsia="Arial" w:hAnsi="Arial"/>
                <w:b/>
                <w:bCs/>
                <w:color w:val="FFFFFF"/>
                <w:sz w:val="18"/>
                <w:szCs w:val="18"/>
              </w:rPr>
              <w:t xml:space="preserve">⚠ RISK</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an aggressive week with two parallel tracks. If running behind, prioritize the ingestion pipeline — the Certificate can extend into early Week 7. Multi-format ingestion is the bigger differentiator in demos.</w:t>
            </w:r>
          </w:p>
        </w:tc>
      </w:tr>
    </w:tbl>
    <w:p>
      <w:pPr>
        <w:spacing w:before="120" w:after="80"/>
      </w:pPr>
      <w:r>
        <w:rPr>
          <w:b/>
          <w:bCs/>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20"/>
              <w:left w:type="dxa" w:w="200"/>
              <w:bottom w:type="dxa" w:w="120"/>
              <w:right w:type="dxa" w:w="200"/>
            </w:tcMar>
          </w:tcPr>
          <w:p>
            <w:pPr>
              <w:spacing w:after="80"/>
            </w:pPr>
            <w:r>
              <w:t xml:space="preserve">□ python run_audit.py --input invoice.pdf produces correct vendor records</w:t>
            </w:r>
          </w:p>
          <w:p>
            <w:pPr>
              <w:spacing w:after="80"/>
            </w:pPr>
            <w:r>
              <w:t xml:space="preserve">□ python run_audit.py --input photo.jpg extracts vendor data via Claude vision</w:t>
            </w:r>
          </w:p>
          <w:p>
            <w:pPr>
              <w:spacing w:after="80"/>
            </w:pPr>
            <w:r>
              <w:t xml:space="preserve">□ python run_audit.py --input vendors.xlsx processes Excel correctly</w:t>
            </w:r>
          </w:p>
          <w:p>
            <w:pPr>
              <w:spacing w:after="80"/>
            </w:pPr>
            <w:r>
              <w:t xml:space="preserve">□ extraction_confidence scores populated for all records</w:t>
            </w:r>
          </w:p>
          <w:p>
            <w:pPr>
              <w:spacing w:after="80"/>
            </w:pPr>
            <w:r>
              <w:t xml:space="preserve">□ document_uploads table populated with file metadata and extraction method</w:t>
            </w:r>
          </w:p>
          <w:p>
            <w:pPr>
              <w:spacing w:after="80"/>
            </w:pPr>
            <w:r>
              <w:t xml:space="preserve">□ Certificate PDF opens correctly in Adobe Reader with QR code</w:t>
            </w:r>
          </w:p>
          <w:p>
            <w:pPr>
              <w:spacing w:after="80"/>
            </w:pPr>
            <w:r>
              <w:t xml:space="preserve">□ Verification endpoint returns correct JSON</w:t>
            </w:r>
          </w:p>
          <w:p>
            <w:pPr>
              <w:spacing w:after="80"/>
            </w:pPr>
            <w:r>
              <w:t xml:space="preserve">□ First paid pilot invoice sent</w:t>
            </w:r>
          </w:p>
        </w:tc>
      </w:tr>
    </w:tbl>
    <w:p>
      <w:r>
        <w:br w:type="page"/>
      </w:r>
    </w:p>
    <w:p>
      <w:pPr>
        <w:pStyle w:val="Heading2"/>
      </w:pPr>
      <w:r>
        <w:t xml:space="preserve">WEEK 7 (Revised) — Days 43–49</w:t>
      </w:r>
    </w:p>
    <w:p>
      <w:pPr>
        <w:spacing w:after="120"/>
      </w:pPr>
      <w:r>
        <w:t xml:space="preserve">Week 7 is delivery week. Focus on getting paid audits out the door using the full multi-format pipeline. Any Certificate bugs that spilled from Week 6 get fixed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Finish any remaining Certificate work from Week 6 (if needed). Test certificate rendering with 10, 100, and 500-vendor lists.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 first paid pilot certificates: run 2–3 paid audits end-to-end. Accept whatever format the customer provides — this is the first real test of multi-format ingestion on live customer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every rendering, formatting, extraction, or content bug found during real customer 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Certificate Summary section: 3–4 plain-English sentences summarizing total vendors, flags per tier, input formats processed, and overall compliance posture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document preview in audit results: for each uploaded file, show what was extracted with confidence scores. This is critical for customer trust — they need to verify BioGate read their documents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TECH</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email delivery: when audit completes, send Certificate PDF to registered email with signed cover note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 certificates to all paid pilots. Be on a call when they open the PDF for the first time — watch their reactions.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 signed payment. Screenshot the Stripe notification.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 each customer: “Who else at your company or in your network would need this?”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your pitch: replace “we will” with “we delivered X for Y — they sent us a PDF of purchase orders and we had their compliance certificate in 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r>
              <w:rPr>
                <w:rFonts w:ascii="Arial" w:cs="Arial" w:eastAsia="Arial" w:hAnsi="Arial"/>
                <w:b/>
                <w:bCs/>
                <w:color w:val="FFFFFF"/>
                <w:sz w:val="18"/>
                <w:szCs w:val="18"/>
              </w:rPr>
              <w:t xml:space="preserve">BIZ</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to YC S26 or identify 3 pre-seed angels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F39C12" w:val="clear"/>
            <w:tcMar>
              <w:top w:type="dxa" w:w="80"/>
              <w:left w:type="dxa" w:w="120"/>
              <w:bottom w:type="dxa" w:w="80"/>
              <w:right w:type="dxa" w:w="120"/>
            </w:tcMar>
          </w:tcPr>
          <w:p>
            <w:r>
              <w:rPr>
                <w:rFonts w:ascii="Arial" w:cs="Arial" w:eastAsia="Arial" w:hAnsi="Arial"/>
                <w:b/>
                <w:bCs/>
                <w:color w:val="FFFFFF"/>
                <w:sz w:val="18"/>
                <w:szCs w:val="18"/>
              </w:rPr>
              <w:t xml:space="preserve">★ WIN</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paying customers have received and reviewed their Compliance Certificate, generated from non-CSV input formats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20"/>
              <w:left w:type="dxa" w:w="200"/>
              <w:bottom w:type="dxa" w:w="120"/>
              <w:right w:type="dxa" w:w="200"/>
            </w:tcMar>
          </w:tcPr>
          <w:p>
            <w:pPr>
              <w:spacing w:after="80"/>
            </w:pPr>
            <w:r>
              <w:t xml:space="preserve">□ 2+ paid audits delivered via PDF</w:t>
            </w:r>
          </w:p>
          <w:p>
            <w:pPr>
              <w:spacing w:after="80"/>
            </w:pPr>
            <w:r>
              <w:t xml:space="preserve">□ At least 1 audit processed from non-CSV input (PDF, image, or Excel)</w:t>
            </w:r>
          </w:p>
          <w:p>
            <w:pPr>
              <w:spacing w:after="80"/>
            </w:pPr>
            <w:r>
              <w:t xml:space="preserve">□ Post-delivery survey sent, 1+ response received</w:t>
            </w:r>
          </w:p>
          <w:p>
            <w:pPr>
              <w:spacing w:after="80"/>
            </w:pPr>
            <w:r>
              <w:t xml:space="preserve">□ First payment received and reconciled</w:t>
            </w:r>
          </w:p>
          <w:p>
            <w:pPr>
              <w:spacing w:after="80"/>
            </w:pPr>
            <w:r>
              <w:t xml:space="preserve">□ 1+ referral lead name collected</w:t>
            </w:r>
          </w:p>
        </w:tc>
      </w:tr>
    </w:tbl>
    <w:p>
      <w:pPr>
        <w:pStyle w:val="Heading2"/>
      </w:pPr>
      <w:r>
        <w:t xml:space="preserve">Phase 3 (Weeks 8–10): Modified — Multi-Format Upload UI</w:t>
      </w:r>
    </w:p>
    <w:p>
      <w:pPr>
        <w:spacing w:after="120"/>
      </w:pPr>
      <w:r>
        <w:t xml:space="preserve">The web dashboard upload page changes from “CSV upload” to “drag-and-drop any file.” The backend routing is already built in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 Change CSV upload page to universal file upload: drag-and-drop any file, show detected format and extraction preview before confirming audit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8: Add batch upload: customer drops multiple files (mix of PDFs, images, CSVs) into a single audit. Each file processed independently and results merged.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9: Build extraction review UI: before finalizing an audit, customer can review what BioGate extracted from each document, correct any errors, and approve. Critical for trust.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10: Add document confidence dashboard: show per-file extraction confidence, highlight low-confidence records that were flagged for review.</w:t>
            </w:r>
          </w:p>
        </w:tc>
      </w:tr>
    </w:tbl>
    <w:p>
      <w:pPr>
        <w:pStyle w:val="Heading2"/>
      </w:pPr>
      <w:r>
        <w:t xml:space="preserve">Phase 4 (Weeks 11–16): Minor Change — API Accepts Multi-Format</w:t>
      </w:r>
    </w:p>
    <w:p>
      <w:pPr>
        <w:spacing w:after="120"/>
      </w:pPr>
      <w:r>
        <w:t xml:space="preserve">The API built in Phase 4 must accept multi-format uploads, not just CSV. This is a straightforward extension since the backend routing is already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11: API POST /audits/upload accepts any supported MIME type. Documentation updated to list all supported formats.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13: Add Benchling export handler: customers can export vendor/supplier lists from Benchling as CSV or PDF. BioGate handles both.</w:t>
            </w:r>
          </w:p>
        </w:tc>
      </w:tr>
    </w:tbl>
    <w:p>
      <w:r>
        <w:br w:type="page"/>
      </w:r>
    </w:p>
    <w:p>
      <w:pPr>
        <w:pStyle w:val="Heading2"/>
      </w:pPr>
      <w:r>
        <w:t xml:space="preserve">Phase 5 (Weeks 17–26): Added — Multi-Regulation Foundation</w:t>
      </w:r>
    </w:p>
    <w:p>
      <w:pPr>
        <w:spacing w:after="120"/>
      </w:pPr>
      <w:r>
        <w:t xml:space="preserve">Phase 5 adds the first steps toward the multi-regulation platform. These are incremental additions to the existing Phase 5 plan, not replacements.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19: Build regulation module abstraction layer: define the interface for a “regulation module” — watchlists/standards to check, risk tier definitions, certificate template. BIOSECURE becomes the first module instance.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20: Refactor risk scoring engine to be regulation-aware: risk tiers, thresholds, and recommended actions are configurable per regulation module, not hardcoded.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22: Build FDA CDS transparency module skeleton: Criterion 4 documentation template, AI explainability report structure. This is the second regulation — proof that the platform architecture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24: Customer discovery for multi-regulation demand: survey existing customers about their other compliance obligations. Which regulations are the biggest pain? This drives module prioritization.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25: Public roadmap announcement: “BioGate is expanding beyond BIOSECURE.” Position as regulatory compliance platform, not single-regulation tool. Major positioning shift for fundraising narrative.</w:t>
            </w:r>
          </w:p>
        </w:tc>
      </w:tr>
    </w:tbl>
    <w:p>
      <w:pPr>
        <w:pStyle w:val="Heading1"/>
      </w:pPr>
      <w:r>
        <w:t xml:space="preserve">Updated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360"/>
        <w:gridCol w:w="24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Technical Goal</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Business Goal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 + watchlist ingestion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outreach emails sent</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3–5</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15–35</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End-to-end CLI audit pipeline (CSV)</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First free pilot delivered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36–49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Multi-format ingestion + Compliance Certificate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paying customer</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8–10</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50–70</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Self-serve web dashboard (any format)</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 paying customers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71–112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agentic features, SOC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customers, pre-seed closed</w:t>
            </w:r>
          </w:p>
        </w:tc>
      </w:tr>
      <w:tr>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17–26</w:t>
            </w:r>
          </w:p>
        </w:tc>
        <w:tc>
          <w:tcPr>
            <w:tcW w:type="dxa" w:w="1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113–182</w:t>
            </w:r>
          </w:p>
        </w:tc>
        <w:tc>
          <w:tcPr>
            <w:tcW w:type="dxa" w:w="33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Multi-regulation foundation, ZKP prototype, Trust Registry</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$50K MRR, seed funded</w:t>
            </w:r>
          </w:p>
        </w:tc>
      </w:tr>
    </w:tbl>
    <w:p>
      <w:pPr>
        <w:pStyle w:val="Heading1"/>
      </w:pPr>
      <w:r>
        <w:t xml:space="preserve">Updated Key Metrics Dashboard</w:t>
      </w:r>
    </w:p>
    <w:p>
      <w:pPr>
        <w:spacing w:after="120"/>
      </w:pPr>
      <w:r>
        <w:t xml:space="preserve">New metrics added to track multi-format ingestion and platform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 7 Target</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 16 Target</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Week 26 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Paying Customers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MRR</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$10,000+</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Audits Completed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Vendors Screened</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500+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10,000+</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Audit Turnaround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 min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&lt;2 min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&lt;20%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&lt;10%</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&lt;5%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Formats Used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(CSV, PDF, image)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formats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supported</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Avg. Extraction Confidence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&gt;0.75</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&gt;0.85</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&gt;0.90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Regulation Modules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(BIOSECURE)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(BIOSECURE)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FDA CDS skeleton)</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Customer NPS</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40+</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55+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w:t>
            </w:r>
          </w:p>
        </w:tc>
      </w:tr>
      <w:tr>
        <w:tc>
          <w:tcPr>
            <w:tcW w:type="dxa" w:w="28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Enterprise Pipeline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2 deals active</w:t>
            </w:r>
          </w:p>
        </w:tc>
        <w:tc>
          <w:tcPr>
            <w:tcW w:type="dxa" w:w="2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sz w:val="20"/>
                <w:szCs w:val="20"/>
              </w:rPr>
              <w:t xml:space="preserve">1+ closed</w:t>
            </w:r>
          </w:p>
        </w:tc>
      </w:tr>
    </w:tbl>
    <w:p>
      <w:r>
        <w:br w:type="page"/>
      </w:r>
    </w:p>
    <w:p>
      <w:pPr>
        <w:pStyle w:val="Heading1"/>
      </w:pPr>
      <w:r>
        <w:t xml:space="preserve">Updated Context Restoration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20"/>
              <w:left w:type="dxa" w:w="200"/>
              <w:bottom w:type="dxa" w:w="120"/>
              <w:right w:type="dxa" w:w="200"/>
            </w:tcMar>
          </w:tcPr>
          <w:p>
            <w:pPr>
              <w:spacing w:after="80"/>
            </w:pPr>
            <w:r>
              <w:rPr>
                <w:b/>
                <w:bCs/>
              </w:rPr>
              <w:t xml:space="preserve">BIOGATE SESSION CONTEXT (v1.1)</w:t>
            </w:r>
          </w:p>
          <w:p>
            <w:pPr>
              <w:spacing w:after="80"/>
            </w:pPr>
            <w:r>
              <w:t xml:space="preserve">Company: BioGate — AI-native regulatory compliance platform</w:t>
            </w:r>
          </w:p>
          <w:p>
            <w:pPr>
              <w:spacing w:after="80"/>
            </w:pPr>
            <w:r>
              <w:t xml:space="preserve">I am currently at: Week [X] of the BioGate 180-Day Execution Timeline.</w:t>
            </w:r>
          </w:p>
          <w:p>
            <w:pPr>
              <w:spacing w:after="80"/>
            </w:pPr>
            <w:r>
              <w:t xml:space="preserve">Last week I completed: [brief description of what got done].</w:t>
            </w:r>
          </w:p>
          <w:p>
            <w:pPr>
              <w:spacing w:after="80"/>
            </w:pPr>
            <w:r>
              <w:t xml:space="preserve">This week I need help with: [specific task or decision].</w:t>
            </w:r>
          </w:p>
          <w:p>
            <w:pPr>
              <w:spacing w:after="80"/>
            </w:pPr>
            <w:r>
              <w:t xml:space="preserve">Current blockers: [any blockers or open decisions].</w:t>
            </w:r>
          </w:p>
          <w:p>
            <w:pPr>
              <w:spacing w:after="80"/>
            </w:pPr>
            <w:r>
              <w:t xml:space="preserve">Current metrics: [X] paying customers, $[X] MRR, [X] audits completed.</w:t>
            </w:r>
          </w:p>
          <w:p>
            <w:pPr>
              <w:spacing w:after="80"/>
            </w:pPr>
            <w:r>
              <w:t xml:space="preserve">Input formats tested: [CSV, PDF, image, Excel, email — which have been tested with real data].</w:t>
            </w:r>
          </w:p>
          <w:p>
            <w:pPr>
              <w:spacing w:after="80"/>
            </w:pPr>
            <w:r>
              <w:t xml:space="preserve">Key decisions made since last session: [any pivots or changes].</w:t>
            </w:r>
          </w:p>
          <w:p>
            <w:pPr>
              <w:spacing w:after="80"/>
            </w:pPr>
            <w:r>
              <w:t xml:space="preserve"/>
            </w:r>
          </w:p>
          <w:p>
            <w:pPr>
              <w:spacing w:after="80"/>
            </w:pPr>
            <w:r>
              <w:t xml:space="preserve">Project documents uploaded:</w:t>
            </w:r>
          </w:p>
          <w:p>
            <w:pPr>
              <w:spacing w:after="80"/>
            </w:pPr>
            <w:r>
              <w:t xml:space="preserve">— BioGate_Technical_Architecture_v1.1.docx</w:t>
            </w:r>
          </w:p>
          <w:p>
            <w:pPr>
              <w:spacing w:after="80"/>
            </w:pPr>
            <w:r>
              <w:t xml:space="preserve">— BioGate_180Day_Timeline_v1.1.docx (this amendment)</w:t>
            </w:r>
          </w:p>
        </w:tc>
      </w:tr>
    </w:tbl>
    <w:p>
      <w:pPr>
        <w:spacing w:before="400"/>
        <w:jc w:val="center"/>
      </w:pPr>
      <w:r>
        <w:rPr>
          <w:b/>
          <w:bCs/>
          <w:color w:val="1B4F72"/>
          <w:sz w:val="24"/>
          <w:szCs w:val="24"/>
        </w:rPr>
        <w:t xml:space="preserve">BioGate — Mechanics over Vision.</w:t>
      </w:r>
    </w:p>
    <w:p>
      <w:pPr>
        <w:spacing w:before="100"/>
        <w:jc w:val="center"/>
      </w:pPr>
      <w:r>
        <w:rPr>
          <w:i/>
          <w:iCs/>
          <w:color w:val="999999"/>
        </w:rPr>
        <w:t xml:space="preserve">End of 180-Day Timeline Amendment v1.1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b/>
        <w:bCs/>
        <w:color w:val="1B4F72"/>
        <w:sz w:val="18"/>
        <w:szCs w:val="18"/>
      </w:rPr>
      <w:t xml:space="preserve">BIOGATE</w:t>
    </w:r>
    <w:r>
      <w:rPr>
        <w:color w:val="999999"/>
        <w:sz w:val="18"/>
        <w:szCs w:val="18"/>
      </w:rPr>
      <w:t xml:space="preserve">  |  180-Day Timeline Amendment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2026-03-04T06:22:03.907Z</dcterms:created>
  <dcterms:modified xsi:type="dcterms:W3CDTF">2026-03-04T06:22:03.908Z</dcterms:modified>
</cp:coreProperties>
</file>

<file path=docProps/custom.xml><?xml version="1.0" encoding="utf-8"?>
<Properties xmlns="http://schemas.openxmlformats.org/officeDocument/2006/custom-properties" xmlns:vt="http://schemas.openxmlformats.org/officeDocument/2006/docPropsVTypes"/>
</file>