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BIOGATE</w:t>
      </w:r>
    </w:p>
    <w:p>
      <w:pPr>
        <w:spacing w:after="60" w:before="60"/>
      </w:pPr>
    </w:p>
    <w:p>
      <w:pPr>
        <w:spacing w:after="40"/>
        <w:jc w:val="center"/>
      </w:pPr>
      <w:r>
        <w:rPr>
          <w:rFonts w:ascii="Arial" w:cs="Arial" w:eastAsia="Arial" w:hAnsi="Arial"/>
          <w:color w:val="0E7C7B"/>
          <w:sz w:val="36"/>
          <w:szCs w:val="36"/>
        </w:rPr>
        <w:t xml:space="preserve">Product Requirements Document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BIOSECURE Supply Chain Auditor</w:t>
      </w:r>
    </w:p>
    <w:p>
      <w:pPr>
        <w:spacing w:after="400" w:before="400"/>
      </w:pPr>
    </w:p>
    <w:p>
      <w:pPr>
        <w:pBdr>
          <w:top w:val="single" w:color="CCCCCC" w:sz="2" w:space="8"/>
        </w:pBd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March 2026  |  Confidential</w:t>
      </w:r>
    </w:p>
    <w:p>
      <w:pPr>
        <w:spacing w:before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 Evaristo Parra, Founder &amp; CEO</w:t>
      </w:r>
    </w:p>
    <w:p>
      <w:pPr>
        <w:spacing w:after="1200" w:before="1200"/>
      </w:pPr>
    </w:p>
    <w:p>
      <w:pPr>
        <w:jc w:val="center"/>
      </w:pPr>
      <w:r>
        <w:rPr>
          <w:rFonts w:ascii="Arial" w:cs="Arial" w:eastAsia="Arial" w:hAnsi="Arial"/>
          <w:i/>
          <w:iCs/>
          <w:color w:val="0E7C7B"/>
          <w:sz w:val="22"/>
          <w:szCs w:val="22"/>
        </w:rPr>
        <w:t xml:space="preserve">Mechanics over Vision.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BioGate is an AI-native compliance automation platform that replaces expensive manual law firm audits with automated, AI-driven supply chain screening for biotechnology companies subject to the BIOSECURE Act (NDAA Section 851, signed December 18, 2025). The platform cross-references vendor data against federal restricted entity lists and produces timestamped, digitally signed Compliance Certificates at a fraction of the cost of traditional legal review.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PRD defines the product requirements for BioGate’s Phase 1 through Phase 5 releases over a 180-day execution window, targeting first paying customer by Day 49 and $50K MRR by Day 180.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C7B" w:sz="1"/>
              <w:left w:val="single" w:color="0E7C7B" w:sz="6"/>
              <w:bottom w:val="single" w:color="0E7C7B" w:sz="1"/>
              <w:right w:val="single" w:color="0E7C7B" w:sz="1"/>
            </w:tcBorders>
            <w:shd w:fill="E8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Legislative Trigger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BIOSECURE Act mandates that all U.S. biotech firms receiving NIH/BARDA funding or participating in federal procurement must audit their supply chains for Biotechnology Companies of Concern (BCCs). The OMB BCC list publication deadline is December 2026. This creates a guaranteed, non-discretionary compliance market.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to first paying customer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49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to 5 paying customers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70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Recurring Revenue (Month 6)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addressable market (initial)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$40M+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 vs. alternative (law firms)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$500–$2K vs. $8K–$50K per audit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Pre-seed SAFE close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112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2.1 The Compliance Tax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BIOSECURE Act has created a mandatory compliance obligation for every U.S. biotechnology firm that touches federal funding. The labor required to audit multiple layers of the supply chain—identifying BCC-linked components in genomic sequencers, reagents, data analytics software, and contract manufacturing partners—is currently handled by law firms and supply chain consultants charging $300–$500 per hour. A basic audit costs $8,000–$50,000 and takes weeks.</w:t>
      </w:r>
    </w:p>
    <w:p>
      <w:pPr>
        <w:pStyle w:val="Heading2"/>
      </w:pPr>
      <w:r>
        <w:t xml:space="preserve">2.2 Who Feels the Pain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primary buyers are compliance officers, grants managers, and VPs of operations at NIH/BARDA-funded biotech companies. At smaller firms (Series A and below), dedicated compliance staff often do not exist, making grants managers and operations leaders the de facto decision-makers. These buyers already understand the BIOSECURE requirements; they need operational relief, not regulatory education.</w:t>
      </w:r>
    </w:p>
    <w:p>
      <w:pPr>
        <w:pStyle w:val="Heading2"/>
      </w:pPr>
      <w:r>
        <w:t xml:space="preserve">2.3 Why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BIOSECURE Act signed December 18, 2025 — compliance is now law, not speculation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OMB BCC list publication deadline: December 2026 — creates an urgent compliance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automated solution exists — current market served entirely by manual legal labor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capabilities (LLM-powered entity resolution, fuzzy matching) now make automated auditing technically feasible</w:t>
      </w:r>
    </w:p>
    <w:p>
      <w:r>
        <w:br w:type="page"/>
      </w:r>
    </w:p>
    <w:p>
      <w:pPr>
        <w:pStyle w:val="Heading1"/>
      </w:pPr>
      <w:r>
        <w:t xml:space="preserve">3. Target Users &amp;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Profile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Sarah the Compliance Officer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VP of Compliance / Regulatory Affairs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Mid-cap biotech, 200–500 employees, multiple NIH grants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Reduce audit cycle from weeks to hours; produce defensible audit trail for federal submissions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Marco the Grants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Grants Manager / Director of Sponsored Research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Series A–B biotech, 20–80 employees, 1–3 active NIH grants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Ensure grant compliance without hiring a dedicated compliance team; avoid $15K+ law firm invoices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Diana the Ops 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VP of Operations / COO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Early-stage biotech or CRO, 10–50 employees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Quickly confirm vendor safety before procurement decisions; demonstrate compliance to investors and partners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Raj the Research Director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Principal Investigator / Research Director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Academic-adjacent lab or clinical-stage company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equipment and reagent suppliers are BIOSECURE-compliant before grant renewal deadlines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C7B" w:sz="1"/>
              <w:left w:val="single" w:color="0E7C7B" w:sz="6"/>
              <w:bottom w:val="single" w:color="0E7C7B" w:sz="1"/>
              <w:right w:val="single" w:color="0E7C7B" w:sz="1"/>
            </w:tcBorders>
            <w:shd w:fill="E8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Messaging Principle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Communication to these buyers must be peer-level, not educational. They already know the BIOSECURE requirements. Lead with operational pain (time, cost, manual work), not regulatory awareness.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Product Vision &amp; Architecture</w:t>
      </w:r>
    </w:p>
    <w:p>
      <w:pPr>
        <w:pStyle w:val="Heading2"/>
      </w:pPr>
      <w:r>
        <w:t xml:space="preserve">4.1 How BioGate Works (Plain Language)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biotech firm uploads or connects their vendor list. BioGate’s AI agents automatically cross-reference every vendor, sub-vendor, and piece of equipment against federal restricted entity watchlists. The output is a timestamped, digitally signed Compliance Certificate that the firm submits with their federal grant or contract paperwork. No lawyers required.</w:t>
      </w:r>
    </w:p>
    <w:p>
      <w:pPr>
        <w:pStyle w:val="Heading2"/>
      </w:pPr>
      <w:r>
        <w:t xml:space="preserve">4.2 Three-Layer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560"/>
        <w:gridCol w:w="3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Ingestion + BCC Matching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Ingest vendor data, match against watchlists, flag risk, generate certificates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NOW — MVP (Months 1–3)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Agentic Audit Workflow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Autonomous agents resolve ambiguous matches, send RFIs to vendors, generate investigative dossiers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Months 3–6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ZKP Sequence Clearinghouse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Privacy-preserving DNA sequence screening using zero-knowledge proofs; the ultimate moat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Year 2+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C7B" w:sz="1"/>
              <w:left w:val="single" w:color="0E7C7B" w:sz="6"/>
              <w:bottom w:val="single" w:color="0E7C7B" w:sz="1"/>
              <w:right w:val="single" w:color="0E7C7B" w:sz="1"/>
            </w:tcBorders>
            <w:shd w:fill="E8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Moat Strategy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Layer 1 buys time. Layer 2 creates stickiness. Layer 3 makes BioGate irreplaceable. The ZKP Clearinghouse enables a lab to verify sequence compliance without revealing proprietary IP — solving the privacy-vs-policy paradox that no incumbent can address.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Functional Requirements</w:t>
      </w:r>
    </w:p>
    <w:p>
      <w:pPr>
        <w:pStyle w:val="Heading2"/>
      </w:pPr>
      <w:r>
        <w:t xml:space="preserve">5.1 Data Ingestion Engine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must accept messy, real-world vendor data from biotech labs and normalize it into structured records for screening.</w:t>
      </w:r>
    </w:p>
    <w:p>
      <w:pPr>
        <w:pStyle w:val="Heading3"/>
      </w:pPr>
      <w:r>
        <w:t xml:space="preserve">5.1.1 Supported Input Formats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CSV upload (primary MVP input)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Excel (.xlsx)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 purchase order parsing (Phase 2+)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 API connections to Benchling, Veeva, and LIMS systems (Phase 4+)</w:t>
      </w:r>
    </w:p>
    <w:p>
      <w:pPr>
        <w:pStyle w:val="Heading3"/>
      </w:pPr>
      <w:r>
        <w:t xml:space="preserve">5.1.2 Normalization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Extract and normalize: Company Name, Country of Incorporation, Parent Company, Equipment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API integration for fuzzy/messy input parsing and vendor normalization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 structured output: normalized name, country hint, parent company hint, equipment type hint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all normalized records in PostgreSQL with full audit trail (every input version preserved)</w:t>
      </w:r>
    </w:p>
    <w:p>
      <w:pPr>
        <w:pStyle w:val="Heading3"/>
      </w:pPr>
      <w:r>
        <w:t xml:space="preserve">5.1.3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AC-1: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System accepts CSV files up to 10,000 rows and returns normalized vendor records within 60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AC-2: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Each vendor record includes normalized_name, country, parent_company, and equipment_type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AC-3: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Raw input and normalized output are both persisted with timestamps for audit trail</w:t>
      </w:r>
    </w:p>
    <w:p>
      <w:pPr>
        <w:spacing w:after="120" w:before="120"/>
      </w:pPr>
    </w:p>
    <w:p>
      <w:pPr>
        <w:pStyle w:val="Heading2"/>
      </w:pPr>
      <w:r>
        <w:t xml:space="preserve">5.2 BCC Watchlist Database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BioGate must maintain a current, queryable version of all relevant restricted entity lists with version-controlled snapshots.</w:t>
      </w:r>
    </w:p>
    <w:p>
      <w:pPr>
        <w:pStyle w:val="Heading3"/>
      </w:pPr>
      <w:r>
        <w:t xml:space="preserve">5.2.1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86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Count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 Cycle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BIS Entity List (export.gov)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~1,500 entities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automated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OFAC SDN List (Treasury)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~12,000+ entities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automated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UFLPA Entity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~70 entities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automated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OMB BCC List (official)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TBD (Dec 2026 publication)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Upon publication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Consolidated Screening List (trade.gov API)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~22,000 entities / ~60,000 searchable names+aliases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automated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</w:t>
            </w:r>
          </w:p>
        </w:tc>
      </w:tr>
    </w:tbl>
    <w:p>
      <w:pPr>
        <w:spacing w:after="120" w:before="120"/>
      </w:pPr>
    </w:p>
    <w:p>
      <w:pPr>
        <w:pStyle w:val="Heading3"/>
      </w:pPr>
      <w:r>
        <w:t xml:space="preserve">5.2.2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Unified internal watchlist table with: entity name, aliases (array), parent/subsidiary relationships, country, risk tier, source list, date added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Daily automated refresh via GitHub Actions cron with version-controlled snapshots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snapshot stored with file hash for cryptographic audit trail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Version-locked audits: each audit records which watchlist version was used (critical differentiator from manual processes)</w:t>
      </w:r>
    </w:p>
    <w:p>
      <w:pPr>
        <w:pStyle w:val="Heading3"/>
      </w:pPr>
      <w:r>
        <w:t xml:space="preserve">5.2.3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AC-4: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three watchlist sources ingest daily without manual intervention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AC-5: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Watchlist snapshot table includes source_list, snapshot_date, record_count, and file_hash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AC-6: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Fuzzy match returns 'BGI Genomics' as a correct top match for 'Beijing Genomics Institute' queries</w:t>
      </w:r>
    </w:p>
    <w:p>
      <w:pPr>
        <w:spacing w:after="120" w:before="120"/>
      </w:pPr>
    </w:p>
    <w:p>
      <w:pPr>
        <w:pStyle w:val="Heading2"/>
      </w:pPr>
      <w:r>
        <w:t xml:space="preserve">5.3 Matching &amp; Risk Scoring Engine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matching engine is the core intelligence layer. It must produce tiered risk output, not just binary flags, and handle entity name variants, parent/subsidiary chains, and country-of-concern signals.</w:t>
      </w:r>
    </w:p>
    <w:p>
      <w:pPr>
        <w:pStyle w:val="Heading3"/>
      </w:pPr>
      <w:r>
        <w:t xml:space="preserve">5.3.1 Matching 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Primary: RapidFuzz fuzzy string matching for entity name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Secondary: Claude API for LLM-powered disambiguation of ambiguous matches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Parent company resolution graph: subsidiary risk inheritance (if parent is flagged, subsidiaries inherit risk)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Country-of-concern flags for additional risk signal</w:t>
      </w:r>
    </w:p>
    <w:p>
      <w:pPr>
        <w:pStyle w:val="Heading3"/>
      </w:pPr>
      <w:r>
        <w:t xml:space="preserve">5.3.2 Risk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Tier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RED — Confirmed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match to BCC or sanctioned entity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Immediate cease-use; generate replacement RFI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AMBER — Probable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Parent company match, or strong alias match (&gt;90% fuzzy score)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 review required within 5 business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00"/>
                <w:sz w:val="20"/>
                <w:szCs w:val="20"/>
              </w:rPr>
              <w:t xml:space="preserve">YELLOW — Possible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Country-of-concern flag, partial name match, or subsidiary chain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and monitor; flag in next audit cycle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GREEN — Clear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match found across all watchlists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 in Compliance Certificate</w:t>
            </w:r>
          </w:p>
        </w:tc>
      </w:tr>
    </w:tbl>
    <w:p>
      <w:pPr>
        <w:spacing w:after="120" w:before="120"/>
      </w:pPr>
    </w:p>
    <w:p>
      <w:pPr>
        <w:pStyle w:val="Heading3"/>
      </w:pPr>
      <w:r>
        <w:t xml:space="preserve">5.3.3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AC-7: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Fuzzy match returns results in &lt;500ms for vendor lists up to 500 entries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AC-8: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four risk tiers are correctly assigned based on match confidence thresholds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AC-9: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Parent company resolution correctly flags subsidiaries of known BCCs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AC-10: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Manual override available with required written justification, stored with user ID and timestamp</w:t>
      </w:r>
    </w:p>
    <w:p>
      <w:r>
        <w:br w:type="page"/>
      </w:r>
    </w:p>
    <w:p>
      <w:pPr>
        <w:pStyle w:val="Heading2"/>
      </w:pPr>
      <w:r>
        <w:t xml:space="preserve">5.4 Compliance Certificate Generator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product the customer actually buys. The certificate is a PDF document, digitally signed, that a compliance officer attaches to a federal grant submission.</w:t>
      </w:r>
    </w:p>
    <w:p>
      <w:pPr>
        <w:pStyle w:val="Heading3"/>
      </w:pPr>
      <w:r>
        <w:t xml:space="preserve">5.4.1 Certificate 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date and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Watchlist versions used (with snapshot hashes)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vendor inventory with risk tier for each vendor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Match evidence detail for any flagged vendors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Summary attestation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 signature (BioGate-issued for early customers; customer’s own key for enterprise)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logo/letterhead customization (enterprise tier)</w:t>
      </w:r>
    </w:p>
    <w:p>
      <w:pPr>
        <w:pStyle w:val="Heading3"/>
      </w:pPr>
      <w:r>
        <w:t xml:space="preserve">5.4.2 Output Formats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 (primary — human-readable, attachable to grant submissions)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Machine-readable JSON companion file (for automated federal portal submission, Phase 3+)</w:t>
      </w:r>
    </w:p>
    <w:p>
      <w:pPr>
        <w:pStyle w:val="Heading3"/>
      </w:pPr>
      <w:r>
        <w:t xml:space="preserve">5.4.3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AC-11: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Certificate generated as valid, downloadable PDF within 30 seconds of audit completion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AC-12: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Certificate includes all required fields: date, watchlist versions, vendor inventory, risk tiers, attestation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AC-13: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Every certificate stored and retrievable in audit history indefinitely</w:t>
      </w:r>
    </w:p>
    <w:p>
      <w:pPr>
        <w:spacing w:after="120" w:before="120"/>
      </w:pPr>
    </w:p>
    <w:p>
      <w:pPr>
        <w:pStyle w:val="Heading2"/>
      </w:pPr>
      <w:r>
        <w:t xml:space="preserve">5.5 Web Dashboard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self-serve web interface. Built deliberately minimal; first 10 customers define what features get added.</w:t>
      </w:r>
    </w:p>
    <w:p>
      <w:pPr>
        <w:pStyle w:val="Heading3"/>
      </w:pPr>
      <w:r>
        <w:t xml:space="preserve">5.5.1 Core 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Upload View: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Drag-and-drop CSV upload → initiate 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Results View: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Vendor table with risk tier color coding, filter/sort controls, match evidence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Vendor Detail Modal: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Click any vendor to see full evidence, all candidates considered, manual override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Certificate Download: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One-click PDF generation and download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Audit History: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past certificates stored and downloadable; audit comparison view (diff between current and previous)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Alerts Dashboard: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Banner when any vendor’s tier changes on watchlist refresh, with link to updated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Organization Settings: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Team member management, contact info, subscription tier</w:t>
      </w:r>
    </w:p>
    <w:p>
      <w:pPr>
        <w:pStyle w:val="Heading3"/>
      </w:pPr>
      <w:r>
        <w:t xml:space="preserve">5.5.2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access: upload, view, download, manage team, billing, override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Upload, view results, download certificates, submit overrides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 / Researcher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results and download certificates (read-only)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Auditor (read-only)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audit history and certificates; no upload or override</w:t>
            </w:r>
          </w:p>
        </w:tc>
      </w:tr>
    </w:tbl>
    <w:p>
      <w:pPr>
        <w:pStyle w:val="Heading3"/>
      </w:pPr>
      <w:r>
        <w:t xml:space="preserve">5.5.3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AC-14: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End-to-end flow: sign up → upload CSV → view results → download certificate completes in under 5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AC-15: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4 user roles tested and functioning with correct permission boundaries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AC-16: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Playwright end-to-end test passes for the core user journey</w:t>
      </w:r>
    </w:p>
    <w:p>
      <w:r>
        <w:br w:type="page"/>
      </w:r>
    </w:p>
    <w:p>
      <w:pPr>
        <w:pStyle w:val="Heading2"/>
      </w:pPr>
      <w:r>
        <w:t xml:space="preserve">5.6 REST API (Phase 4)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Authenticated REST API for programmatic access, enabling integration with customer workflows and third-party tools.</w:t>
      </w:r>
    </w:p>
    <w:p>
      <w:pPr>
        <w:pStyle w:val="Heading3"/>
      </w:pPr>
      <w:r>
        <w:t xml:space="preserve">5.6.1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/api/v1/audits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 a new audit with vendor data payload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/api/v1/audits/{id}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 audit status and results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/api/v1/audits/{id}/certificate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Compliance Certificate (PDF or JSON)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/api/v1/audits/{id}/vendors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vendors with risk tiers for an audit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/api/v1/vendors/{id}/override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manual override with justification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/api/v1/watchlists/status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watchlist versions and refresh timestamps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/api/v1/webhooks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 webhook URL for audit completion notifications</w:t>
            </w:r>
          </w:p>
        </w:tc>
      </w:tr>
    </w:tbl>
    <w:p>
      <w:pPr>
        <w:pStyle w:val="Heading3"/>
      </w:pPr>
      <w:r>
        <w:t xml:space="preserve">5.6.2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key management in dashboard: generate, rotate, revoke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OpenAPI/Swagger documentation hosted at docs.biogate.io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Webhook support: POST notifications on audit completion or tier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limiting: 100 requests/minute per API key (adjustable per tier)</w:t>
      </w:r>
    </w:p>
    <w:p>
      <w:pPr>
        <w:spacing w:after="120" w:before="120"/>
      </w:pPr>
    </w:p>
    <w:p>
      <w:pPr>
        <w:pStyle w:val="Heading2"/>
      </w:pPr>
      <w:r>
        <w:t xml:space="preserve">5.7 Trust Registry (Phase 5)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publicly searchable database of vendor compliance status. This is a major moat move: the Trust Registry becomes a public good that labs reference independently of whether they are BioGate customers, creating network effects.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 endpoint: GET /registry/{entity_name} returns current compliance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entity name, country, last audit date, current BCC risk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customer-specific data exposed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Prominent disclaimer: does not constitute legal advice or a government-issued compliance determination</w:t>
      </w:r>
    </w:p>
    <w:p>
      <w:r>
        <w:br w:type="page"/>
      </w:r>
    </w:p>
    <w:p>
      <w:pPr>
        <w:pStyle w:val="Heading1"/>
      </w:pPr>
      <w:r>
        <w:t xml:space="preserve">6. Non-Functional Requirements</w:t>
      </w:r>
    </w:p>
    <w:p>
      <w:pPr>
        <w:pStyle w:val="Heading2"/>
      </w:pPr>
      <w:r>
        <w:t xml:space="preserve">6.1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Fuzzy match results in &lt;500ms for up to 500 vendors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audit (500 vendors) completes in &lt;5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Certificate PDF generation in &lt;30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page load &lt;2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response time &lt;500ms for single-record queries</w:t>
      </w:r>
    </w:p>
    <w:p>
      <w:pPr>
        <w:pStyle w:val="Heading2"/>
      </w:pPr>
      <w:r>
        <w:t xml:space="preserve">6.2 Security &amp;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Encryption at-rest (AES-256) and in-transit (TLS 1.3) from Day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customer vendor data stored in U.S. regions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 2 Type I certification target: Month 8 (begin Vanta evidence collection Month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FedRAMP: long-term requirement for direct federal agency sales; not needed for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Immutable access logging: every query, certificate generation, and watchlist refresh timestamped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Explicit ToS: BioGate does not use customer vendor data to train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on all endpoints; CSV upload validation; SQL injection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External penetration test by Day 180</w:t>
      </w:r>
    </w:p>
    <w:p>
      <w:pPr>
        <w:pStyle w:val="Heading2"/>
      </w:pPr>
      <w:r>
        <w:t xml:space="preserve">6.3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composite indexing required by Month 2 (GIN index + normalized_name_lower computed column)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Hybrid matching architecture by Month 4 at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Automated daily DB backups with 30-day retention in separate AWS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Staging environment mirroring production by Phase 4</w:t>
      </w:r>
    </w:p>
    <w:p>
      <w:pPr>
        <w:pStyle w:val="Heading2"/>
      </w:pPr>
      <w:r>
        <w:t xml:space="preserve">6.4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99.9% uptime target for dashboard and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page live by Phase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Graceful degradation: if watchlist refresh fails, system continues with most recent valid snapshot and sends alert</w:t>
      </w:r>
    </w:p>
    <w:p>
      <w:r>
        <w:br w:type="page"/>
      </w:r>
    </w:p>
    <w:p>
      <w:pPr>
        <w:pStyle w:val="Heading1"/>
      </w:pPr>
      <w: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to build, huge ecosystem, easy ML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(Supabase managed)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Reliable audit trail support, row-level security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/ 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Best-in-class document understanding; credible with biotech buyers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Fuzzy Matching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RapidFuzz + pgvector embeddings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exact + semantic matching for entity disambiguation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+ Tailwind 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to ship, easy to hire for, good component ecosystem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WeasyPrint or Puppeteer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Reliable PDF output with custom styling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Clerk or Supabase 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 2-ready out of the box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 (MVP)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+ AWS RDS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Low-cost, fast 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 (Long-term)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GovCloud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for direct federal customer sales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Watchlist Ingestion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scrapers + GitHub Actions cron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automated refresh of all source lists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Digital Signing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DigiCert or AWS Certificate 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Trusted third-party signing for compliance documents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PostHog (self-hosted)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Usage tracking with no PII exposure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Data Model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database tables for the MVP. Schema is designed for auditability and version tracking.</w:t>
      </w:r>
    </w:p>
    <w:p>
      <w:pPr>
        <w:pStyle w:val="Heading2"/>
      </w:pPr>
      <w:r>
        <w:t xml:space="preserve">8.1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name, ein (tax ID), primary_contact_email, subscription_tier, 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account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organization_id, status (pending/processing/complete), submitted_at, completed_at, certificate_url, watchlist_snapshot_id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audit runs with version-locked watchlist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audit_id, raw_input_name, normalized_name, country, parent_company, equipment_type, risk_tier, match_evidence (JSON)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Per-audit vendor records with full matching 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watchlist_entities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source_list, entity_name, aliases (array), country, list_date_added, list_version, risk_category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Unified searchable watchlist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watchlist_snapshots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source_list, snapshot_date, record_count, file_hash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Version-controlled snapshots for cryptographic audit trail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overrides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vendor_id, previous_tier, new_tier, justification, user_id, 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override audit trail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C7B" w:sz="1"/>
              <w:left w:val="single" w:color="0E7C7B" w:sz="6"/>
              <w:bottom w:val="single" w:color="0E7C7B" w:sz="1"/>
              <w:right w:val="single" w:color="0E7C7B" w:sz="1"/>
            </w:tcBorders>
            <w:shd w:fill="E8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Critical Design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 audit must record WHICH version of the watchlist was used. A firm audited in March needs to prove they were clean against the March list, not the October list. This version-locked audit trail is a key differentiator from manual law firm processes.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Release Phases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800"/>
        <w:gridCol w:w="2160"/>
        <w:gridCol w:w="2000"/>
        <w:gridCol w:w="2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Milestone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Milestone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Condition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0: Foundation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1–14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 + watchlist ingestion pipeline 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outreach emails sent; 5+ discovery calls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3 watchlist sources ingesting daily, fuzzy match &lt;500ms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1: Core Engine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15–35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CLI audit pipeline (CSV in → JSON risk report out)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free pilot delivered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 upload → matching → risk tier output working end-to-end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2: First Output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6–7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36–49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Compliance Certificate generated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paying customer ($1K+ pilot)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2+ paying customers have received and reviewed certificates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3: Web 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8–10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50–70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Self-serve web app live with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paying customers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Customers run their own audits without founder intervention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4: Scale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11–16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71–112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v1, agentic features, SOC 2 prep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customers, pre-seed SAFE closed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live with docs, SOC 2 evidence collection started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5: Moat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17–26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113–182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ZKP prototype, Trust Registry, seed-ready architecture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$50K MRR, seed funded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Trust Registry live and publicly searchable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Pricing Architecture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Priced against the alternative: $400/hr law firm labor. A basic 20-hour audit = $8,000. BioGate must be dramatically cheaper while capturing strong margin.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160"/>
        <w:gridCol w:w="2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Customer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$500/audit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 to 50 vendors, 1 certificate, email support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YC-stage startups with first NIH grant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$2,000/month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 audits, up to 500 vendors, continuous monitoring, Slack support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Series A biotechs with multiple grants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$15,000+/year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 vendors, API access, custom certificate branding, dedicated CSM, SLA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Mid-cap biotechs, CROs, CDMOs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$1,000–$5,000 (one-time)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audit + certificate, white-glove onboarding, feedback session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10 customers (validation pricing)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C7B" w:sz="1"/>
              <w:left w:val="single" w:color="0E7C7B" w:sz="6"/>
              <w:bottom w:val="single" w:color="0E7C7B" w:sz="1"/>
              <w:right w:val="single" w:color="0E7C7B" w:sz="1"/>
            </w:tcBorders>
            <w:shd w:fill="E8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Pricing Advice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Start with Starter per-audit pricing for the first 10 customers. Do not over-engineer subscriptions until you understand usage patterns. Every audit is a learning event.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Success Metrics &amp; KPIs</w:t>
      </w:r>
    </w:p>
    <w:p>
      <w:pPr>
        <w:pStyle w:val="Heading2"/>
      </w:pPr>
      <w:r>
        <w:t xml:space="preserve">11.1 Product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 Target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 Target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Paying 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15–20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75–100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$6,000–$10,000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$50,000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$100,000+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Audits completed (cumulative)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20+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1,000+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Certificates issued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10+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Vendors screened (cumulative)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2,000+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25,000+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100,000+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completion time (median)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&lt;10 min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&lt;5 min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&lt;3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NPS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50+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70+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11.2 Business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Pilot-to-paid conversion rate: 20% (base case) to 35% (plan target)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Acquisition Cost (CAC): &lt;$500 for self-serve; &lt;$2,000 for enterprise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Pilot-to-subscription conversion time: &lt;60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Monthly churn rate: &lt;3%</w:t>
      </w:r>
    </w:p>
    <w:p>
      <w:r>
        <w:br w:type="page"/>
      </w:r>
    </w:p>
    <w:p>
      <w:pPr>
        <w:pStyle w:val="Heading1"/>
      </w:pPr>
      <w:r>
        <w:t xml:space="preserve">12. Risks &amp; Mitigations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960"/>
        <w:gridCol w:w="1200"/>
        <w:gridCol w:w="1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Certificate liability without scope limitation language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Retain regulatory attorney; add certificate scope limitation before first paid pilot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Evaristo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42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Operating without E&amp;O insurance ($5K–$15K/year)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Purchase E&amp;O insurance before commercial launch; time around early traction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Evaristo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35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Fuzzy matching false positives (legitimate vendors scoring high)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Tune thresholds iteratively with pilot customer feedback; add manual override with audit trail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Evaristo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35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Solo founder bottleneck past Month 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Milo joining as co-founder resolves BizDev track; formalize equity/vesting before capital enters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Incumbent feature-creep from Benchling/Ginkgo by 2029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Accelerate ZKP moat development; publish monthly risk reports to establish data authority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OMB BCC list publication delay past Dec 2026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Continue using interim sources (BIS, OFAC, UFLPA); position as advantage since BioGate already 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Evaristo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Government data source format changes without warning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every parser to fail loudly (email alert) rather than silently ingest malformed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Dependencies &amp; Assumptions</w:t>
      </w:r>
    </w:p>
    <w:p>
      <w:pPr>
        <w:pStyle w:val="Heading2"/>
      </w:pPr>
      <w:r>
        <w:t xml:space="preserve">13.1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Continued availability of BIS Entity List, OFAC SDN, and UFLPA data via public APIs and downloads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API availability and pricing stability for vendor normalization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OMB publication of the official BCC list by December 2026 (if delayed, interim sources remain valid)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managed PostgreSQL uptime and data residency guarantees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DigiCert or equivalent digital signing service availability</w:t>
      </w:r>
    </w:p>
    <w:p>
      <w:pPr>
        <w:pStyle w:val="Heading2"/>
      </w:pPr>
      <w:r>
        <w:t xml:space="preserve">13.2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NIH/BARDA-funded biotech firms will be required to demonstrate BIOSECURE compliance for grant renewals and new awards starting 2026–2027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Law firms will not significantly reduce pricing in response to automated competition (their cost structure prevents this)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Small-to-mid biotech firms prefer self-serve SaaS over hiring compliance consultants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BIOSECURE Act will not be repealed or significantly weakened in the near term</w:t>
      </w:r>
    </w:p>
    <w:p>
      <w:r>
        <w:br w:type="page"/>
      </w:r>
    </w:p>
    <w:p>
      <w:pPr>
        <w:pStyle w:val="Heading1"/>
      </w:pPr>
      <w:r>
        <w:t xml:space="preserve">14. Team &amp;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Development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Evaristo (Founder)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Technical architecture, feature development, customer acquisition, pilot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Development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Milo (Co-founder)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VC relationship management, investor meetings, outreach pipeline, partnership development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Success (future)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non-founder hire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 playbooks, quarterly business reviews, escalation handling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Regulatory Advisory (future)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Fractional advisor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Certificate language review, NIST relationship, compliance guidance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14.1 Co-Founder Equity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C7B" w:sz="1"/>
              <w:left w:val="single" w:color="0E7C7B" w:sz="6"/>
              <w:bottom w:val="single" w:color="0E7C7B" w:sz="1"/>
              <w:right w:val="single" w:color="0E7C7B" w:sz="1"/>
            </w:tcBorders>
            <w:shd w:fill="E8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Action Required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Formalize equity split and vesting schedule with Milo before any capital enters. Given 5 prior projects together that did not succeed, a standard 4-year vest with 1-year cliff is non-negotiable. This must be completed with legal counsel before the first investor meeting.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Appendices</w:t>
      </w:r>
    </w:p>
    <w:p>
      <w:pPr>
        <w:pStyle w:val="Heading2"/>
      </w:pPr>
      <w:r>
        <w:t xml:space="preserve">15.1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BIOSECURE Act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851 of the FY2026 NDAA (signed Dec 18, 2025); prohibits federal agencies and contractors from using biotech equipment/services from BCCs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BCC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Biotechnology Company of Concern — entity designated by OMB as posing national security risk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BIS Entity List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Bureau of Industry and Security restricted entity list (export controls)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OFAC SDN List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Office of Foreign Assets Control Specially Designated Nationals list (sanctions)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UFLPA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Uyghur Forced Labor Prevention Act entity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for Information — formal inquiry sent to vendors to verify compliance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ZKP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Zero-Knowledge Proof — cryptographic method to verify compliance without revealing proprietary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Organization Control 2 — security/compliance certification required by enterprise buyers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Agreement for Future Equity — standard early-stage investment instrument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MRR/ARR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Monthly/Annual Recurring Revenue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15.2 Document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Evaristo Parra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 PRD creation</w:t>
            </w:r>
          </w:p>
        </w:tc>
      </w:tr>
    </w:tbl>
    <w:p>
      <w:pPr>
        <w:spacing w:after="200" w:before="200"/>
      </w:pPr>
    </w:p>
    <w:p>
      <w:pPr>
        <w:pBdr>
          <w:top w:val="single" w:color="0E7C7B" w:sz="2" w:space="1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0E7C7B"/>
          <w:sz w:val="24"/>
          <w:szCs w:val="24"/>
        </w:rPr>
        <w:t xml:space="preserve">BioGate — Mechanics over Vision.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End of Product Requirements Document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BioGate PRD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E7C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2026-03-03T21:20:22.670Z</dcterms:created>
  <dcterms:modified xsi:type="dcterms:W3CDTF">2026-03-03T21:20:22.670Z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