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ДЕТАЛЬНАЯ МЕТОДИКА АНАЛИЗА АЛЛЕРГОЧИПА</w:t>
      </w:r>
    </w:p>
    <w:p>
      <w:pPr>
        <w:jc w:val="center"/>
      </w:pPr>
      <w:r>
        <w:rPr>
          <w:i/>
        </w:rPr>
        <w:t>Исправленная методология с полным описанием процесса</w:t>
      </w:r>
    </w:p>
    <w:p>
      <w:pPr>
        <w:jc w:val="center"/>
      </w:pPr>
      <w:r>
        <w:rPr>
          <w:b/>
        </w:rPr>
        <w:t>Дата: 10.09.2025</w:t>
      </w:r>
      <w:r>
        <w:br/>
        <w:t>Версия: Финальная с исправлениями после критического анализа</w:t>
      </w:r>
    </w:p>
    <w:p>
      <w:pPr>
        <w:pStyle w:val="Heading1"/>
      </w:pPr>
      <w:r>
        <w:t>1. ВВЕДЕНИЕ И ЦЕЛИ АНАЛИЗА</w:t>
      </w:r>
    </w:p>
    <w:p>
      <w:r>
        <w:t>Данная методика описывает корректный анализ данных аллергочипа для определения концентраций специфических IgE антител к различным аллергенам. Методика разработана на основе детальных инструкций и включает исправления ошибок, обнаруженных в процессе критического анализа результатов.</w:t>
      </w:r>
    </w:p>
    <w:p>
      <w:pPr>
        <w:pStyle w:val="Heading1"/>
      </w:pPr>
      <w:r>
        <w:t>2. СТРУКТУРА ДАННЫХ И LAYOUT ЧИПА</w:t>
      </w:r>
    </w:p>
    <w:p/>
    <w:p>
      <w:r>
        <w:t>2.1. Физическая структура чипа</w:t>
      </w:r>
    </w:p>
    <w:p>
      <w:r>
        <w:t>Аллергочип содержит 23 позиции, каждая из которых представлена в 4-х повторах (реплик), расположенных в виде квадрата 2×2 на физическом чипе. Данные считываются последовательно по строкам чипа слева направо.</w:t>
      </w:r>
    </w:p>
    <w:p/>
    <w:p>
      <w:r>
        <w:t>2.2. Маппинг позиций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 позиции</w:t>
            </w:r>
          </w:p>
        </w:tc>
        <w:tc>
          <w:tcPr>
            <w:tcW w:type="dxa" w:w="2160"/>
          </w:tcPr>
          <w:p>
            <w:r>
              <w:t>Код</w:t>
            </w:r>
          </w:p>
        </w:tc>
        <w:tc>
          <w:tcPr>
            <w:tcW w:type="dxa" w:w="2160"/>
          </w:tcPr>
          <w:p>
            <w:r>
              <w:t>Название аллергена</w:t>
            </w:r>
          </w:p>
        </w:tc>
        <w:tc>
          <w:tcPr>
            <w:tcW w:type="dxa" w:w="2160"/>
          </w:tcPr>
          <w:p>
            <w:r>
              <w:t>Группа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D1</w:t>
            </w:r>
          </w:p>
        </w:tc>
        <w:tc>
          <w:tcPr>
            <w:tcW w:type="dxa" w:w="2160"/>
          </w:tcPr>
          <w:p>
            <w:r>
              <w:t>Клещевой аллерген домашней пыли</w:t>
            </w:r>
          </w:p>
        </w:tc>
        <w:tc>
          <w:tcPr>
            <w:tcW w:type="dxa" w:w="2160"/>
          </w:tcPr>
          <w:p>
            <w:r>
              <w:t>Клещи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E1</w:t>
            </w:r>
          </w:p>
        </w:tc>
        <w:tc>
          <w:tcPr>
            <w:tcW w:type="dxa" w:w="2160"/>
          </w:tcPr>
          <w:p>
            <w:r>
              <w:t>Эпителий кошки</w:t>
            </w:r>
          </w:p>
        </w:tc>
        <w:tc>
          <w:tcPr>
            <w:tcW w:type="dxa" w:w="2160"/>
          </w:tcPr>
          <w:p>
            <w:r>
              <w:t>Эпидермальные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E5</w:t>
            </w:r>
          </w:p>
        </w:tc>
        <w:tc>
          <w:tcPr>
            <w:tcW w:type="dxa" w:w="2160"/>
          </w:tcPr>
          <w:p>
            <w:r>
              <w:t>Перхоть собаки</w:t>
            </w:r>
          </w:p>
        </w:tc>
        <w:tc>
          <w:tcPr>
            <w:tcW w:type="dxa" w:w="2160"/>
          </w:tcPr>
          <w:p>
            <w:r>
              <w:t>Эпидермальные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M6</w:t>
            </w:r>
          </w:p>
        </w:tc>
        <w:tc>
          <w:tcPr>
            <w:tcW w:type="dxa" w:w="2160"/>
          </w:tcPr>
          <w:p>
            <w:r>
              <w:t>Alternaria alternata</w:t>
            </w:r>
          </w:p>
        </w:tc>
        <w:tc>
          <w:tcPr>
            <w:tcW w:type="dxa" w:w="2160"/>
          </w:tcPr>
          <w:p>
            <w:r>
              <w:t>Плесень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Ольха серая</w:t>
            </w:r>
          </w:p>
        </w:tc>
        <w:tc>
          <w:tcPr>
            <w:tcW w:type="dxa" w:w="2160"/>
          </w:tcPr>
          <w:p>
            <w:r>
              <w:t>Деревья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Береза белая</w:t>
            </w:r>
          </w:p>
        </w:tc>
        <w:tc>
          <w:tcPr>
            <w:tcW w:type="dxa" w:w="2160"/>
          </w:tcPr>
          <w:p>
            <w:r>
              <w:t>Деревья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T4</w:t>
            </w:r>
          </w:p>
        </w:tc>
        <w:tc>
          <w:tcPr>
            <w:tcW w:type="dxa" w:w="2160"/>
          </w:tcPr>
          <w:p>
            <w:r>
              <w:t>Лещина/орешник</w:t>
            </w:r>
          </w:p>
        </w:tc>
        <w:tc>
          <w:tcPr>
            <w:tcW w:type="dxa" w:w="2160"/>
          </w:tcPr>
          <w:p>
            <w:r>
              <w:t>Деревья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T14</w:t>
            </w:r>
          </w:p>
        </w:tc>
        <w:tc>
          <w:tcPr>
            <w:tcW w:type="dxa" w:w="2160"/>
          </w:tcPr>
          <w:p>
            <w:r>
              <w:t>Тополь</w:t>
            </w:r>
          </w:p>
        </w:tc>
        <w:tc>
          <w:tcPr>
            <w:tcW w:type="dxa" w:w="2160"/>
          </w:tcPr>
          <w:p>
            <w:r>
              <w:t>Деревья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W1</w:t>
            </w:r>
          </w:p>
        </w:tc>
        <w:tc>
          <w:tcPr>
            <w:tcW w:type="dxa" w:w="2160"/>
          </w:tcPr>
          <w:p>
            <w:r>
              <w:t>Амброзия полыннолистная</w:t>
            </w:r>
          </w:p>
        </w:tc>
        <w:tc>
          <w:tcPr>
            <w:tcW w:type="dxa" w:w="2160"/>
          </w:tcPr>
          <w:p>
            <w:r>
              <w:t>Сорные травы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W6</w:t>
            </w:r>
          </w:p>
        </w:tc>
        <w:tc>
          <w:tcPr>
            <w:tcW w:type="dxa" w:w="2160"/>
          </w:tcPr>
          <w:p>
            <w:r>
              <w:t>Полынь обыкновенная</w:t>
            </w:r>
          </w:p>
        </w:tc>
        <w:tc>
          <w:tcPr>
            <w:tcW w:type="dxa" w:w="2160"/>
          </w:tcPr>
          <w:p>
            <w:r>
              <w:t>Сорные травы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W15</w:t>
            </w:r>
          </w:p>
        </w:tc>
        <w:tc>
          <w:tcPr>
            <w:tcW w:type="dxa" w:w="2160"/>
          </w:tcPr>
          <w:p>
            <w:r>
              <w:t>Лебеда</w:t>
            </w:r>
          </w:p>
        </w:tc>
        <w:tc>
          <w:tcPr>
            <w:tcW w:type="dxa" w:w="2160"/>
          </w:tcPr>
          <w:p>
            <w:r>
              <w:t>Сорные травы</w:t>
            </w:r>
          </w:p>
        </w:tc>
      </w:tr>
      <w:tr>
        <w:tc>
          <w:tcPr>
            <w:tcW w:type="dxa" w:w="2160"/>
          </w:tcPr>
          <w:p>
            <w:r>
              <w:t>12-17</w:t>
            </w:r>
          </w:p>
        </w:tc>
        <w:tc>
          <w:tcPr>
            <w:tcW w:type="dxa" w:w="2160"/>
          </w:tcPr>
          <w:p>
            <w:r>
              <w:t>G3-G13</w:t>
            </w:r>
          </w:p>
        </w:tc>
        <w:tc>
          <w:tcPr>
            <w:tcW w:type="dxa" w:w="2160"/>
          </w:tcPr>
          <w:p>
            <w:r>
              <w:t>Злаковые травы</w:t>
            </w:r>
          </w:p>
        </w:tc>
        <w:tc>
          <w:tcPr>
            <w:tcW w:type="dxa" w:w="2160"/>
          </w:tcPr>
          <w:p>
            <w:r>
              <w:t>Травы</w:t>
            </w:r>
          </w:p>
        </w:tc>
      </w:tr>
      <w:tr>
        <w:tc>
          <w:tcPr>
            <w:tcW w:type="dxa" w:w="2160"/>
          </w:tcPr>
          <w:p>
            <w:r>
              <w:t>18-20</w:t>
            </w:r>
          </w:p>
        </w:tc>
        <w:tc>
          <w:tcPr>
            <w:tcW w:type="dxa" w:w="2160"/>
          </w:tcPr>
          <w:p>
            <w:r>
              <w:t>RT301-304</w:t>
            </w:r>
          </w:p>
        </w:tc>
        <w:tc>
          <w:tcPr>
            <w:tcW w:type="dxa" w:w="2160"/>
          </w:tcPr>
          <w:p>
            <w:r>
              <w:t>Компоненты березы</w:t>
            </w:r>
          </w:p>
        </w:tc>
        <w:tc>
          <w:tcPr>
            <w:tcW w:type="dxa" w:w="2160"/>
          </w:tcPr>
          <w:p>
            <w:r>
              <w:t>Компоненты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Контрольные антитела</w:t>
            </w:r>
          </w:p>
        </w:tc>
        <w:tc>
          <w:tcPr>
            <w:tcW w:type="dxa" w:w="2160"/>
          </w:tcPr>
          <w:p>
            <w:r>
              <w:t>Контроль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Пустые ячейки (фон)</w:t>
            </w:r>
          </w:p>
        </w:tc>
        <w:tc>
          <w:tcPr>
            <w:tcW w:type="dxa" w:w="2160"/>
          </w:tcPr>
          <w:p>
            <w:r>
              <w:t>Фон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Маркер БСА-Cy5</w:t>
            </w:r>
          </w:p>
        </w:tc>
        <w:tc>
          <w:tcPr>
            <w:tcW w:type="dxa" w:w="2160"/>
          </w:tcPr>
          <w:p>
            <w:r>
              <w:t>Маркер</w:t>
            </w:r>
          </w:p>
        </w:tc>
      </w:tr>
    </w:tbl>
    <w:p>
      <w:pPr>
        <w:pStyle w:val="Heading1"/>
      </w:pPr>
      <w:r>
        <w:t>3. ПОТОК ДАННЫХ И ИЗВЛЕЧЕНИЕ</w:t>
      </w:r>
    </w:p>
    <w:p>
      <w:r>
        <w:t>3.1. Структура CSV файла</w:t>
      </w:r>
    </w:p>
    <w:p>
      <w:r>
        <w:t>Данные представлены в CSV файле в строках 61-68. Каждая строка содержит измерения флуоресценции для всех позиций на чипе. Первое значение в каждой строке соответствует позиции 23 (маркер БСА-Cy5), затем данные идут последовательно по позициям согласно физическому layout чипа.</w:t>
      </w:r>
    </w:p>
    <w:p/>
    <w:p>
      <w:r>
        <w:t>3.2. Организация повторов</w:t>
      </w:r>
    </w:p>
    <w:p>
      <w:r>
        <w:t>Строки 1-4 содержат первые повторы всех позиций. Строки 5-8 содержат вторые, третьи и четвертые повторы соответственно. Таким образом, для каждого аллергена имеется 4 независимых измерения.</w:t>
      </w:r>
    </w:p>
    <w:p>
      <w:pPr>
        <w:pStyle w:val="Heading1"/>
      </w:pPr>
      <w:r>
        <w:t>4. МЕТОДОЛОГИЯ ОБРАБОТКИ (МЕТОД 3А)</w:t>
      </w:r>
    </w:p>
    <w:p>
      <w:r>
        <w:t>4.1. Общий принцип</w:t>
      </w:r>
    </w:p>
    <w:p>
      <w:r>
        <w:t>Метод 3а предусматривает удаление экстремальных значений (минимального и максимального) из 4-х повторов и усреднение двух средних значений. Данный подход повышает надежность результатов, исключая выбросы.</w:t>
      </w:r>
    </w:p>
    <w:p/>
    <w:p>
      <w:r>
        <w:t>4.2. Пошаговый алгоритм</w:t>
      </w:r>
    </w:p>
    <w:p>
      <w:r>
        <w:rPr>
          <w:b/>
        </w:rPr>
        <w:t xml:space="preserve">Шаг 1: </w:t>
      </w:r>
      <w:r>
        <w:t>Извлечение сырых данных для каждого аллергена (4 повтора)</w:t>
      </w:r>
    </w:p>
    <w:p>
      <w:r>
        <w:rPr>
          <w:b/>
        </w:rPr>
        <w:t xml:space="preserve">Шаг 2: </w:t>
      </w:r>
      <w:r>
        <w:t>Сортировка значений по возрастанию</w:t>
      </w:r>
    </w:p>
    <w:p>
      <w:r>
        <w:rPr>
          <w:b/>
        </w:rPr>
        <w:t xml:space="preserve">Шаг 3: </w:t>
      </w:r>
      <w:r>
        <w:t>Исключение минимального и максимального значений</w:t>
      </w:r>
    </w:p>
    <w:p>
      <w:r>
        <w:rPr>
          <w:b/>
        </w:rPr>
        <w:t xml:space="preserve">Шаг 4: </w:t>
      </w:r>
      <w:r>
        <w:t>Вычисление среднего арифметического двух средних значений</w:t>
      </w:r>
    </w:p>
    <w:p>
      <w:r>
        <w:rPr>
          <w:b/>
        </w:rPr>
        <w:t xml:space="preserve">Шаг 5: </w:t>
      </w:r>
      <w:r>
        <w:t>Аналогичная обработка фоновых значений (позиция 22)</w:t>
      </w:r>
    </w:p>
    <w:p>
      <w:r>
        <w:rPr>
          <w:b/>
        </w:rPr>
        <w:t xml:space="preserve">Шаг 6: </w:t>
      </w:r>
      <w:r>
        <w:t>Вычитание фона: Сигнал_скорр = Сигнал_аллерген - Сигнал_фон</w:t>
      </w:r>
    </w:p>
    <w:p>
      <w:pPr>
        <w:pStyle w:val="Heading1"/>
      </w:pPr>
      <w:r>
        <w:t>5. РАСЧЕТ ФОНОВОГО СИГНАЛА</w:t>
      </w:r>
    </w:p>
    <w:p>
      <w:r>
        <w:t>Фоновый сигнал определяется из пустых ячеек (позиция 22) и представляет неспецифическое связывание и аппаратурный шум. Крайне важно использовать именно пустые ячейки, а не маркерные позиции для расчета фона.</w:t>
      </w:r>
    </w:p>
    <w:p/>
    <w:p>
      <w:r>
        <w:t>Формула расчета фона (метод 3а):</w:t>
      </w:r>
    </w:p>
    <w:p>
      <w:r>
        <w:rPr>
          <w:i/>
        </w:rPr>
        <w:t>Фон = (Значение₂ + Значение₃) / 2</w:t>
      </w:r>
    </w:p>
    <w:p>
      <w:r>
        <w:rPr>
          <w:i/>
        </w:rPr>
        <w:t>где Значение₂ и Значение₃ — средние значения после исключения мин/макс</w:t>
      </w:r>
    </w:p>
    <w:p>
      <w:pPr>
        <w:pStyle w:val="Heading1"/>
      </w:pPr>
      <w:r>
        <w:t>6. ПЕРЕСЧЕТ В КОНЦЕНТРАЦИИ</w:t>
      </w:r>
    </w:p>
    <w:p>
      <w:r>
        <w:t>Скорректированные значения сигнала пересчитываются в концентрации IgE (МЕ/мл) с использованием калибровочного коэффициента, определенного экспериментально.</w:t>
      </w:r>
    </w:p>
    <w:p/>
    <w:p>
      <w:r>
        <w:t>Калибровочная формула:</w:t>
      </w:r>
    </w:p>
    <w:p>
      <w:r>
        <w:rPr>
          <w:i/>
        </w:rPr>
        <w:t>Концентрация (МЕ/мл) = Сигнал_скорр × (0.35 / 90)</w:t>
      </w:r>
    </w:p>
    <w:p>
      <w:r>
        <w:rPr>
          <w:i/>
        </w:rPr>
        <w:t>где 0.35 МЕ/мл соответствует 90 условным единицам сигнала</w:t>
      </w:r>
    </w:p>
    <w:p>
      <w:pPr>
        <w:pStyle w:val="Heading1"/>
      </w:pPr>
      <w:r>
        <w:t>7. КЛАССИФИКАЦИЯ РЕЗУЛЬТАТОВ</w:t>
      </w:r>
    </w:p>
    <w:p>
      <w:r>
        <w:t>Концентрации классифицируются согласно международным стандартам клинической значимости специфических IgE антител: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Диапазон (МЕ/мл)</w:t>
            </w:r>
          </w:p>
        </w:tc>
        <w:tc>
          <w:tcPr>
            <w:tcW w:type="dxa" w:w="2160"/>
          </w:tcPr>
          <w:p>
            <w:r>
              <w:t>Класс</w:t>
            </w:r>
          </w:p>
        </w:tc>
        <w:tc>
          <w:tcPr>
            <w:tcW w:type="dxa" w:w="2160"/>
          </w:tcPr>
          <w:p>
            <w:r>
              <w:t>Уровень</w:t>
            </w:r>
          </w:p>
        </w:tc>
        <w:tc>
          <w:tcPr>
            <w:tcW w:type="dxa" w:w="2160"/>
          </w:tcPr>
          <w:p>
            <w:r>
              <w:t>Клиническая значимость</w:t>
            </w:r>
          </w:p>
        </w:tc>
      </w:tr>
      <w:tr>
        <w:tc>
          <w:tcPr>
            <w:tcW w:type="dxa" w:w="2160"/>
          </w:tcPr>
          <w:p>
            <w:r>
              <w:t>≤ 0.35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Не значимый</w:t>
            </w:r>
          </w:p>
        </w:tc>
        <w:tc>
          <w:tcPr>
            <w:tcW w:type="dxa" w:w="2160"/>
          </w:tcPr>
          <w:p>
            <w:r>
              <w:t>Аллергия отсутствует</w:t>
            </w:r>
          </w:p>
        </w:tc>
      </w:tr>
      <w:tr>
        <w:tc>
          <w:tcPr>
            <w:tcW w:type="dxa" w:w="2160"/>
          </w:tcPr>
          <w:p>
            <w:r>
              <w:t>0.36 - 0.50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Очень низкий</w:t>
            </w:r>
          </w:p>
        </w:tc>
        <w:tc>
          <w:tcPr>
            <w:tcW w:type="dxa" w:w="2160"/>
          </w:tcPr>
          <w:p>
            <w:r>
              <w:t>Сомнительная значимость</w:t>
            </w:r>
          </w:p>
        </w:tc>
      </w:tr>
      <w:tr>
        <w:tc>
          <w:tcPr>
            <w:tcW w:type="dxa" w:w="2160"/>
          </w:tcPr>
          <w:p>
            <w:r>
              <w:t>0.51 - 1.00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Низкий</w:t>
            </w:r>
          </w:p>
        </w:tc>
        <w:tc>
          <w:tcPr>
            <w:tcW w:type="dxa" w:w="2160"/>
          </w:tcPr>
          <w:p>
            <w:r>
              <w:t>Возможная аллергия</w:t>
            </w:r>
          </w:p>
        </w:tc>
      </w:tr>
      <w:tr>
        <w:tc>
          <w:tcPr>
            <w:tcW w:type="dxa" w:w="2160"/>
          </w:tcPr>
          <w:p>
            <w:r>
              <w:t>1.01 - 5.00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Средний</w:t>
            </w:r>
          </w:p>
        </w:tc>
        <w:tc>
          <w:tcPr>
            <w:tcW w:type="dxa" w:w="2160"/>
          </w:tcPr>
          <w:p>
            <w:r>
              <w:t>Умеренная аллергия</w:t>
            </w:r>
          </w:p>
        </w:tc>
      </w:tr>
      <w:tr>
        <w:tc>
          <w:tcPr>
            <w:tcW w:type="dxa" w:w="2160"/>
          </w:tcPr>
          <w:p>
            <w:r>
              <w:t>5.01 - 25.00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Высокий</w:t>
            </w:r>
          </w:p>
        </w:tc>
        <w:tc>
          <w:tcPr>
            <w:tcW w:type="dxa" w:w="2160"/>
          </w:tcPr>
          <w:p>
            <w:r>
              <w:t>Выраженная аллергия</w:t>
            </w:r>
          </w:p>
        </w:tc>
      </w:tr>
      <w:tr>
        <w:tc>
          <w:tcPr>
            <w:tcW w:type="dxa" w:w="2160"/>
          </w:tcPr>
          <w:p>
            <w:r>
              <w:t>25.01 - 75.00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Очень высокий</w:t>
            </w:r>
          </w:p>
        </w:tc>
        <w:tc>
          <w:tcPr>
            <w:tcW w:type="dxa" w:w="2160"/>
          </w:tcPr>
          <w:p>
            <w:r>
              <w:t>Тяжелая аллергия</w:t>
            </w:r>
          </w:p>
        </w:tc>
      </w:tr>
      <w:tr>
        <w:tc>
          <w:tcPr>
            <w:tcW w:type="dxa" w:w="2160"/>
          </w:tcPr>
          <w:p>
            <w:r>
              <w:t>&gt; 75.00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Исключительно высокий</w:t>
            </w:r>
          </w:p>
        </w:tc>
        <w:tc>
          <w:tcPr>
            <w:tcW w:type="dxa" w:w="2160"/>
          </w:tcPr>
          <w:p>
            <w:r>
              <w:t>Крайне тяжелая аллергия</w:t>
            </w:r>
          </w:p>
        </w:tc>
      </w:tr>
    </w:tbl>
    <w:p>
      <w:pPr>
        <w:pStyle w:val="Heading1"/>
      </w:pPr>
      <w:r>
        <w:t>8. КРИТИЧЕСКИЕ МОМЕНТЫ И ЧАСТЫЕ ОШИБКИ</w:t>
      </w:r>
    </w:p>
    <w:p>
      <w:r>
        <w:t>8.1. Типичные ошибки</w:t>
      </w:r>
    </w:p>
    <w:p>
      <w:r>
        <w:rPr>
          <w:b/>
        </w:rPr>
        <w:t xml:space="preserve">❌ </w:t>
      </w:r>
      <w:r>
        <w:t>Использование маркеров вместо пустых ячеек для расчета фона</w:t>
      </w:r>
    </w:p>
    <w:p>
      <w:r>
        <w:rPr>
          <w:b/>
        </w:rPr>
        <w:t xml:space="preserve">❌ </w:t>
      </w:r>
      <w:r>
        <w:t>Неправильная интерпретация структуры данных</w:t>
      </w:r>
    </w:p>
    <w:p>
      <w:r>
        <w:rPr>
          <w:b/>
        </w:rPr>
        <w:t xml:space="preserve">❌ </w:t>
      </w:r>
      <w:r>
        <w:t>Применение простого усреднения вместо метода 3а</w:t>
      </w:r>
    </w:p>
    <w:p>
      <w:r>
        <w:rPr>
          <w:b/>
        </w:rPr>
        <w:t xml:space="preserve">❌ </w:t>
      </w:r>
      <w:r>
        <w:t>Игнорирование контрольных примеров из инструкций</w:t>
      </w:r>
    </w:p>
    <w:p/>
    <w:p>
      <w:r>
        <w:t>8.2. Контроль качества</w:t>
      </w:r>
    </w:p>
    <w:p>
      <w:r>
        <w:rPr>
          <w:b/>
        </w:rPr>
        <w:t xml:space="preserve">✅ </w:t>
      </w:r>
      <w:r>
        <w:t>Проверка соответствия результатов контрольным примерам</w:t>
      </w:r>
    </w:p>
    <w:p>
      <w:r>
        <w:rPr>
          <w:b/>
        </w:rPr>
        <w:t xml:space="preserve">✅ </w:t>
      </w:r>
      <w:r>
        <w:t>Анализ биологической разумности результатов</w:t>
      </w:r>
    </w:p>
    <w:p>
      <w:r>
        <w:rPr>
          <w:b/>
        </w:rPr>
        <w:t xml:space="preserve">✅ </w:t>
      </w:r>
      <w:r>
        <w:t>Контроль стабильности фонового сигнала</w:t>
      </w:r>
    </w:p>
    <w:p>
      <w:pPr>
        <w:pStyle w:val="Heading1"/>
      </w:pPr>
      <w:r>
        <w:t>9. ПРИМЕР РАСЧЕТА (D1 - КЛЕЩЕВОЙ АЛЛЕРГЕН)</w:t>
      </w:r>
    </w:p>
    <w:p>
      <w:r>
        <w:t>Рассмотрим детальный расчет для аллергена D1 согласно примеру из инструкций:</w:t>
      </w:r>
    </w:p>
    <w:p/>
    <w:p>
      <w:r>
        <w:t>Исходные данные:</w:t>
      </w:r>
    </w:p>
    <w:p>
      <w:r>
        <w:rPr>
          <w:b/>
        </w:rPr>
        <w:t xml:space="preserve">D1 сырые значения: </w:t>
      </w:r>
      <w:r>
        <w:t>[446.8601, 473.3045, 508.8601, 501.5268]</w:t>
      </w:r>
    </w:p>
    <w:p>
      <w:r>
        <w:rPr>
          <w:b/>
        </w:rPr>
        <w:t xml:space="preserve">Фон сырые значения: </w:t>
      </w:r>
      <w:r>
        <w:t>[321.0823, 353.9712, 360.8601, 354.4156]</w:t>
      </w:r>
    </w:p>
    <w:p/>
    <w:p>
      <w:r>
        <w:t>Применение метода 3а:</w:t>
      </w:r>
    </w:p>
    <w:p>
      <w:r>
        <w:rPr>
          <w:b/>
        </w:rPr>
        <w:t xml:space="preserve">1. </w:t>
      </w:r>
      <w:r>
        <w:t>Сортировка D1: [446.8601, 473.3045, 501.5268, 508.8601]</w:t>
      </w:r>
    </w:p>
    <w:p>
      <w:r>
        <w:rPr>
          <w:b/>
        </w:rPr>
        <w:t xml:space="preserve">2. </w:t>
      </w:r>
      <w:r>
        <w:t>Средние значения D1: [473.3045, 501.5268]</w:t>
      </w:r>
    </w:p>
    <w:p>
      <w:r>
        <w:rPr>
          <w:b/>
        </w:rPr>
        <w:t xml:space="preserve">3. </w:t>
      </w:r>
      <w:r>
        <w:t>Среднее D1: (473.3045 + 501.5268) / 2 = 487.4157</w:t>
      </w:r>
    </w:p>
    <w:p>
      <w:r>
        <w:rPr>
          <w:b/>
        </w:rPr>
        <w:t xml:space="preserve">4. </w:t>
      </w:r>
      <w:r>
        <w:t>Сортировка фона: [321.0823, 353.9712, 354.4156, 360.8601]</w:t>
      </w:r>
    </w:p>
    <w:p>
      <w:r>
        <w:rPr>
          <w:b/>
        </w:rPr>
        <w:t xml:space="preserve">5. </w:t>
      </w:r>
      <w:r>
        <w:t>Средние значения фона: [353.9712, 354.4156]</w:t>
      </w:r>
    </w:p>
    <w:p>
      <w:r>
        <w:rPr>
          <w:b/>
        </w:rPr>
        <w:t xml:space="preserve">6. </w:t>
      </w:r>
      <w:r>
        <w:t>Среднее фона: (353.9712 + 354.4156) / 2 = 354.1934</w:t>
      </w:r>
    </w:p>
    <w:p>
      <w:r>
        <w:rPr>
          <w:b/>
        </w:rPr>
        <w:t xml:space="preserve">7. </w:t>
      </w:r>
      <w:r>
        <w:t>Скорректированный сигнал: 487.4157 - 354.1934 = 133.2223</w:t>
      </w:r>
    </w:p>
    <w:p>
      <w:r>
        <w:rPr>
          <w:b/>
        </w:rPr>
        <w:t xml:space="preserve">8. </w:t>
      </w:r>
      <w:r>
        <w:t>Концентрация: 133.2223 × (0.35/90) = 0.518 МЕ/мл</w:t>
      </w:r>
    </w:p>
    <w:p>
      <w:r>
        <w:rPr>
          <w:b/>
        </w:rPr>
        <w:t xml:space="preserve">9. </w:t>
      </w:r>
      <w:r>
        <w:t>Классификация: Низкий уровень (класс 1)</w:t>
      </w:r>
    </w:p>
    <w:p>
      <w:pPr>
        <w:pStyle w:val="Heading1"/>
      </w:pPr>
      <w:r>
        <w:t>10. ИНТЕРПРЕТАЦИЯ РЕЗУЛЬТАТОВ</w:t>
      </w:r>
    </w:p>
    <w:p>
      <w:r>
        <w:t>При интерпретации результатов следует учитывать клинический контекст, анамнез пациента и сезонные факторы. Особое внимание уделяется:</w:t>
      </w:r>
    </w:p>
    <w:p>
      <w:r>
        <w:rPr>
          <w:b/>
        </w:rPr>
        <w:t xml:space="preserve">• </w:t>
      </w:r>
      <w:r>
        <w:t>Доминирующим аллергенам с высокими концентрациями</w:t>
      </w:r>
    </w:p>
    <w:p>
      <w:r>
        <w:rPr>
          <w:b/>
        </w:rPr>
        <w:t xml:space="preserve">• </w:t>
      </w:r>
      <w:r>
        <w:t>Кластерам родственных аллергенов (перекрестные реакции)</w:t>
      </w:r>
    </w:p>
    <w:p>
      <w:r>
        <w:rPr>
          <w:b/>
        </w:rPr>
        <w:t xml:space="preserve">• </w:t>
      </w:r>
      <w:r>
        <w:t>Соответствию результатов клинической картине</w:t>
      </w:r>
    </w:p>
    <w:p>
      <w:pPr>
        <w:pStyle w:val="Heading1"/>
      </w:pPr>
      <w:r>
        <w:t>11. ЗАКЛЮЧЕНИЕ</w:t>
      </w:r>
    </w:p>
    <w:p>
      <w:r>
        <w:t>Данная методика обеспечивает точный и воспроизводимый анализ данных аллергочипа при условии строгого соблюдения всех этапов обработки. Критический анализ результатов и их валидация являются неотъемлемой частью качественного анализа.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