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АНАЛИЗ АЛЛЕРГОЧИПА - ФИНАЛЬНАЯ МЕТОДИКА</w:t>
      </w:r>
    </w:p>
    <w:p>
      <w:pPr>
        <w:jc w:val="center"/>
      </w:pPr>
      <w:r>
        <w:rPr>
          <w:b/>
        </w:rPr>
        <w:t>Дата анализа: 10.09.2025</w:t>
      </w:r>
      <w:r>
        <w:br/>
        <w:t>Версия: Финальная с исправленным маппингом</w:t>
      </w:r>
    </w:p>
    <w:p>
      <w:pPr>
        <w:pStyle w:val="Heading1"/>
      </w:pPr>
      <w:r>
        <w:t>1. ОБЗОР АНАЛИЗА</w:t>
      </w:r>
    </w:p>
    <w:p>
      <w:r>
        <w:t>Данный анализ аллергочипа выполнен согласно детальным инструкциям, представленным в файлах от 10.09.2025. Применена исправленная методология с корректным маппингом столбцов данных и точным следованием протоколу обработки.</w:t>
      </w:r>
    </w:p>
    <w:p>
      <w:pPr>
        <w:pStyle w:val="Heading1"/>
      </w:pPr>
      <w:r>
        <w:t>2. ИСТОЧНИКИ ДАННЫХ</w:t>
      </w:r>
    </w:p>
    <w:p>
      <w:r>
        <w:rPr>
          <w:b/>
        </w:rPr>
        <w:t xml:space="preserve">• </w:t>
      </w:r>
      <w:r>
        <w:t>CSV файл: 10.09.2025 Входные данные аллергочип copy.csv</w:t>
      </w:r>
    </w:p>
    <w:p>
      <w:r>
        <w:rPr>
          <w:b/>
        </w:rPr>
        <w:t xml:space="preserve">• </w:t>
      </w:r>
      <w:r>
        <w:t>PDF инструкции: 10.09.2025 Входные данные аллергочип copy.pdf</w:t>
      </w:r>
    </w:p>
    <w:p>
      <w:r>
        <w:rPr>
          <w:b/>
        </w:rPr>
        <w:t xml:space="preserve">• </w:t>
      </w:r>
      <w:r>
        <w:t>Шаблон чипа: 23 позиции, каждая в 4-х повторах</w:t>
      </w:r>
    </w:p>
    <w:p>
      <w:pPr>
        <w:pStyle w:val="Heading1"/>
      </w:pPr>
      <w:r>
        <w:t>3. СХЕМА АЛЛЕРГОЧИПА</w:t>
      </w:r>
    </w:p>
    <w:p>
      <w:r>
        <w:t>Аллергочип содержит 23 позиции: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№</w:t>
            </w:r>
          </w:p>
        </w:tc>
        <w:tc>
          <w:tcPr>
            <w:tcW w:type="dxa" w:w="2880"/>
          </w:tcPr>
          <w:p>
            <w:r>
              <w:t>Код</w:t>
            </w:r>
          </w:p>
        </w:tc>
        <w:tc>
          <w:tcPr>
            <w:tcW w:type="dxa" w:w="2880"/>
          </w:tcPr>
          <w:p>
            <w:r>
              <w:t>Название аллергена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D1</w:t>
            </w:r>
          </w:p>
        </w:tc>
        <w:tc>
          <w:tcPr>
            <w:tcW w:type="dxa" w:w="2880"/>
          </w:tcPr>
          <w:p>
            <w:r>
              <w:t>Клещевой аллерген домашней пыли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E1</w:t>
            </w:r>
          </w:p>
        </w:tc>
        <w:tc>
          <w:tcPr>
            <w:tcW w:type="dxa" w:w="2880"/>
          </w:tcPr>
          <w:p>
            <w:r>
              <w:t>Эпителий кошки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E5</w:t>
            </w:r>
          </w:p>
        </w:tc>
        <w:tc>
          <w:tcPr>
            <w:tcW w:type="dxa" w:w="2880"/>
          </w:tcPr>
          <w:p>
            <w:r>
              <w:t>Перхоть собаки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M6</w:t>
            </w:r>
          </w:p>
        </w:tc>
        <w:tc>
          <w:tcPr>
            <w:tcW w:type="dxa" w:w="2880"/>
          </w:tcPr>
          <w:p>
            <w:r>
              <w:t>Alternaria alternata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T2</w:t>
            </w:r>
          </w:p>
        </w:tc>
        <w:tc>
          <w:tcPr>
            <w:tcW w:type="dxa" w:w="2880"/>
          </w:tcPr>
          <w:p>
            <w:r>
              <w:t>Ольха серая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T3</w:t>
            </w:r>
          </w:p>
        </w:tc>
        <w:tc>
          <w:tcPr>
            <w:tcW w:type="dxa" w:w="2880"/>
          </w:tcPr>
          <w:p>
            <w:r>
              <w:t>Береза белая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T4</w:t>
            </w:r>
          </w:p>
        </w:tc>
        <w:tc>
          <w:tcPr>
            <w:tcW w:type="dxa" w:w="2880"/>
          </w:tcPr>
          <w:p>
            <w:r>
              <w:t>Лещина/орешник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T14</w:t>
            </w:r>
          </w:p>
        </w:tc>
        <w:tc>
          <w:tcPr>
            <w:tcW w:type="dxa" w:w="2880"/>
          </w:tcPr>
          <w:p>
            <w:r>
              <w:t>Тополь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W1</w:t>
            </w:r>
          </w:p>
        </w:tc>
        <w:tc>
          <w:tcPr>
            <w:tcW w:type="dxa" w:w="2880"/>
          </w:tcPr>
          <w:p>
            <w:r>
              <w:t>Амброзия полыннолистная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W6</w:t>
            </w:r>
          </w:p>
        </w:tc>
        <w:tc>
          <w:tcPr>
            <w:tcW w:type="dxa" w:w="2880"/>
          </w:tcPr>
          <w:p>
            <w:r>
              <w:t>Полынь обыкновенная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W15</w:t>
            </w:r>
          </w:p>
        </w:tc>
        <w:tc>
          <w:tcPr>
            <w:tcW w:type="dxa" w:w="2880"/>
          </w:tcPr>
          <w:p>
            <w:r>
              <w:t>Лебеда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G3</w:t>
            </w:r>
          </w:p>
        </w:tc>
        <w:tc>
          <w:tcPr>
            <w:tcW w:type="dxa" w:w="2880"/>
          </w:tcPr>
          <w:p>
            <w:r>
              <w:t>Ежа сборная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G4</w:t>
            </w:r>
          </w:p>
        </w:tc>
        <w:tc>
          <w:tcPr>
            <w:tcW w:type="dxa" w:w="2880"/>
          </w:tcPr>
          <w:p>
            <w:r>
              <w:t>Овсянница луговая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G5</w:t>
            </w:r>
          </w:p>
        </w:tc>
        <w:tc>
          <w:tcPr>
            <w:tcW w:type="dxa" w:w="2880"/>
          </w:tcPr>
          <w:p>
            <w:r>
              <w:t>Райграс пастбищный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G6</w:t>
            </w:r>
          </w:p>
        </w:tc>
        <w:tc>
          <w:tcPr>
            <w:tcW w:type="dxa" w:w="2880"/>
          </w:tcPr>
          <w:p>
            <w:r>
              <w:t>Тимофеевка луговая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G8</w:t>
            </w:r>
          </w:p>
        </w:tc>
        <w:tc>
          <w:tcPr>
            <w:tcW w:type="dxa" w:w="2880"/>
          </w:tcPr>
          <w:p>
            <w:r>
              <w:t>Мятлик луговой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G13</w:t>
            </w:r>
          </w:p>
        </w:tc>
        <w:tc>
          <w:tcPr>
            <w:tcW w:type="dxa" w:w="2880"/>
          </w:tcPr>
          <w:p>
            <w:r>
              <w:t>Бухарник шерстистый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RT301</w:t>
            </w:r>
          </w:p>
        </w:tc>
        <w:tc>
          <w:tcPr>
            <w:tcW w:type="dxa" w:w="2880"/>
          </w:tcPr>
          <w:p>
            <w:r>
              <w:t>Береза, рекомбинантный компонент Bet v1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RT302</w:t>
            </w:r>
          </w:p>
        </w:tc>
        <w:tc>
          <w:tcPr>
            <w:tcW w:type="dxa" w:w="2880"/>
          </w:tcPr>
          <w:p>
            <w:r>
              <w:t>Береза, рекомбинантный компонент Bet v2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RT304</w:t>
            </w:r>
          </w:p>
        </w:tc>
        <w:tc>
          <w:tcPr>
            <w:tcW w:type="dxa" w:w="2880"/>
          </w:tcPr>
          <w:p>
            <w:r>
              <w:t>Береза, рекомбинантный компонент Bet v4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Goat-Anti-Human-IgE (контроль)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Пустая ячейка (фон)</w:t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БСА-Cy5 (маркер)</w:t>
            </w:r>
          </w:p>
        </w:tc>
      </w:tr>
    </w:tbl>
    <w:p>
      <w:pPr>
        <w:pStyle w:val="Heading1"/>
      </w:pPr>
      <w:r>
        <w:t>4. МЕТОДОЛОГИЯ ОБРАБОТКИ</w:t>
      </w:r>
    </w:p>
    <w:p>
      <w:r>
        <w:rPr>
          <w:b/>
        </w:rPr>
        <w:t>Применен метод 3а согласно инструкциям:</w:t>
      </w:r>
    </w:p>
    <w:p>
      <w:r>
        <w:rPr>
          <w:b/>
        </w:rPr>
        <w:t xml:space="preserve">1. </w:t>
      </w:r>
      <w:r>
        <w:t>Извлечение данных из 8-ми измерений (строки 61-68 CSV)</w:t>
      </w:r>
    </w:p>
    <w:p>
      <w:r>
        <w:rPr>
          <w:b/>
        </w:rPr>
        <w:t xml:space="preserve">2. </w:t>
      </w:r>
      <w:r>
        <w:t>Расчет фона из маркерных столбцов (первый и последний)</w:t>
      </w:r>
    </w:p>
    <w:p>
      <w:r>
        <w:rPr>
          <w:b/>
        </w:rPr>
        <w:t xml:space="preserve">3. </w:t>
      </w:r>
      <w:r>
        <w:t>Для каждого аллергена: исключение мин/макс значений из 8 измерений</w:t>
      </w:r>
    </w:p>
    <w:p>
      <w:r>
        <w:rPr>
          <w:b/>
        </w:rPr>
        <w:t xml:space="preserve">4. </w:t>
      </w:r>
      <w:r>
        <w:t>Вычисление среднего из оставшихся 6 значений</w:t>
      </w:r>
    </w:p>
    <w:p>
      <w:r>
        <w:rPr>
          <w:b/>
        </w:rPr>
        <w:t xml:space="preserve">5. </w:t>
      </w:r>
      <w:r>
        <w:t>Вычитание среднего фона</w:t>
      </w:r>
    </w:p>
    <w:p>
      <w:r>
        <w:rPr>
          <w:b/>
        </w:rPr>
        <w:t xml:space="preserve">6. </w:t>
      </w:r>
      <w:r>
        <w:t>Пересчет в концентрации: 0.35 МЕ/мл = 90 у.е.</w:t>
      </w:r>
    </w:p>
    <w:p>
      <w:pPr>
        <w:pStyle w:val="Heading1"/>
      </w:pPr>
      <w:r>
        <w:t>5. КЛЮЧЕВЫЕ ПАРАМЕТРЫ АНАЛИЗА</w:t>
      </w:r>
    </w:p>
    <w:p>
      <w:r>
        <w:rPr>
          <w:b/>
        </w:rPr>
        <w:t>• Средний фон (маркеры): 6154.47 у.е.</w:t>
      </w:r>
    </w:p>
    <w:p>
      <w:r>
        <w:t>• Калибровочный коэффициент: 0.35 МЕ/мл = 90 у.е.</w:t>
      </w:r>
    </w:p>
    <w:p>
      <w:r>
        <w:t>• Количество измерений: 8</w:t>
      </w:r>
    </w:p>
    <w:p>
      <w:r>
        <w:t>• Метод усреднения: исключение мин/макс</w:t>
      </w:r>
    </w:p>
    <w:p>
      <w:pPr>
        <w:pStyle w:val="Heading1"/>
      </w:pPr>
      <w:r>
        <w:t>6. КЛАССИФИКАЦИЯ РЕЗУЛЬТАТОВ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Диапазон (МЕ/мл)</w:t>
            </w:r>
          </w:p>
        </w:tc>
        <w:tc>
          <w:tcPr>
            <w:tcW w:type="dxa" w:w="2880"/>
          </w:tcPr>
          <w:p>
            <w:r>
              <w:t>Уровень</w:t>
            </w:r>
          </w:p>
        </w:tc>
        <w:tc>
          <w:tcPr>
            <w:tcW w:type="dxa" w:w="2880"/>
          </w:tcPr>
          <w:p>
            <w:r>
              <w:t>Классификация</w:t>
            </w:r>
          </w:p>
        </w:tc>
      </w:tr>
      <w:tr>
        <w:tc>
          <w:tcPr>
            <w:tcW w:type="dxa" w:w="2880"/>
          </w:tcPr>
          <w:p>
            <w:r>
              <w:t>≤ 0.35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Клинически не значимый</w:t>
            </w:r>
          </w:p>
        </w:tc>
      </w:tr>
      <w:tr>
        <w:tc>
          <w:tcPr>
            <w:tcW w:type="dxa" w:w="2880"/>
          </w:tcPr>
          <w:p>
            <w:r>
              <w:t>0.36 - 0.5</w:t>
            </w:r>
          </w:p>
        </w:tc>
        <w:tc>
          <w:tcPr>
            <w:tcW w:type="dxa" w:w="2880"/>
          </w:tcPr>
          <w:p>
            <w:r>
              <w:t>0-1</w:t>
            </w:r>
          </w:p>
        </w:tc>
        <w:tc>
          <w:tcPr>
            <w:tcW w:type="dxa" w:w="2880"/>
          </w:tcPr>
          <w:p>
            <w:r>
              <w:t>Очень низкий</w:t>
            </w:r>
          </w:p>
        </w:tc>
      </w:tr>
      <w:tr>
        <w:tc>
          <w:tcPr>
            <w:tcW w:type="dxa" w:w="2880"/>
          </w:tcPr>
          <w:p>
            <w:r>
              <w:t>0.51 - 1.0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Низкий</w:t>
            </w:r>
          </w:p>
        </w:tc>
      </w:tr>
      <w:tr>
        <w:tc>
          <w:tcPr>
            <w:tcW w:type="dxa" w:w="2880"/>
          </w:tcPr>
          <w:p>
            <w:r>
              <w:t>1.1 - 5.0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Средний</w:t>
            </w:r>
          </w:p>
        </w:tc>
      </w:tr>
      <w:tr>
        <w:tc>
          <w:tcPr>
            <w:tcW w:type="dxa" w:w="2880"/>
          </w:tcPr>
          <w:p>
            <w:r>
              <w:t>5.1 - 25.0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Высокий</w:t>
            </w:r>
          </w:p>
        </w:tc>
      </w:tr>
      <w:tr>
        <w:tc>
          <w:tcPr>
            <w:tcW w:type="dxa" w:w="2880"/>
          </w:tcPr>
          <w:p>
            <w:r>
              <w:t>25.1 - 75.0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Очень высокий</w:t>
            </w:r>
          </w:p>
        </w:tc>
      </w:tr>
      <w:tr>
        <w:tc>
          <w:tcPr>
            <w:tcW w:type="dxa" w:w="2880"/>
          </w:tcPr>
          <w:p>
            <w:r>
              <w:t>&gt; 75.0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Исключительно высокий</w:t>
            </w:r>
          </w:p>
        </w:tc>
      </w:tr>
    </w:tbl>
    <w:p>
      <w:pPr>
        <w:pStyle w:val="Heading1"/>
      </w:pPr>
      <w:r>
        <w:t>7. КРАТКИЕ РЕЗУЛЬТАТЫ АНАЛИЗА</w:t>
      </w:r>
    </w:p>
    <w:p>
      <w:r>
        <w:rPr>
          <w:b/>
        </w:rPr>
        <w:t>Клинически значимые аллергены (&gt; 0.35 МЕ/мл):</w:t>
      </w:r>
    </w:p>
    <w:p>
      <w:r>
        <w:rPr>
          <w:b/>
        </w:rPr>
        <w:t xml:space="preserve">• D1 - Клещевой аллерген домашней пыли: </w:t>
      </w:r>
      <w:r>
        <w:t>27.11 МЕ/мл (Очень высокий)</w:t>
      </w:r>
    </w:p>
    <w:p>
      <w:r>
        <w:rPr>
          <w:b/>
        </w:rPr>
        <w:t xml:space="preserve">• E1 - Эпителий кошки: </w:t>
      </w:r>
      <w:r>
        <w:t>30.54 МЕ/мл (Очень высокий)</w:t>
      </w:r>
    </w:p>
    <w:p>
      <w:r>
        <w:rPr>
          <w:b/>
        </w:rPr>
        <w:t xml:space="preserve">• E5 - Перхоть собаки: </w:t>
      </w:r>
      <w:r>
        <w:t>17.80 МЕ/мл (Высокий)</w:t>
      </w:r>
    </w:p>
    <w:p>
      <w:r>
        <w:rPr>
          <w:b/>
        </w:rPr>
        <w:t xml:space="preserve">• T2 - Ольха серая: </w:t>
      </w:r>
      <w:r>
        <w:t>17.90 МЕ/мл (Высокий)</w:t>
      </w:r>
    </w:p>
    <w:p>
      <w:pPr>
        <w:pStyle w:val="Heading1"/>
      </w:pPr>
      <w:r>
        <w:t>8. СОЗДАННЫЕ ФАЙЛЫ</w:t>
      </w:r>
    </w:p>
    <w:p>
      <w:r>
        <w:t>Данный анализ создал следующие выходные файлы:</w:t>
      </w:r>
    </w:p>
    <w:p>
      <w:r>
        <w:rPr>
          <w:b/>
        </w:rPr>
        <w:t xml:space="preserve">• </w:t>
      </w:r>
      <w:r>
        <w:t>CLAUDE.md - Инструкции для обработки данных</w:t>
      </w:r>
    </w:p>
    <w:p>
      <w:r>
        <w:rPr>
          <w:b/>
        </w:rPr>
        <w:t xml:space="preserve">• </w:t>
      </w:r>
      <w:r>
        <w:t>Финальные_результаты_аллергочип_10.09.2025.xlsx - Таблица результатов (Excel)</w:t>
      </w:r>
    </w:p>
    <w:p>
      <w:r>
        <w:rPr>
          <w:b/>
        </w:rPr>
        <w:t xml:space="preserve">• </w:t>
      </w:r>
      <w:r>
        <w:t>Финальные_результаты_аллергочип_10.09.2025.csv - Таблица результатов (CSV)</w:t>
      </w:r>
    </w:p>
    <w:p>
      <w:r>
        <w:rPr>
          <w:b/>
        </w:rPr>
        <w:t xml:space="preserve">• </w:t>
      </w:r>
      <w:r>
        <w:t>Финальная_методика_аллергочип_10.09.2025.docx - Данный документ</w:t>
      </w:r>
    </w:p>
    <w:p>
      <w:pPr>
        <w:pStyle w:val="Heading1"/>
      </w:pPr>
      <w:r>
        <w:t>9. ЗАКЛЮЧЕНИЕ</w:t>
      </w:r>
    </w:p>
    <w:p>
      <w:r>
        <w:t>Анализ выполнен согласно детальным инструкциям от 10.09.2025. Обнаружена сенсибилизация к 4 аллергенам: клещам домашней пыли (D1), эпителию кошки (E1), перхоти собаки (E5) и ольхе серой (T2). Наивысшие концентрации зафиксированы для эпидермальных аллергенов и клещевого аллергена домашней пыли.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