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13, 2026: 16 cars in play, 5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13: Puyallup Mazda: pricing breakdown received for the CPO 2023 Carbon (#9); worksheet attached in email.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13)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13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16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#8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16,615</w:t>
            </w:r>
          </w:p>
        </w:tc>
        <w:tc>
          <w:tcPr>
            <w:tcW w:type="dxa" w:w="864"/>
          </w:tcPr>
          <w:p>
            <w:r>
              <w:t>$26,900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Good $469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15 d</w:t>
            </w:r>
          </w:p>
        </w:tc>
        <w:tc>
          <w:tcPr>
            <w:tcW w:type="dxa" w:w="864"/>
          </w:tcPr>
          <w:p>
            <w:r>
              <w:t>a sales manager followed up Thu afternoon; reply prepared.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CPO pricing breakdown received Thu Aug 13 early afternoon; itemized worksheet attached in the dealer's email.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asking to schedule a Saturday time (Aug 12 evening); paperwork requested first.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folded into the #8 thread; no separate quote yet. Oregon: email-only.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13).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13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13)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#8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$26,900</w:t>
            </w:r>
          </w:p>
        </w:tc>
        <w:tc>
          <w:tcPr>
            <w:tcW w:type="dxa" w:w="1080"/>
          </w:tcPr>
          <w:p>
            <w:r>
              <w:t>$30,472</w:t>
            </w:r>
          </w:p>
        </w:tc>
        <w:tc>
          <w:tcPr>
            <w:tcW w:type="dxa" w:w="1080"/>
          </w:tcPr>
          <w:p>
            <w:r>
              <w:t>$593</w:t>
            </w:r>
          </w:p>
        </w:tc>
        <w:tc>
          <w:tcPr>
            <w:tcW w:type="dxa" w:w="1080"/>
          </w:tcPr>
          <w:p>
            <w:r>
              <w:t>$496</w:t>
            </w:r>
          </w:p>
        </w:tc>
        <w:tc>
          <w:tcPr>
            <w:tcW w:type="dxa" w:w="1080"/>
          </w:tcPr>
          <w:p>
            <w:r>
              <w:t>$5,130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13,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