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t>INTRODUÇÃO</w:t>
      </w:r>
    </w:p>
    <w:p>
      <w:pPr>
        <w:pStyle w:val="21"/>
        <w:spacing w:line="276" w:lineRule="auto"/>
        <w:ind w:left="1080"/>
      </w:pPr>
    </w:p>
    <w:p>
      <w:pPr>
        <w:bidi w:val="0"/>
      </w:pPr>
      <w:r>
        <w:t>A Lei 10.861, de 14 de abril de 2004 implantou o Sistema Nacional de Avaliação d</w:t>
      </w:r>
      <w:r>
        <w:rPr>
          <w:rFonts w:hint="default"/>
          <w:lang w:val="pt-BR"/>
        </w:rPr>
        <w:t>a E</w:t>
      </w:r>
      <w:r>
        <w:t>ducação Superior (Sinaes), constituindo-se como instrumento para o planejamento da gestão e desenvolvimento da educação, em articulação com as diretrizes da Comissão Nacional da Educação Superior (Conaes). Segundo a legislação, a avaliação institucional está pautada em um sistema global e integrado constituído pela autoavaliação, avaliação externa e o Exame Nacional de Desempenho de Estudantes (Enade).</w:t>
      </w:r>
    </w:p>
    <w:p>
      <w:pPr>
        <w:bidi w:val="0"/>
      </w:pPr>
      <w:r>
        <w:t>A avaliação institucional, portanto, é uma exigência legal do Sinaes</w:t>
      </w:r>
      <w:r>
        <w:rPr>
          <w:rFonts w:hint="default"/>
          <w:lang w:val="pt-BR"/>
        </w:rPr>
        <w:t xml:space="preserve"> e retorno à </w:t>
      </w:r>
      <w:r>
        <w:t xml:space="preserve">sociedade sobre as instituições de ensino superior </w:t>
      </w:r>
      <w:r>
        <w:rPr>
          <w:rFonts w:hint="default"/>
          <w:lang w:val="pt-BR"/>
        </w:rPr>
        <w:t xml:space="preserve">para a </w:t>
      </w:r>
      <w:r>
        <w:t xml:space="preserve">melhoria da qualidade do ensino e </w:t>
      </w:r>
      <w:r>
        <w:rPr>
          <w:rFonts w:hint="default"/>
          <w:lang w:val="pt-BR"/>
        </w:rPr>
        <w:t xml:space="preserve">o </w:t>
      </w:r>
      <w:r>
        <w:t>cumprimento do papel científico e sociopolítico</w:t>
      </w:r>
      <w:r>
        <w:rPr>
          <w:rFonts w:hint="default"/>
          <w:lang w:val="pt-BR"/>
        </w:rPr>
        <w:t xml:space="preserve"> das universidades</w:t>
      </w:r>
      <w:r>
        <w:t>.</w:t>
      </w:r>
    </w:p>
    <w:p>
      <w:pPr>
        <w:bidi w:val="0"/>
      </w:pPr>
      <w:r>
        <w:t>No âmbito da Universidade Estadual de Maringá (UEM), para conduzir os trabalhos de autoavaliação, foi constituída a Comissão Própria de Avaliação (CPA), em 2005, com o objetivo de desenvolver sistematicamente avaliações internas de modo a ter consonância com os objetivos propostos pelo Sinaes e com o sistema de avaliação da educação superior que vem sendo proposto no Estado do Paraná por meio da Comissão Especial de Avaliação da Educação Superior do Sistema Estadual de Ensino do Paraná (CEA).</w:t>
      </w:r>
    </w:p>
    <w:p>
      <w:pPr>
        <w:bidi w:val="0"/>
      </w:pPr>
      <w:r>
        <w:t xml:space="preserve">Ao longo </w:t>
      </w:r>
      <w:r>
        <w:rPr>
          <w:rFonts w:hint="default"/>
          <w:lang w:val="pt-BR"/>
        </w:rPr>
        <w:t>de sua</w:t>
      </w:r>
      <w:r>
        <w:t xml:space="preserve"> existência, a CPA buscou sistematizar um processo contínuo de avaliação interna assegurado pela Proposta de Autoavaliação aprovada por meio da Resolução n.º 015/2006-COU. </w:t>
      </w:r>
    </w:p>
    <w:p>
      <w:pPr>
        <w:bidi w:val="0"/>
      </w:pPr>
    </w:p>
    <w:p>
      <w:pPr>
        <w:bidi w:val="0"/>
      </w:pPr>
      <w:r>
        <w:rPr>
          <w:rFonts w:hint="default"/>
          <w:lang w:val="pt-BR"/>
        </w:rPr>
        <w:t xml:space="preserve">&gt; </w:t>
      </w:r>
      <w:r>
        <w:t>No horizonte da Proposta de Avaliação Institucional da UEM está o propósito de tornar a prática da avaliação institucional, uma ação norteadora na tomada de decisões, gerando reflexão permanente das ações na Universidade. Pretende-se, assim, fortalecer as relações da Universidade com a sociedade civil, enfatizando que a tarefa da avaliação na UEM é de caráter globalizante e interativo (1º Relatório de Autoavaliação da UEM, p. 255).</w:t>
      </w:r>
    </w:p>
    <w:p>
      <w:pPr>
        <w:bidi w:val="0"/>
      </w:pPr>
    </w:p>
    <w:p>
      <w:pPr>
        <w:bidi w:val="0"/>
      </w:pPr>
      <w:r>
        <w:t>Nessa perspectiva, na UEM, a autoavaliação tem o propósito de se firmar como instrumento orientador das decisões e das principais ações da instituição.</w:t>
      </w:r>
    </w:p>
    <w:p>
      <w:pPr>
        <w:bidi w:val="0"/>
      </w:pPr>
      <w:r>
        <w:t xml:space="preserve">O programa/sistema de avaliação que a CPA adota é desenvovido pelo Núcleo de Processamento de Dados (NPD) da UEM. </w:t>
      </w:r>
      <w:r>
        <w:rPr>
          <w:rFonts w:hint="default"/>
          <w:lang w:val="pt-BR"/>
        </w:rPr>
        <w:t>O instrumento de avaliação adotado no presente relatório incorpora questões recentes como o impacto do Covid/19 na rotina dos discentes, os efeitos do Ensino Remoto Emergencial e a adequação da instituição ao novo cenário que se configurou nos meses posteriores à pandemia. Os instrumentos adotados pela CPA estão em constante processo de revisão e reestruturação, para atender às mudanças do cenário local, regional e naciona, as mudanças dos cursos e a adaptação da própria instituição de ensino.</w:t>
      </w:r>
    </w:p>
    <w:p>
      <w:pPr>
        <w:bidi w:val="0"/>
      </w:pPr>
      <w:r>
        <w:t xml:space="preserve">Para a divulgação da avaliação discentes aos alunos, a CPA utilizou diversos meios, </w:t>
      </w:r>
      <w:r>
        <w:rPr>
          <w:rFonts w:hint="default"/>
          <w:lang w:val="pt-BR"/>
        </w:rPr>
        <w:t>a rádio, a televisão, as páginas institucionais da UEM e o email institucional</w:t>
      </w:r>
      <w:r>
        <w:t xml:space="preserve">. Com o apoio da Diretoria de Assuntos Acadêmicos (DAA), no ano que o </w:t>
      </w:r>
      <w:r>
        <w:rPr>
          <w:b/>
          <w:bCs/>
        </w:rPr>
        <w:t>Instrumento de Avaliação pelo Discente</w:t>
      </w:r>
      <w:r>
        <w:t xml:space="preserve"> foi aplicado </w:t>
      </w:r>
      <w:r>
        <w:rPr>
          <w:rFonts w:hint="default"/>
          <w:lang w:val="pt-BR"/>
        </w:rPr>
        <w:t>considerando a realidade dos discentes de graduação</w:t>
      </w:r>
      <w:r>
        <w:t>.</w:t>
      </w:r>
    </w:p>
    <w:p>
      <w:pPr>
        <w:pStyle w:val="15"/>
        <w:bidi w:val="0"/>
      </w:pPr>
      <w:r>
        <w:t xml:space="preserve">Neste relatório apresentamos, especificamente, os resultados da </w:t>
      </w:r>
      <w:r>
        <w:rPr>
          <w:b/>
          <w:bCs/>
        </w:rPr>
        <w:t xml:space="preserve">Avaliação Discente do Curso de </w:t>
      </w:r>
      <w:r>
        <w:rPr>
          <w:b/>
          <w:bCs/>
          <w:lang w:val="pt-BR"/>
        </w:rPr>
        <w:t>%curso%</w:t>
      </w:r>
      <w:r>
        <w:t xml:space="preserve"> relativos ao ano letivos de </w:t>
      </w:r>
      <w:r>
        <w:rPr>
          <w:rFonts w:hint="default"/>
          <w:lang w:val="pt-BR"/>
        </w:rPr>
        <w:t>2020</w:t>
      </w:r>
      <w:r>
        <w:t>.</w:t>
      </w:r>
    </w:p>
    <w:p>
      <w:pPr>
        <w:pStyle w:val="21"/>
        <w:tabs>
          <w:tab w:val="left" w:pos="142"/>
        </w:tabs>
        <w:spacing w:before="120" w:line="276" w:lineRule="auto"/>
        <w:ind w:left="0" w:firstLine="709"/>
        <w:jc w:val="both"/>
      </w:pPr>
    </w:p>
    <w:p>
      <w:pPr>
        <w:pStyle w:val="2"/>
        <w:numPr>
          <w:ilvl w:val="0"/>
          <w:numId w:val="1"/>
        </w:numPr>
        <w:bidi w:val="0"/>
      </w:pPr>
      <w:r>
        <w:t>METODOLOGIA</w:t>
      </w:r>
    </w:p>
    <w:p>
      <w:pPr>
        <w:bidi w:val="0"/>
        <w:rPr>
          <w:rFonts w:hint="default"/>
          <w:lang w:val="pt-BR"/>
        </w:rPr>
      </w:pPr>
      <w:r>
        <w:rPr>
          <w:rFonts w:hint="default"/>
          <w:lang w:val="pt-BR"/>
        </w:rPr>
        <w:tab/>
      </w:r>
      <w:r>
        <w:rPr>
          <w:rFonts w:hint="default"/>
          <w:lang w:val="pt-BR"/>
        </w:rPr>
        <w:tab/>
      </w:r>
      <w:r>
        <w:rPr>
          <w:rFonts w:hint="default"/>
          <w:lang w:val="pt-BR"/>
        </w:rPr>
        <w:t>A avaliação discente foi realizada utilizando recursos online, aplicando um instrumento dividido em 3 partes. Com os instrumentos de avaliação online, a CPA consegue avaliar as disciplinas cursadas e seus respectivos docentes. Os dados desta avaliação constituem a base para identificar as percepções dos discentes sobre a instituição, seu curso, as disciplinas de seu curso e sua participação em outras esferas da universidade.</w:t>
      </w:r>
    </w:p>
    <w:p>
      <w:pPr>
        <w:bidi w:val="0"/>
      </w:pPr>
      <w:r>
        <w:t>A avaliação é composta</w:t>
      </w:r>
      <w:r>
        <w:rPr>
          <w:rFonts w:hint="default"/>
          <w:lang w:val="pt-BR"/>
        </w:rPr>
        <w:t xml:space="preserve"> pelos indicadores</w:t>
      </w:r>
      <w:r>
        <w:t xml:space="preserve">, conforme </w:t>
      </w:r>
      <w:r>
        <w:rPr>
          <w:rFonts w:hint="default"/>
          <w:lang w:val="pt-BR"/>
        </w:rPr>
        <w:t xml:space="preserve">aponta o </w:t>
      </w:r>
      <w:r>
        <w:t>Quadro 1.</w:t>
      </w:r>
    </w:p>
    <w:p>
      <w:pPr>
        <w:bidi w:val="0"/>
      </w:pPr>
    </w:p>
    <w:p>
      <w:pPr>
        <w:bidi w:val="0"/>
      </w:pPr>
      <w:r>
        <w:t xml:space="preserve">Quadro 1- Grupos de indicadores da Avaliação Institucional de Cursos </w:t>
      </w:r>
    </w:p>
    <w:p>
      <w:pPr>
        <w:spacing w:line="276" w:lineRule="auto"/>
        <w:jc w:val="both"/>
      </w:pPr>
    </w:p>
    <w:tbl>
      <w:tblPr>
        <w:tblStyle w:val="7"/>
        <w:tblW w:w="9840"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920"/>
        <w:gridCol w:w="4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3" w:hRule="atLeast"/>
        </w:trPr>
        <w:tc>
          <w:tcPr>
            <w:tcW w:w="4920" w:type="dxa"/>
            <w:shd w:val="clear" w:color="auto" w:fill="auto"/>
            <w:noWrap/>
            <w:vAlign w:val="top"/>
          </w:tcPr>
          <w:p>
            <w:pPr>
              <w:bidi w:val="0"/>
              <w:rPr>
                <w:lang w:val="pt-BR"/>
              </w:rPr>
            </w:pPr>
            <w:r>
              <w:t xml:space="preserve">PARTE I - </w:t>
            </w:r>
            <w:r>
              <w:rPr>
                <w:rFonts w:hint="default"/>
              </w:rPr>
              <w:t>Avaliação discente geral</w:t>
            </w:r>
          </w:p>
        </w:tc>
        <w:tc>
          <w:tcPr>
            <w:tcW w:w="4920" w:type="dxa"/>
            <w:shd w:val="clear" w:color="auto" w:fill="auto"/>
            <w:noWrap/>
            <w:vAlign w:val="top"/>
          </w:tcPr>
          <w:p>
            <w:pPr>
              <w:bidi w:val="0"/>
              <w:rPr>
                <w:rFonts w:hint="default"/>
              </w:rPr>
            </w:pPr>
            <w:r>
              <w:rPr>
                <w:rFonts w:hint="default"/>
              </w:rPr>
              <w:t>1. Informações sobre Saúde</w:t>
            </w:r>
          </w:p>
          <w:p>
            <w:pPr>
              <w:bidi w:val="0"/>
              <w:rPr>
                <w:rFonts w:hint="default"/>
              </w:rPr>
            </w:pPr>
            <w:r>
              <w:rPr>
                <w:rFonts w:hint="default"/>
              </w:rPr>
              <w:t>2. Atendimento remoto aos alunos</w:t>
            </w:r>
          </w:p>
          <w:p>
            <w:pPr>
              <w:bidi w:val="0"/>
              <w:rPr>
                <w:rFonts w:hint="default"/>
              </w:rPr>
            </w:pPr>
            <w:r>
              <w:rPr>
                <w:rFonts w:hint="default"/>
              </w:rPr>
              <w:t>3. Comunicação da UEM</w:t>
            </w:r>
          </w:p>
          <w:p>
            <w:pPr>
              <w:bidi w:val="0"/>
            </w:pPr>
            <w:r>
              <w:rPr>
                <w:rFonts w:hint="default"/>
              </w:rPr>
              <w:t>4. O Instrumento de Avaliação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3" w:hRule="atLeast"/>
        </w:trPr>
        <w:tc>
          <w:tcPr>
            <w:tcW w:w="4920" w:type="dxa"/>
            <w:shd w:val="clear" w:color="auto" w:fill="auto"/>
            <w:vAlign w:val="top"/>
          </w:tcPr>
          <w:p>
            <w:pPr>
              <w:bidi w:val="0"/>
              <w:rPr>
                <w:lang w:val="pt-BR"/>
              </w:rPr>
            </w:pPr>
            <w:r>
              <w:t xml:space="preserve">PARTE II - </w:t>
            </w:r>
            <w:r>
              <w:rPr>
                <w:rFonts w:hint="default"/>
                <w:lang w:val="pt-BR"/>
              </w:rPr>
              <w:t>S</w:t>
            </w:r>
            <w:r>
              <w:rPr>
                <w:rFonts w:hint="default"/>
              </w:rPr>
              <w:t>obre as disciplinas e os docentes</w:t>
            </w:r>
            <w:r>
              <w:t xml:space="preserve"> </w:t>
            </w:r>
          </w:p>
        </w:tc>
        <w:tc>
          <w:tcPr>
            <w:tcW w:w="4920" w:type="dxa"/>
            <w:shd w:val="clear" w:color="auto" w:fill="auto"/>
            <w:vAlign w:val="top"/>
          </w:tcPr>
          <w:p>
            <w:pPr>
              <w:bidi w:val="0"/>
            </w:pPr>
            <w:r>
              <w:rPr>
                <w:rFonts w:hint="default"/>
              </w:rPr>
              <w:t>5. Disciplina/professor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608" w:hRule="atLeast"/>
        </w:trPr>
        <w:tc>
          <w:tcPr>
            <w:tcW w:w="4920" w:type="dxa"/>
            <w:shd w:val="clear" w:color="auto" w:fill="auto"/>
            <w:vAlign w:val="top"/>
          </w:tcPr>
          <w:p>
            <w:pPr>
              <w:bidi w:val="0"/>
              <w:rPr>
                <w:lang w:val="pt-BR"/>
              </w:rPr>
            </w:pPr>
            <w:r>
              <w:t>PARTE III - S</w:t>
            </w:r>
            <w:r>
              <w:rPr>
                <w:rFonts w:hint="default"/>
              </w:rPr>
              <w:t>obre o Estágio e sobre o Trabalho de Conclusão do Curso (TCC)</w:t>
            </w:r>
          </w:p>
        </w:tc>
        <w:tc>
          <w:tcPr>
            <w:tcW w:w="4920" w:type="dxa"/>
            <w:shd w:val="clear" w:color="auto" w:fill="auto"/>
            <w:vAlign w:val="top"/>
          </w:tcPr>
          <w:p>
            <w:pPr>
              <w:bidi w:val="0"/>
              <w:rPr>
                <w:rFonts w:hint="default"/>
              </w:rPr>
            </w:pPr>
            <w:r>
              <w:rPr>
                <w:rFonts w:hint="default"/>
              </w:rPr>
              <w:t>6. O Estágio (diferenciar disciplina de estágio)</w:t>
            </w:r>
          </w:p>
          <w:p>
            <w:pPr>
              <w:bidi w:val="0"/>
            </w:pPr>
            <w:r>
              <w:rPr>
                <w:rFonts w:hint="default"/>
              </w:rPr>
              <w:t>7. O TCC</w:t>
            </w:r>
          </w:p>
        </w:tc>
      </w:tr>
    </w:tbl>
    <w:p>
      <w:pPr>
        <w:spacing w:line="276" w:lineRule="auto"/>
        <w:jc w:val="both"/>
      </w:pPr>
    </w:p>
    <w:p>
      <w:pPr>
        <w:bidi w:val="0"/>
      </w:pPr>
      <w:r>
        <w:t xml:space="preserve">Ressalta-se que em cada </w:t>
      </w:r>
      <w:r>
        <w:rPr>
          <w:rFonts w:hint="default"/>
          <w:lang w:val="pt-BR"/>
        </w:rPr>
        <w:t>grupo, o</w:t>
      </w:r>
      <w:r>
        <w:t xml:space="preserve"> discente dispõe de um campo aberto</w:t>
      </w:r>
      <w:r>
        <w:rPr>
          <w:rFonts w:hint="default"/>
          <w:lang w:val="pt-BR"/>
        </w:rPr>
        <w:t xml:space="preserve"> para comentar </w:t>
      </w:r>
      <w:r>
        <w:t>sobre os aspectos avaliados ou sobre questões que não tenham sido contempladas no instrumento de avaliação.</w:t>
      </w:r>
    </w:p>
    <w:p>
      <w:pPr>
        <w:bidi w:val="0"/>
      </w:pPr>
      <w:r>
        <w:br w:type="page"/>
      </w:r>
    </w:p>
    <w:p>
      <w:pPr>
        <w:pStyle w:val="2"/>
        <w:numPr>
          <w:ilvl w:val="0"/>
          <w:numId w:val="1"/>
        </w:numPr>
        <w:bidi w:val="0"/>
      </w:pPr>
      <w:r>
        <w:t>RESULTADOS</w:t>
      </w:r>
    </w:p>
    <w:p>
      <w:pPr>
        <w:pStyle w:val="21"/>
        <w:spacing w:line="276" w:lineRule="auto"/>
        <w:ind w:left="0" w:firstLine="720"/>
        <w:rPr>
          <w:b/>
        </w:rPr>
      </w:pPr>
    </w:p>
    <w:p>
      <w:pPr>
        <w:pStyle w:val="15"/>
        <w:bidi w:val="0"/>
      </w:pPr>
      <w:r>
        <w:t xml:space="preserve">Os resultados relativo às sete partes do Instrumento de Avaliação pelo Discente estão organizados da seguinte forma:  </w:t>
      </w:r>
    </w:p>
    <w:p>
      <w:pPr>
        <w:pStyle w:val="15"/>
        <w:numPr>
          <w:ilvl w:val="0"/>
          <w:numId w:val="2"/>
        </w:numPr>
        <w:bidi w:val="0"/>
        <w:ind w:left="420" w:leftChars="0" w:hanging="420" w:firstLineChars="0"/>
      </w:pPr>
      <w:r>
        <w:t xml:space="preserve">percentual de respondentes em relação ao número de matriculados de acordo com os sete Centros de Ensino no ano de </w:t>
      </w:r>
      <w:r>
        <w:rPr>
          <w:rFonts w:hint="default"/>
          <w:lang w:val="pt-BR"/>
        </w:rPr>
        <w:t>2020</w:t>
      </w:r>
      <w:r>
        <w:t xml:space="preserve">; </w:t>
      </w:r>
    </w:p>
    <w:p>
      <w:pPr>
        <w:pStyle w:val="15"/>
        <w:numPr>
          <w:ilvl w:val="0"/>
          <w:numId w:val="2"/>
        </w:numPr>
        <w:bidi w:val="0"/>
        <w:ind w:left="420" w:leftChars="0" w:hanging="420" w:firstLineChars="0"/>
      </w:pPr>
      <w:r>
        <w:t xml:space="preserve">percentual da participação discente na avaliação de acordo com o curso em relação ao seu Centro; </w:t>
      </w:r>
    </w:p>
    <w:p>
      <w:pPr>
        <w:pStyle w:val="15"/>
        <w:numPr>
          <w:ilvl w:val="0"/>
          <w:numId w:val="2"/>
        </w:numPr>
        <w:bidi w:val="0"/>
        <w:ind w:left="420" w:leftChars="0" w:hanging="420" w:firstLineChars="0"/>
      </w:pPr>
      <w:r>
        <w:t xml:space="preserve">resultado da avaliação discente do curso em </w:t>
      </w:r>
      <w:r>
        <w:rPr>
          <w:rFonts w:hint="default"/>
          <w:lang w:val="pt-BR"/>
        </w:rPr>
        <w:t>2020</w:t>
      </w:r>
      <w:r>
        <w:t>, de acordo com os Grupos de indicadore;</w:t>
      </w:r>
    </w:p>
    <w:p>
      <w:pPr>
        <w:pStyle w:val="15"/>
        <w:numPr>
          <w:ilvl w:val="0"/>
          <w:numId w:val="2"/>
        </w:numPr>
        <w:bidi w:val="0"/>
        <w:ind w:left="420" w:leftChars="0" w:hanging="420" w:firstLineChars="0"/>
      </w:pPr>
      <w:r>
        <w:t>resultado de cada indicador no ano avaliado.</w:t>
      </w:r>
    </w:p>
    <w:p>
      <w:pPr>
        <w:spacing w:line="276" w:lineRule="auto"/>
      </w:pPr>
    </w:p>
    <w:p>
      <w:pPr>
        <w:spacing w:line="276" w:lineRule="auto"/>
      </w:pPr>
    </w:p>
    <w:p>
      <w:pPr>
        <w:pStyle w:val="3"/>
        <w:bidi w:val="0"/>
        <w:rPr>
          <w:rFonts w:hint="default"/>
          <w:lang w:val="pt-BR"/>
        </w:rPr>
      </w:pPr>
      <w:r>
        <w:t xml:space="preserve">3.1. Resultado da Avaliação Discente do Curso de </w:t>
      </w:r>
      <w:r>
        <w:rPr>
          <w:lang w:val="pt-BR"/>
        </w:rPr>
        <w:t>%curso%</w:t>
      </w:r>
      <w:r>
        <w:t xml:space="preserve"> referentes ao ano letivo de </w:t>
      </w:r>
      <w:r>
        <w:rPr>
          <w:rFonts w:hint="default"/>
          <w:lang w:val="pt-BR"/>
        </w:rPr>
        <w:t>2020</w:t>
      </w:r>
    </w:p>
    <w:p>
      <w:pPr>
        <w:spacing w:line="276" w:lineRule="auto"/>
        <w:jc w:val="both"/>
      </w:pPr>
    </w:p>
    <w:p>
      <w:pPr>
        <w:bidi w:val="0"/>
      </w:pPr>
      <w:r>
        <w:t>Na Tabela 1</w:t>
      </w:r>
      <w:r>
        <w:rPr>
          <w:rStyle w:val="13"/>
        </w:rPr>
        <w:footnoteReference w:id="0"/>
      </w:r>
      <w:r>
        <w:t xml:space="preserve"> está sistematizado o percentual de respondentes em relação ao número de matriculados, de acordo com os sete Centros de Ensino da UEM no ano de </w:t>
      </w:r>
      <w:r>
        <w:rPr>
          <w:lang w:val="pt-BR"/>
        </w:rPr>
        <w:t>2020</w:t>
      </w:r>
      <w:r>
        <w:t xml:space="preserve">. </w:t>
      </w:r>
    </w:p>
    <w:p>
      <w:pPr>
        <w:tabs>
          <w:tab w:val="left" w:pos="142"/>
        </w:tabs>
        <w:spacing w:line="276" w:lineRule="auto"/>
        <w:ind w:firstLine="709"/>
        <w:jc w:val="both"/>
      </w:pPr>
    </w:p>
    <w:p>
      <w:pPr>
        <w:bidi w:val="0"/>
      </w:pPr>
      <w:r>
        <w:t xml:space="preserve">Tabela 1- Participantes da avaliação discente, de acordo com os Centros de Ensino, </w:t>
      </w:r>
      <w:r>
        <w:rPr>
          <w:lang w:val="pt-BR"/>
        </w:rPr>
        <w:t>2020</w:t>
      </w:r>
      <w:r>
        <w:t>.</w:t>
      </w:r>
    </w:p>
    <w:tbl>
      <w:tblPr>
        <w:tblStyle w:val="7"/>
        <w:tblW w:w="8963" w:type="dxa"/>
        <w:jc w:val="center"/>
        <w:tblLayout w:type="fixed"/>
        <w:tblCellMar>
          <w:top w:w="0" w:type="dxa"/>
          <w:left w:w="70" w:type="dxa"/>
          <w:bottom w:w="0" w:type="dxa"/>
          <w:right w:w="70" w:type="dxa"/>
        </w:tblCellMar>
      </w:tblPr>
      <w:tblGrid>
        <w:gridCol w:w="3695"/>
        <w:gridCol w:w="1636"/>
        <w:gridCol w:w="1636"/>
        <w:gridCol w:w="1996"/>
      </w:tblGrid>
      <w:tr>
        <w:tblPrEx>
          <w:tblCellMar>
            <w:top w:w="0" w:type="dxa"/>
            <w:left w:w="70" w:type="dxa"/>
            <w:bottom w:w="0" w:type="dxa"/>
            <w:right w:w="70" w:type="dxa"/>
          </w:tblCellMar>
        </w:tblPrEx>
        <w:trPr>
          <w:trHeight w:val="440" w:hRule="atLeast"/>
          <w:jc w:val="center"/>
        </w:trPr>
        <w:tc>
          <w:tcPr>
            <w:tcW w:w="369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CENTROS</w:t>
            </w:r>
          </w:p>
        </w:tc>
        <w:tc>
          <w:tcPr>
            <w:tcW w:w="5268"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2020</w:t>
            </w:r>
          </w:p>
        </w:tc>
      </w:tr>
      <w:tr>
        <w:tblPrEx>
          <w:tblCellMar>
            <w:top w:w="0" w:type="dxa"/>
            <w:left w:w="70" w:type="dxa"/>
            <w:bottom w:w="0" w:type="dxa"/>
            <w:right w:w="70" w:type="dxa"/>
          </w:tblCellMar>
        </w:tblPrEx>
        <w:trPr>
          <w:trHeight w:val="263" w:hRule="atLeast"/>
          <w:jc w:val="center"/>
        </w:trPr>
        <w:tc>
          <w:tcPr>
            <w:tcW w:w="3695" w:type="dxa"/>
            <w:vMerge w:val="continue"/>
            <w:tcBorders>
              <w:top w:val="single" w:color="auto" w:sz="4" w:space="0"/>
              <w:left w:val="single" w:color="auto" w:sz="4" w:space="0"/>
              <w:bottom w:val="single" w:color="auto" w:sz="4" w:space="0"/>
              <w:right w:val="single" w:color="auto" w:sz="4" w:space="0"/>
            </w:tcBorders>
            <w:vAlign w:val="center"/>
          </w:tcPr>
          <w:p>
            <w:pPr>
              <w:bidi w:val="0"/>
              <w:rPr>
                <w:lang w:val="pt-BR"/>
              </w:rPr>
            </w:pP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Resp</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Matr.</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CCA</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113</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1215</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9%</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CCB</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121</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537</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23%</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CCE</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222</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972</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23%</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CCH</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655</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3123</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21%</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CCS</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394</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1615</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24%</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CSA</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840</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2737</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31%</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CTC</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746</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3780</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20%</w:t>
            </w:r>
          </w:p>
        </w:tc>
      </w:tr>
      <w:tr>
        <w:tblPrEx>
          <w:tblCellMar>
            <w:top w:w="0" w:type="dxa"/>
            <w:left w:w="70" w:type="dxa"/>
            <w:bottom w:w="0" w:type="dxa"/>
            <w:right w:w="70" w:type="dxa"/>
          </w:tblCellMar>
        </w:tblPrEx>
        <w:trPr>
          <w:trHeight w:val="227" w:hRule="atLeast"/>
          <w:jc w:val="center"/>
        </w:trPr>
        <w:tc>
          <w:tcPr>
            <w:tcW w:w="369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rPr>
                <w:lang w:val="pt-BR"/>
              </w:rPr>
            </w:pPr>
            <w:r>
              <w:rPr>
                <w:lang w:val="pt-BR"/>
              </w:rPr>
              <w:t>TOTAL</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3091</w:t>
            </w:r>
          </w:p>
        </w:tc>
        <w:tc>
          <w:tcPr>
            <w:tcW w:w="163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13979</w:t>
            </w:r>
          </w:p>
        </w:tc>
        <w:tc>
          <w:tcPr>
            <w:tcW w:w="199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lang w:val="pt-BR"/>
              </w:rPr>
            </w:pPr>
            <w:r>
              <w:rPr>
                <w:lang w:val="pt-BR"/>
              </w:rPr>
              <w:t>22%</w:t>
            </w:r>
          </w:p>
        </w:tc>
      </w:tr>
    </w:tbl>
    <w:p>
      <w:pPr>
        <w:bidi w:val="0"/>
        <w:rPr>
          <w:lang w:val="pt-BR" w:eastAsia="ar-SA"/>
        </w:rPr>
      </w:pPr>
      <w:r>
        <w:rPr>
          <w:lang w:val="pt-BR" w:eastAsia="ar-SA"/>
        </w:rPr>
        <w:t xml:space="preserve"> Resp.: Respondentes; Matr.: Matriculados</w:t>
      </w:r>
    </w:p>
    <w:p>
      <w:pPr>
        <w:suppressAutoHyphens/>
        <w:spacing w:line="276" w:lineRule="auto"/>
      </w:pPr>
    </w:p>
    <w:p>
      <w:pPr>
        <w:pStyle w:val="15"/>
        <w:bidi w:val="0"/>
      </w:pPr>
      <w:r>
        <w:t xml:space="preserve">De acordo com os dados da Tabela 1, verifica-se que no ano de </w:t>
      </w:r>
      <w:r>
        <w:rPr>
          <w:lang w:val="pt-BR"/>
        </w:rPr>
        <w:t>2020</w:t>
      </w:r>
      <w:r>
        <w:t xml:space="preserve"> a média dos alunos matriculados da UEM que responderam ao </w:t>
      </w:r>
      <w:r>
        <w:rPr>
          <w:b/>
          <w:bCs/>
        </w:rPr>
        <w:t>Instrumento de Avaliação pelo Discente</w:t>
      </w:r>
      <w:r>
        <w:t xml:space="preserve"> foi de 22%. </w:t>
      </w:r>
    </w:p>
    <w:p>
      <w:pPr>
        <w:bidi w:val="0"/>
      </w:pPr>
      <w:r>
        <w:t xml:space="preserve">A Tabela 2 apresenta o número total de matrículas e o respectivo percentual de respondentes dos cursos que compõem o </w:t>
      </w:r>
      <w:r>
        <w:rPr>
          <w:rFonts w:hint="default"/>
          <w:lang w:val="pt-BR"/>
        </w:rPr>
        <w:t>%centrodeensino%</w:t>
      </w:r>
      <w:r>
        <w:t xml:space="preserve">, dentre os quais o </w:t>
      </w:r>
      <w:r>
        <w:rPr>
          <w:b/>
          <w:bCs/>
        </w:rPr>
        <w:t xml:space="preserve">Curso de </w:t>
      </w:r>
      <w:r>
        <w:rPr>
          <w:b/>
          <w:bCs/>
          <w:lang w:val="pt-BR"/>
        </w:rPr>
        <w:t>%curso%</w:t>
      </w:r>
      <w:r>
        <w:t>.</w:t>
      </w:r>
    </w:p>
    <w:p>
      <w:pPr>
        <w:spacing w:line="276" w:lineRule="auto"/>
        <w:jc w:val="both"/>
        <w:rPr>
          <w:b/>
        </w:rPr>
      </w:pPr>
    </w:p>
    <w:p>
      <w:pPr>
        <w:spacing w:line="276" w:lineRule="auto"/>
        <w:jc w:val="both"/>
        <w:rPr>
          <w:b/>
        </w:rPr>
      </w:pPr>
    </w:p>
    <w:p>
      <w:pPr>
        <w:bidi w:val="0"/>
        <w:rPr>
          <w:rFonts w:hint="default"/>
          <w:lang w:val="pt-BR"/>
        </w:rPr>
      </w:pPr>
      <w:r>
        <w:t xml:space="preserve">Tabela 2- Participantes da avaliação discente do </w:t>
      </w:r>
      <w:r>
        <w:rPr>
          <w:rFonts w:hint="default"/>
          <w:lang w:val="pt-BR"/>
        </w:rPr>
        <w:t>%centrodeensino%</w:t>
      </w:r>
      <w:r>
        <w:t xml:space="preserve">, de acordo com os respectivos cursos, </w:t>
      </w:r>
      <w:r>
        <w:rPr>
          <w:lang w:val="pt-BR"/>
        </w:rPr>
        <w:t>2020</w:t>
      </w:r>
    </w:p>
    <w:tbl>
      <w:tblPr>
        <w:tblStyle w:val="7"/>
        <w:tblW w:w="9058" w:type="dxa"/>
        <w:tblInd w:w="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5323"/>
        <w:gridCol w:w="1228"/>
        <w:gridCol w:w="1228"/>
        <w:gridCol w:w="1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93" w:hRule="atLeast"/>
        </w:trPr>
        <w:tc>
          <w:tcPr>
            <w:tcW w:w="5323" w:type="dxa"/>
            <w:vMerge w:val="restart"/>
            <w:shd w:val="clear" w:color="auto" w:fill="auto"/>
            <w:noWrap/>
            <w:vAlign w:val="center"/>
          </w:tcPr>
          <w:p>
            <w:pPr>
              <w:bidi w:val="0"/>
              <w:rPr>
                <w:lang w:val="pt-BR"/>
              </w:rPr>
            </w:pPr>
            <w:r>
              <w:rPr>
                <w:rFonts w:hint="default"/>
                <w:lang w:val="pt-BR"/>
              </w:rPr>
              <w:t>%centrodeensino%</w:t>
            </w:r>
          </w:p>
        </w:tc>
        <w:tc>
          <w:tcPr>
            <w:tcW w:w="3735" w:type="dxa"/>
            <w:gridSpan w:val="3"/>
            <w:shd w:val="clear" w:color="auto" w:fill="auto"/>
            <w:noWrap/>
            <w:vAlign w:val="center"/>
          </w:tcPr>
          <w:p>
            <w:pPr>
              <w:bidi w:val="0"/>
              <w:rPr>
                <w:lang w:val="pt-BR"/>
              </w:rPr>
            </w:pPr>
            <w:r>
              <w:rPr>
                <w:lang w:val="pt-BR"/>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93" w:hRule="atLeast"/>
        </w:trPr>
        <w:tc>
          <w:tcPr>
            <w:tcW w:w="5323" w:type="dxa"/>
            <w:vMerge w:val="continue"/>
            <w:shd w:val="clear" w:color="auto" w:fill="auto"/>
            <w:vAlign w:val="center"/>
          </w:tcPr>
          <w:p>
            <w:pPr>
              <w:bidi w:val="0"/>
              <w:rPr>
                <w:lang w:val="pt-BR"/>
              </w:rPr>
            </w:pPr>
          </w:p>
        </w:tc>
        <w:tc>
          <w:tcPr>
            <w:tcW w:w="1228" w:type="dxa"/>
            <w:shd w:val="clear" w:color="auto" w:fill="auto"/>
            <w:noWrap/>
            <w:vAlign w:val="bottom"/>
          </w:tcPr>
          <w:p>
            <w:pPr>
              <w:bidi w:val="0"/>
              <w:rPr>
                <w:lang w:val="pt-BR"/>
              </w:rPr>
            </w:pPr>
            <w:r>
              <w:rPr>
                <w:lang w:val="pt-BR"/>
              </w:rPr>
              <w:t>Resp</w:t>
            </w:r>
          </w:p>
        </w:tc>
        <w:tc>
          <w:tcPr>
            <w:tcW w:w="1228" w:type="dxa"/>
            <w:shd w:val="clear" w:color="auto" w:fill="auto"/>
            <w:noWrap/>
            <w:vAlign w:val="bottom"/>
          </w:tcPr>
          <w:p>
            <w:pPr>
              <w:bidi w:val="0"/>
              <w:rPr>
                <w:lang w:val="pt-BR"/>
              </w:rPr>
            </w:pPr>
            <w:r>
              <w:rPr>
                <w:lang w:val="pt-BR"/>
              </w:rPr>
              <w:t>Matr.</w:t>
            </w:r>
          </w:p>
        </w:tc>
        <w:tc>
          <w:tcPr>
            <w:tcW w:w="1279" w:type="dxa"/>
            <w:shd w:val="clear" w:color="auto" w:fill="auto"/>
            <w:noWrap/>
            <w:vAlign w:val="bottom"/>
          </w:tcPr>
          <w:p>
            <w:pPr>
              <w:bidi w:val="0"/>
              <w:rPr>
                <w:lang w:val="pt-BR"/>
              </w:rPr>
            </w:pPr>
            <w:r>
              <w:rPr>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ARQUITETURA E URBANISMO</w:t>
            </w:r>
          </w:p>
        </w:tc>
        <w:tc>
          <w:tcPr>
            <w:tcW w:w="1228" w:type="dxa"/>
            <w:shd w:val="clear" w:color="auto" w:fill="auto"/>
            <w:vAlign w:val="bottom"/>
          </w:tcPr>
          <w:p>
            <w:pPr>
              <w:bidi w:val="0"/>
              <w:rPr>
                <w:lang w:val="pt-BR"/>
              </w:rPr>
            </w:pPr>
            <w:r>
              <w:rPr>
                <w:lang w:val="pt-BR"/>
              </w:rPr>
              <w:t>86</w:t>
            </w:r>
          </w:p>
        </w:tc>
        <w:tc>
          <w:tcPr>
            <w:tcW w:w="1228" w:type="dxa"/>
            <w:shd w:val="clear" w:color="auto" w:fill="auto"/>
            <w:vAlign w:val="bottom"/>
          </w:tcPr>
          <w:p>
            <w:pPr>
              <w:bidi w:val="0"/>
              <w:rPr>
                <w:lang w:val="pt-BR"/>
              </w:rPr>
            </w:pPr>
            <w:r>
              <w:rPr>
                <w:lang w:val="pt-BR"/>
              </w:rPr>
              <w:t>195</w:t>
            </w:r>
          </w:p>
        </w:tc>
        <w:tc>
          <w:tcPr>
            <w:tcW w:w="1279" w:type="dxa"/>
            <w:shd w:val="clear" w:color="auto" w:fill="auto"/>
            <w:vAlign w:val="bottom"/>
          </w:tcPr>
          <w:p>
            <w:pPr>
              <w:bidi w:val="0"/>
              <w:rPr>
                <w:lang w:val="pt-BR"/>
              </w:rPr>
            </w:pPr>
            <w:r>
              <w:rPr>
                <w:lang w:val="pt-BR"/>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CIÊNCIA DA COMPUTAÇÃO</w:t>
            </w:r>
          </w:p>
        </w:tc>
        <w:tc>
          <w:tcPr>
            <w:tcW w:w="1228" w:type="dxa"/>
            <w:shd w:val="clear" w:color="auto" w:fill="auto"/>
            <w:vAlign w:val="bottom"/>
          </w:tcPr>
          <w:p>
            <w:pPr>
              <w:bidi w:val="0"/>
              <w:rPr>
                <w:lang w:val="pt-BR"/>
              </w:rPr>
            </w:pPr>
            <w:r>
              <w:rPr>
                <w:lang w:val="pt-BR"/>
              </w:rPr>
              <w:t>46</w:t>
            </w:r>
          </w:p>
        </w:tc>
        <w:tc>
          <w:tcPr>
            <w:tcW w:w="1228" w:type="dxa"/>
            <w:shd w:val="clear" w:color="auto" w:fill="auto"/>
            <w:vAlign w:val="bottom"/>
          </w:tcPr>
          <w:p>
            <w:pPr>
              <w:bidi w:val="0"/>
              <w:rPr>
                <w:lang w:val="pt-BR"/>
              </w:rPr>
            </w:pPr>
            <w:r>
              <w:rPr>
                <w:lang w:val="pt-BR"/>
              </w:rPr>
              <w:t>208</w:t>
            </w:r>
          </w:p>
        </w:tc>
        <w:tc>
          <w:tcPr>
            <w:tcW w:w="1279" w:type="dxa"/>
            <w:shd w:val="clear" w:color="auto" w:fill="auto"/>
            <w:vAlign w:val="bottom"/>
          </w:tcPr>
          <w:p>
            <w:pPr>
              <w:bidi w:val="0"/>
              <w:rPr>
                <w:lang w:val="pt-BR"/>
              </w:rPr>
            </w:pPr>
            <w:r>
              <w:rPr>
                <w:lang w:val="pt-BR"/>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rFonts w:hint="default"/>
                <w:lang w:val="pt-BR"/>
              </w:rPr>
            </w:pPr>
            <w:r>
              <w:rPr>
                <w:rFonts w:hint="default"/>
                <w:lang w:val="pt-BR"/>
              </w:rPr>
              <w:t>%curso%</w:t>
            </w:r>
          </w:p>
        </w:tc>
        <w:tc>
          <w:tcPr>
            <w:tcW w:w="1228" w:type="dxa"/>
            <w:shd w:val="clear" w:color="auto" w:fill="auto"/>
            <w:vAlign w:val="bottom"/>
          </w:tcPr>
          <w:p>
            <w:pPr>
              <w:bidi w:val="0"/>
              <w:rPr>
                <w:lang w:val="pt-BR"/>
              </w:rPr>
            </w:pPr>
            <w:r>
              <w:rPr>
                <w:lang w:val="pt-BR"/>
              </w:rPr>
              <w:t>14</w:t>
            </w:r>
          </w:p>
        </w:tc>
        <w:tc>
          <w:tcPr>
            <w:tcW w:w="1228" w:type="dxa"/>
            <w:shd w:val="clear" w:color="auto" w:fill="auto"/>
            <w:vAlign w:val="bottom"/>
          </w:tcPr>
          <w:p>
            <w:pPr>
              <w:bidi w:val="0"/>
              <w:rPr>
                <w:lang w:val="pt-BR"/>
              </w:rPr>
            </w:pPr>
            <w:r>
              <w:rPr>
                <w:lang w:val="pt-BR"/>
              </w:rPr>
              <w:t>115</w:t>
            </w:r>
          </w:p>
        </w:tc>
        <w:tc>
          <w:tcPr>
            <w:tcW w:w="1279" w:type="dxa"/>
            <w:shd w:val="clear" w:color="auto" w:fill="auto"/>
            <w:vAlign w:val="bottom"/>
          </w:tcPr>
          <w:p>
            <w:pPr>
              <w:bidi w:val="0"/>
              <w:rPr>
                <w:lang w:val="pt-BR"/>
              </w:rPr>
            </w:pPr>
            <w:r>
              <w:rPr>
                <w:lang w:val="pt-BR"/>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AMBIENTAL (CAU)</w:t>
            </w:r>
          </w:p>
        </w:tc>
        <w:tc>
          <w:tcPr>
            <w:tcW w:w="1228" w:type="dxa"/>
            <w:shd w:val="clear" w:color="auto" w:fill="auto"/>
            <w:vAlign w:val="bottom"/>
          </w:tcPr>
          <w:p>
            <w:pPr>
              <w:bidi w:val="0"/>
              <w:rPr>
                <w:lang w:val="pt-BR"/>
              </w:rPr>
            </w:pPr>
            <w:r>
              <w:rPr>
                <w:lang w:val="pt-BR"/>
              </w:rPr>
              <w:t>9</w:t>
            </w:r>
          </w:p>
        </w:tc>
        <w:tc>
          <w:tcPr>
            <w:tcW w:w="1228" w:type="dxa"/>
            <w:shd w:val="clear" w:color="auto" w:fill="auto"/>
            <w:vAlign w:val="bottom"/>
          </w:tcPr>
          <w:p>
            <w:pPr>
              <w:bidi w:val="0"/>
              <w:rPr>
                <w:lang w:val="pt-BR"/>
              </w:rPr>
            </w:pPr>
            <w:r>
              <w:rPr>
                <w:lang w:val="pt-BR"/>
              </w:rPr>
              <w:t>134</w:t>
            </w:r>
          </w:p>
        </w:tc>
        <w:tc>
          <w:tcPr>
            <w:tcW w:w="1279" w:type="dxa"/>
            <w:shd w:val="clear" w:color="auto" w:fill="auto"/>
            <w:vAlign w:val="bottom"/>
          </w:tcPr>
          <w:p>
            <w:pPr>
              <w:bidi w:val="0"/>
              <w:rPr>
                <w:lang w:val="pt-BR"/>
              </w:rPr>
            </w:pPr>
            <w:r>
              <w:rPr>
                <w:lang w:val="pt-B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CIVIL</w:t>
            </w:r>
          </w:p>
        </w:tc>
        <w:tc>
          <w:tcPr>
            <w:tcW w:w="1228" w:type="dxa"/>
            <w:shd w:val="clear" w:color="auto" w:fill="auto"/>
            <w:vAlign w:val="bottom"/>
          </w:tcPr>
          <w:p>
            <w:pPr>
              <w:bidi w:val="0"/>
              <w:rPr>
                <w:lang w:val="pt-BR"/>
              </w:rPr>
            </w:pPr>
            <w:r>
              <w:rPr>
                <w:lang w:val="pt-BR"/>
              </w:rPr>
              <w:t>74</w:t>
            </w:r>
          </w:p>
        </w:tc>
        <w:tc>
          <w:tcPr>
            <w:tcW w:w="1228" w:type="dxa"/>
            <w:shd w:val="clear" w:color="auto" w:fill="auto"/>
            <w:vAlign w:val="bottom"/>
          </w:tcPr>
          <w:p>
            <w:pPr>
              <w:bidi w:val="0"/>
              <w:rPr>
                <w:lang w:val="pt-BR"/>
              </w:rPr>
            </w:pPr>
            <w:r>
              <w:rPr>
                <w:lang w:val="pt-BR"/>
              </w:rPr>
              <w:t>455</w:t>
            </w:r>
          </w:p>
        </w:tc>
        <w:tc>
          <w:tcPr>
            <w:tcW w:w="1279" w:type="dxa"/>
            <w:shd w:val="clear" w:color="auto" w:fill="auto"/>
            <w:vAlign w:val="bottom"/>
          </w:tcPr>
          <w:p>
            <w:pPr>
              <w:bidi w:val="0"/>
              <w:rPr>
                <w:lang w:val="pt-BR"/>
              </w:rPr>
            </w:pPr>
            <w:r>
              <w:rPr>
                <w:lang w:val="pt-BR"/>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CIVIL (CAU)</w:t>
            </w:r>
          </w:p>
        </w:tc>
        <w:tc>
          <w:tcPr>
            <w:tcW w:w="1228" w:type="dxa"/>
            <w:shd w:val="clear" w:color="auto" w:fill="auto"/>
            <w:vAlign w:val="bottom"/>
          </w:tcPr>
          <w:p>
            <w:pPr>
              <w:bidi w:val="0"/>
              <w:rPr>
                <w:lang w:val="pt-BR"/>
              </w:rPr>
            </w:pPr>
            <w:r>
              <w:rPr>
                <w:lang w:val="pt-BR"/>
              </w:rPr>
              <w:t>26</w:t>
            </w:r>
          </w:p>
        </w:tc>
        <w:tc>
          <w:tcPr>
            <w:tcW w:w="1228" w:type="dxa"/>
            <w:shd w:val="clear" w:color="auto" w:fill="auto"/>
            <w:vAlign w:val="bottom"/>
          </w:tcPr>
          <w:p>
            <w:pPr>
              <w:bidi w:val="0"/>
              <w:rPr>
                <w:lang w:val="pt-BR"/>
              </w:rPr>
            </w:pPr>
            <w:r>
              <w:rPr>
                <w:lang w:val="pt-BR"/>
              </w:rPr>
              <w:t>195</w:t>
            </w:r>
          </w:p>
        </w:tc>
        <w:tc>
          <w:tcPr>
            <w:tcW w:w="1279" w:type="dxa"/>
            <w:shd w:val="clear" w:color="auto" w:fill="auto"/>
            <w:vAlign w:val="bottom"/>
          </w:tcPr>
          <w:p>
            <w:pPr>
              <w:bidi w:val="0"/>
              <w:rPr>
                <w:lang w:val="pt-BR"/>
              </w:rPr>
            </w:pPr>
            <w:r>
              <w:rPr>
                <w:lang w:val="pt-BR"/>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DE ALIMENTOS</w:t>
            </w:r>
          </w:p>
        </w:tc>
        <w:tc>
          <w:tcPr>
            <w:tcW w:w="1228" w:type="dxa"/>
            <w:shd w:val="clear" w:color="auto" w:fill="auto"/>
            <w:vAlign w:val="bottom"/>
          </w:tcPr>
          <w:p>
            <w:pPr>
              <w:bidi w:val="0"/>
              <w:rPr>
                <w:lang w:val="pt-BR"/>
              </w:rPr>
            </w:pPr>
            <w:r>
              <w:rPr>
                <w:lang w:val="pt-BR"/>
              </w:rPr>
              <w:t>24</w:t>
            </w:r>
          </w:p>
        </w:tc>
        <w:tc>
          <w:tcPr>
            <w:tcW w:w="1228" w:type="dxa"/>
            <w:shd w:val="clear" w:color="auto" w:fill="auto"/>
            <w:vAlign w:val="bottom"/>
          </w:tcPr>
          <w:p>
            <w:pPr>
              <w:bidi w:val="0"/>
              <w:rPr>
                <w:lang w:val="pt-BR"/>
              </w:rPr>
            </w:pPr>
            <w:r>
              <w:rPr>
                <w:lang w:val="pt-BR"/>
              </w:rPr>
              <w:t>183</w:t>
            </w:r>
          </w:p>
        </w:tc>
        <w:tc>
          <w:tcPr>
            <w:tcW w:w="1279" w:type="dxa"/>
            <w:shd w:val="clear" w:color="auto" w:fill="auto"/>
            <w:vAlign w:val="bottom"/>
          </w:tcPr>
          <w:p>
            <w:pPr>
              <w:bidi w:val="0"/>
              <w:rPr>
                <w:lang w:val="pt-BR"/>
              </w:rPr>
            </w:pPr>
            <w:r>
              <w:rPr>
                <w:lang w:val="pt-BR"/>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DE ALIMENTOS (CAU)</w:t>
            </w:r>
          </w:p>
        </w:tc>
        <w:tc>
          <w:tcPr>
            <w:tcW w:w="1228" w:type="dxa"/>
            <w:shd w:val="clear" w:color="auto" w:fill="auto"/>
            <w:vAlign w:val="bottom"/>
          </w:tcPr>
          <w:p>
            <w:pPr>
              <w:bidi w:val="0"/>
              <w:rPr>
                <w:lang w:val="pt-BR"/>
              </w:rPr>
            </w:pPr>
            <w:r>
              <w:rPr>
                <w:lang w:val="pt-BR"/>
              </w:rPr>
              <w:t>43</w:t>
            </w:r>
          </w:p>
        </w:tc>
        <w:tc>
          <w:tcPr>
            <w:tcW w:w="1228" w:type="dxa"/>
            <w:shd w:val="clear" w:color="auto" w:fill="auto"/>
            <w:vAlign w:val="bottom"/>
          </w:tcPr>
          <w:p>
            <w:pPr>
              <w:bidi w:val="0"/>
              <w:rPr>
                <w:lang w:val="pt-BR"/>
              </w:rPr>
            </w:pPr>
            <w:r>
              <w:rPr>
                <w:lang w:val="pt-BR"/>
              </w:rPr>
              <w:t>101</w:t>
            </w:r>
          </w:p>
        </w:tc>
        <w:tc>
          <w:tcPr>
            <w:tcW w:w="1279" w:type="dxa"/>
            <w:shd w:val="clear" w:color="auto" w:fill="auto"/>
            <w:vAlign w:val="bottom"/>
          </w:tcPr>
          <w:p>
            <w:pPr>
              <w:bidi w:val="0"/>
              <w:rPr>
                <w:lang w:val="pt-BR"/>
              </w:rPr>
            </w:pPr>
            <w:r>
              <w:rPr>
                <w:lang w:val="pt-BR"/>
              </w:rPr>
              <w:t>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DE PRODUÇÃO</w:t>
            </w:r>
          </w:p>
        </w:tc>
        <w:tc>
          <w:tcPr>
            <w:tcW w:w="1228" w:type="dxa"/>
            <w:shd w:val="clear" w:color="auto" w:fill="auto"/>
            <w:vAlign w:val="bottom"/>
          </w:tcPr>
          <w:p>
            <w:pPr>
              <w:bidi w:val="0"/>
              <w:rPr>
                <w:lang w:val="pt-BR"/>
              </w:rPr>
            </w:pPr>
            <w:r>
              <w:rPr>
                <w:lang w:val="pt-BR"/>
              </w:rPr>
              <w:t>117</w:t>
            </w:r>
          </w:p>
        </w:tc>
        <w:tc>
          <w:tcPr>
            <w:tcW w:w="1228" w:type="dxa"/>
            <w:shd w:val="clear" w:color="auto" w:fill="auto"/>
            <w:vAlign w:val="bottom"/>
          </w:tcPr>
          <w:p>
            <w:pPr>
              <w:bidi w:val="0"/>
              <w:rPr>
                <w:lang w:val="pt-BR"/>
              </w:rPr>
            </w:pPr>
            <w:r>
              <w:rPr>
                <w:lang w:val="pt-BR"/>
              </w:rPr>
              <w:t>644</w:t>
            </w:r>
          </w:p>
        </w:tc>
        <w:tc>
          <w:tcPr>
            <w:tcW w:w="1279" w:type="dxa"/>
            <w:shd w:val="clear" w:color="auto" w:fill="auto"/>
            <w:vAlign w:val="bottom"/>
          </w:tcPr>
          <w:p>
            <w:pPr>
              <w:bidi w:val="0"/>
              <w:rPr>
                <w:lang w:val="pt-BR"/>
              </w:rPr>
            </w:pPr>
            <w:r>
              <w:rPr>
                <w:lang w:val="pt-BR"/>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DE PRODUÇÃO (CRG)</w:t>
            </w:r>
          </w:p>
        </w:tc>
        <w:tc>
          <w:tcPr>
            <w:tcW w:w="1228" w:type="dxa"/>
            <w:shd w:val="clear" w:color="auto" w:fill="auto"/>
            <w:vAlign w:val="bottom"/>
          </w:tcPr>
          <w:p>
            <w:pPr>
              <w:bidi w:val="0"/>
              <w:rPr>
                <w:lang w:val="pt-BR"/>
              </w:rPr>
            </w:pPr>
            <w:r>
              <w:rPr>
                <w:lang w:val="pt-BR"/>
              </w:rPr>
              <w:t>34</w:t>
            </w:r>
          </w:p>
        </w:tc>
        <w:tc>
          <w:tcPr>
            <w:tcW w:w="1228" w:type="dxa"/>
            <w:shd w:val="clear" w:color="auto" w:fill="auto"/>
            <w:vAlign w:val="bottom"/>
          </w:tcPr>
          <w:p>
            <w:pPr>
              <w:bidi w:val="0"/>
              <w:rPr>
                <w:lang w:val="pt-BR"/>
              </w:rPr>
            </w:pPr>
            <w:r>
              <w:rPr>
                <w:lang w:val="pt-BR"/>
              </w:rPr>
              <w:t>133</w:t>
            </w:r>
          </w:p>
        </w:tc>
        <w:tc>
          <w:tcPr>
            <w:tcW w:w="1279" w:type="dxa"/>
            <w:shd w:val="clear" w:color="auto" w:fill="auto"/>
            <w:vAlign w:val="bottom"/>
          </w:tcPr>
          <w:p>
            <w:pPr>
              <w:bidi w:val="0"/>
              <w:rPr>
                <w:lang w:val="pt-BR"/>
              </w:rPr>
            </w:pPr>
            <w:r>
              <w:rPr>
                <w:lang w:val="pt-B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ELÉTRICA</w:t>
            </w:r>
          </w:p>
        </w:tc>
        <w:tc>
          <w:tcPr>
            <w:tcW w:w="1228" w:type="dxa"/>
            <w:shd w:val="clear" w:color="auto" w:fill="auto"/>
            <w:vAlign w:val="bottom"/>
          </w:tcPr>
          <w:p>
            <w:pPr>
              <w:bidi w:val="0"/>
              <w:rPr>
                <w:lang w:val="pt-BR"/>
              </w:rPr>
            </w:pPr>
            <w:r>
              <w:rPr>
                <w:lang w:val="pt-BR"/>
              </w:rPr>
              <w:t>20</w:t>
            </w:r>
          </w:p>
        </w:tc>
        <w:tc>
          <w:tcPr>
            <w:tcW w:w="1228" w:type="dxa"/>
            <w:shd w:val="clear" w:color="auto" w:fill="auto"/>
            <w:vAlign w:val="bottom"/>
          </w:tcPr>
          <w:p>
            <w:pPr>
              <w:bidi w:val="0"/>
              <w:rPr>
                <w:lang w:val="pt-BR"/>
              </w:rPr>
            </w:pPr>
            <w:r>
              <w:rPr>
                <w:lang w:val="pt-BR"/>
              </w:rPr>
              <w:t>205</w:t>
            </w:r>
          </w:p>
        </w:tc>
        <w:tc>
          <w:tcPr>
            <w:tcW w:w="1279" w:type="dxa"/>
            <w:shd w:val="clear" w:color="auto" w:fill="auto"/>
            <w:vAlign w:val="bottom"/>
          </w:tcPr>
          <w:p>
            <w:pPr>
              <w:bidi w:val="0"/>
              <w:rPr>
                <w:lang w:val="pt-BR"/>
              </w:rPr>
            </w:pPr>
            <w:r>
              <w:rPr>
                <w:lang w:val="pt-BR"/>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MECÂNICA</w:t>
            </w:r>
          </w:p>
        </w:tc>
        <w:tc>
          <w:tcPr>
            <w:tcW w:w="1228" w:type="dxa"/>
            <w:shd w:val="clear" w:color="auto" w:fill="auto"/>
            <w:vAlign w:val="bottom"/>
          </w:tcPr>
          <w:p>
            <w:pPr>
              <w:bidi w:val="0"/>
              <w:rPr>
                <w:lang w:val="pt-BR"/>
              </w:rPr>
            </w:pPr>
            <w:r>
              <w:rPr>
                <w:lang w:val="pt-BR"/>
              </w:rPr>
              <w:t>39</w:t>
            </w:r>
          </w:p>
        </w:tc>
        <w:tc>
          <w:tcPr>
            <w:tcW w:w="1228" w:type="dxa"/>
            <w:shd w:val="clear" w:color="auto" w:fill="auto"/>
            <w:vAlign w:val="bottom"/>
          </w:tcPr>
          <w:p>
            <w:pPr>
              <w:bidi w:val="0"/>
              <w:rPr>
                <w:lang w:val="pt-BR"/>
              </w:rPr>
            </w:pPr>
            <w:r>
              <w:rPr>
                <w:lang w:val="pt-BR"/>
              </w:rPr>
              <w:t>200</w:t>
            </w:r>
          </w:p>
        </w:tc>
        <w:tc>
          <w:tcPr>
            <w:tcW w:w="1279" w:type="dxa"/>
            <w:shd w:val="clear" w:color="auto" w:fill="auto"/>
            <w:vAlign w:val="bottom"/>
          </w:tcPr>
          <w:p>
            <w:pPr>
              <w:bidi w:val="0"/>
              <w:rPr>
                <w:lang w:val="pt-BR"/>
              </w:rPr>
            </w:pPr>
            <w:r>
              <w:rPr>
                <w:lang w:val="pt-BR"/>
              </w:rPr>
              <w:t>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QUÍMICA</w:t>
            </w:r>
          </w:p>
        </w:tc>
        <w:tc>
          <w:tcPr>
            <w:tcW w:w="1228" w:type="dxa"/>
            <w:shd w:val="clear" w:color="auto" w:fill="auto"/>
            <w:vAlign w:val="bottom"/>
          </w:tcPr>
          <w:p>
            <w:pPr>
              <w:bidi w:val="0"/>
              <w:rPr>
                <w:lang w:val="pt-BR"/>
              </w:rPr>
            </w:pPr>
            <w:r>
              <w:rPr>
                <w:lang w:val="pt-BR"/>
              </w:rPr>
              <w:t>72</w:t>
            </w:r>
          </w:p>
        </w:tc>
        <w:tc>
          <w:tcPr>
            <w:tcW w:w="1228" w:type="dxa"/>
            <w:shd w:val="clear" w:color="auto" w:fill="auto"/>
            <w:vAlign w:val="bottom"/>
          </w:tcPr>
          <w:p>
            <w:pPr>
              <w:bidi w:val="0"/>
              <w:rPr>
                <w:lang w:val="pt-BR"/>
              </w:rPr>
            </w:pPr>
            <w:r>
              <w:rPr>
                <w:lang w:val="pt-BR"/>
              </w:rPr>
              <w:t>443</w:t>
            </w:r>
          </w:p>
        </w:tc>
        <w:tc>
          <w:tcPr>
            <w:tcW w:w="1279" w:type="dxa"/>
            <w:shd w:val="clear" w:color="auto" w:fill="auto"/>
            <w:vAlign w:val="bottom"/>
          </w:tcPr>
          <w:p>
            <w:pPr>
              <w:bidi w:val="0"/>
              <w:rPr>
                <w:lang w:val="pt-BR"/>
              </w:rPr>
            </w:pPr>
            <w:r>
              <w:rPr>
                <w:lang w:val="pt-BR"/>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ENGENHARIA TÊXTIL</w:t>
            </w:r>
          </w:p>
        </w:tc>
        <w:tc>
          <w:tcPr>
            <w:tcW w:w="1228" w:type="dxa"/>
            <w:shd w:val="clear" w:color="auto" w:fill="auto"/>
            <w:vAlign w:val="bottom"/>
          </w:tcPr>
          <w:p>
            <w:pPr>
              <w:bidi w:val="0"/>
              <w:rPr>
                <w:lang w:val="pt-BR"/>
              </w:rPr>
            </w:pPr>
            <w:r>
              <w:rPr>
                <w:lang w:val="pt-BR"/>
              </w:rPr>
              <w:t>37</w:t>
            </w:r>
          </w:p>
        </w:tc>
        <w:tc>
          <w:tcPr>
            <w:tcW w:w="1228" w:type="dxa"/>
            <w:shd w:val="clear" w:color="auto" w:fill="auto"/>
            <w:vAlign w:val="bottom"/>
          </w:tcPr>
          <w:p>
            <w:pPr>
              <w:bidi w:val="0"/>
              <w:rPr>
                <w:lang w:val="pt-BR"/>
              </w:rPr>
            </w:pPr>
            <w:r>
              <w:rPr>
                <w:lang w:val="pt-BR"/>
              </w:rPr>
              <w:t>58</w:t>
            </w:r>
          </w:p>
        </w:tc>
        <w:tc>
          <w:tcPr>
            <w:tcW w:w="1279" w:type="dxa"/>
            <w:shd w:val="clear" w:color="auto" w:fill="auto"/>
            <w:vAlign w:val="bottom"/>
          </w:tcPr>
          <w:p>
            <w:pPr>
              <w:bidi w:val="0"/>
              <w:rPr>
                <w:lang w:val="pt-BR"/>
              </w:rPr>
            </w:pPr>
            <w:r>
              <w:rPr>
                <w:lang w:val="pt-BR"/>
              </w:rPr>
              <w:t>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INFORMÁTICA</w:t>
            </w:r>
          </w:p>
        </w:tc>
        <w:tc>
          <w:tcPr>
            <w:tcW w:w="1228" w:type="dxa"/>
            <w:shd w:val="clear" w:color="auto" w:fill="auto"/>
            <w:vAlign w:val="bottom"/>
          </w:tcPr>
          <w:p>
            <w:pPr>
              <w:bidi w:val="0"/>
              <w:rPr>
                <w:lang w:val="pt-BR"/>
              </w:rPr>
            </w:pPr>
            <w:r>
              <w:rPr>
                <w:lang w:val="pt-BR"/>
              </w:rPr>
              <w:t>41</w:t>
            </w:r>
          </w:p>
        </w:tc>
        <w:tc>
          <w:tcPr>
            <w:tcW w:w="1228" w:type="dxa"/>
            <w:shd w:val="clear" w:color="auto" w:fill="auto"/>
            <w:vAlign w:val="bottom"/>
          </w:tcPr>
          <w:p>
            <w:pPr>
              <w:bidi w:val="0"/>
              <w:rPr>
                <w:lang w:val="pt-BR"/>
              </w:rPr>
            </w:pPr>
            <w:r>
              <w:rPr>
                <w:lang w:val="pt-BR"/>
              </w:rPr>
              <w:t>208</w:t>
            </w:r>
          </w:p>
        </w:tc>
        <w:tc>
          <w:tcPr>
            <w:tcW w:w="1279" w:type="dxa"/>
            <w:shd w:val="clear" w:color="auto" w:fill="auto"/>
            <w:vAlign w:val="bottom"/>
          </w:tcPr>
          <w:p>
            <w:pPr>
              <w:bidi w:val="0"/>
              <w:rPr>
                <w:lang w:val="pt-BR"/>
              </w:rPr>
            </w:pPr>
            <w:r>
              <w:rPr>
                <w:lang w:val="pt-BR"/>
              </w:rP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MODA</w:t>
            </w:r>
          </w:p>
        </w:tc>
        <w:tc>
          <w:tcPr>
            <w:tcW w:w="1228" w:type="dxa"/>
            <w:shd w:val="clear" w:color="auto" w:fill="auto"/>
            <w:vAlign w:val="bottom"/>
          </w:tcPr>
          <w:p>
            <w:pPr>
              <w:bidi w:val="0"/>
              <w:rPr>
                <w:lang w:val="pt-BR"/>
              </w:rPr>
            </w:pPr>
            <w:r>
              <w:rPr>
                <w:lang w:val="pt-BR"/>
              </w:rPr>
              <w:t>4</w:t>
            </w:r>
          </w:p>
        </w:tc>
        <w:tc>
          <w:tcPr>
            <w:tcW w:w="1228" w:type="dxa"/>
            <w:shd w:val="clear" w:color="auto" w:fill="auto"/>
            <w:vAlign w:val="bottom"/>
          </w:tcPr>
          <w:p>
            <w:pPr>
              <w:bidi w:val="0"/>
              <w:rPr>
                <w:lang w:val="pt-BR"/>
              </w:rPr>
            </w:pPr>
            <w:r>
              <w:rPr>
                <w:lang w:val="pt-BR"/>
              </w:rPr>
              <w:t>115</w:t>
            </w:r>
          </w:p>
        </w:tc>
        <w:tc>
          <w:tcPr>
            <w:tcW w:w="1279" w:type="dxa"/>
            <w:shd w:val="clear" w:color="auto" w:fill="auto"/>
            <w:vAlign w:val="bottom"/>
          </w:tcPr>
          <w:p>
            <w:pPr>
              <w:bidi w:val="0"/>
              <w:rPr>
                <w:lang w:val="pt-BR"/>
              </w:rPr>
            </w:pPr>
            <w:r>
              <w:rPr>
                <w:lang w:val="pt-B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TECNOLOGIA EM CONSTRUÇÃO CIVIL (CAU)</w:t>
            </w:r>
          </w:p>
        </w:tc>
        <w:tc>
          <w:tcPr>
            <w:tcW w:w="1228" w:type="dxa"/>
            <w:shd w:val="clear" w:color="auto" w:fill="auto"/>
            <w:vAlign w:val="bottom"/>
          </w:tcPr>
          <w:p>
            <w:pPr>
              <w:bidi w:val="0"/>
              <w:rPr>
                <w:lang w:val="pt-BR"/>
              </w:rPr>
            </w:pPr>
            <w:r>
              <w:rPr>
                <w:lang w:val="pt-BR"/>
              </w:rPr>
              <w:t>28</w:t>
            </w:r>
          </w:p>
        </w:tc>
        <w:tc>
          <w:tcPr>
            <w:tcW w:w="1228" w:type="dxa"/>
            <w:shd w:val="clear" w:color="auto" w:fill="auto"/>
            <w:vAlign w:val="bottom"/>
          </w:tcPr>
          <w:p>
            <w:pPr>
              <w:bidi w:val="0"/>
              <w:rPr>
                <w:lang w:val="pt-BR"/>
              </w:rPr>
            </w:pPr>
            <w:r>
              <w:rPr>
                <w:lang w:val="pt-BR"/>
              </w:rPr>
              <w:t>116</w:t>
            </w:r>
          </w:p>
        </w:tc>
        <w:tc>
          <w:tcPr>
            <w:tcW w:w="1279" w:type="dxa"/>
            <w:shd w:val="clear" w:color="auto" w:fill="auto"/>
            <w:vAlign w:val="bottom"/>
          </w:tcPr>
          <w:p>
            <w:pPr>
              <w:bidi w:val="0"/>
              <w:rPr>
                <w:lang w:val="pt-BR"/>
              </w:rPr>
            </w:pPr>
            <w:r>
              <w:rPr>
                <w:lang w:val="pt-BR"/>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1" w:hRule="atLeast"/>
        </w:trPr>
        <w:tc>
          <w:tcPr>
            <w:tcW w:w="5323" w:type="dxa"/>
            <w:shd w:val="clear" w:color="auto" w:fill="auto"/>
          </w:tcPr>
          <w:p>
            <w:pPr>
              <w:bidi w:val="0"/>
              <w:rPr>
                <w:lang w:val="pt-BR"/>
              </w:rPr>
            </w:pPr>
            <w:r>
              <w:rPr>
                <w:lang w:val="pt-BR"/>
              </w:rPr>
              <w:t>TECNOLOGIA EM MEIO AMBIENTE (CAU)</w:t>
            </w:r>
          </w:p>
        </w:tc>
        <w:tc>
          <w:tcPr>
            <w:tcW w:w="1228" w:type="dxa"/>
            <w:shd w:val="clear" w:color="auto" w:fill="auto"/>
            <w:vAlign w:val="bottom"/>
          </w:tcPr>
          <w:p>
            <w:pPr>
              <w:bidi w:val="0"/>
              <w:rPr>
                <w:lang w:val="pt-BR"/>
              </w:rPr>
            </w:pPr>
            <w:r>
              <w:rPr>
                <w:lang w:val="pt-BR"/>
              </w:rPr>
              <w:t>8</w:t>
            </w:r>
          </w:p>
        </w:tc>
        <w:tc>
          <w:tcPr>
            <w:tcW w:w="1228" w:type="dxa"/>
            <w:shd w:val="clear" w:color="auto" w:fill="auto"/>
            <w:vAlign w:val="bottom"/>
          </w:tcPr>
          <w:p>
            <w:pPr>
              <w:bidi w:val="0"/>
              <w:rPr>
                <w:lang w:val="pt-BR"/>
              </w:rPr>
            </w:pPr>
            <w:r>
              <w:rPr>
                <w:lang w:val="pt-BR"/>
              </w:rPr>
              <w:t>27</w:t>
            </w:r>
          </w:p>
        </w:tc>
        <w:tc>
          <w:tcPr>
            <w:tcW w:w="1279" w:type="dxa"/>
            <w:shd w:val="clear" w:color="auto" w:fill="auto"/>
            <w:vAlign w:val="bottom"/>
          </w:tcPr>
          <w:p>
            <w:pPr>
              <w:bidi w:val="0"/>
              <w:rPr>
                <w:lang w:val="pt-BR"/>
              </w:rPr>
            </w:pPr>
            <w:r>
              <w:rPr>
                <w:lang w:val="pt-BR"/>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16" w:hRule="atLeast"/>
        </w:trPr>
        <w:tc>
          <w:tcPr>
            <w:tcW w:w="5323" w:type="dxa"/>
            <w:shd w:val="clear" w:color="auto" w:fill="auto"/>
          </w:tcPr>
          <w:p>
            <w:pPr>
              <w:bidi w:val="0"/>
              <w:rPr>
                <w:lang w:val="pt-BR"/>
              </w:rPr>
            </w:pPr>
            <w:r>
              <w:rPr>
                <w:lang w:val="pt-BR"/>
              </w:rPr>
              <w:t>TECNOLOGIA EM ALIMENTOS (CAU)</w:t>
            </w:r>
          </w:p>
        </w:tc>
        <w:tc>
          <w:tcPr>
            <w:tcW w:w="1228" w:type="dxa"/>
            <w:shd w:val="clear" w:color="auto" w:fill="auto"/>
            <w:vAlign w:val="bottom"/>
          </w:tcPr>
          <w:p>
            <w:pPr>
              <w:bidi w:val="0"/>
              <w:rPr>
                <w:lang w:val="pt-BR"/>
              </w:rPr>
            </w:pPr>
            <w:r>
              <w:rPr>
                <w:lang w:val="pt-BR"/>
              </w:rPr>
              <w:t>24</w:t>
            </w:r>
          </w:p>
        </w:tc>
        <w:tc>
          <w:tcPr>
            <w:tcW w:w="1228" w:type="dxa"/>
            <w:shd w:val="clear" w:color="auto" w:fill="auto"/>
            <w:vAlign w:val="bottom"/>
          </w:tcPr>
          <w:p>
            <w:pPr>
              <w:bidi w:val="0"/>
              <w:rPr>
                <w:lang w:val="pt-BR"/>
              </w:rPr>
            </w:pPr>
            <w:r>
              <w:rPr>
                <w:lang w:val="pt-BR"/>
              </w:rPr>
              <w:t>45</w:t>
            </w:r>
          </w:p>
        </w:tc>
        <w:tc>
          <w:tcPr>
            <w:tcW w:w="1279" w:type="dxa"/>
            <w:shd w:val="clear" w:color="auto" w:fill="auto"/>
            <w:vAlign w:val="bottom"/>
          </w:tcPr>
          <w:p>
            <w:pPr>
              <w:bidi w:val="0"/>
              <w:rPr>
                <w:lang w:val="pt-BR"/>
              </w:rPr>
            </w:pPr>
            <w:r>
              <w:rPr>
                <w:lang w:val="pt-BR"/>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16" w:hRule="atLeast"/>
        </w:trPr>
        <w:tc>
          <w:tcPr>
            <w:tcW w:w="5323" w:type="dxa"/>
            <w:shd w:val="clear" w:color="auto" w:fill="auto"/>
            <w:noWrap/>
            <w:vAlign w:val="bottom"/>
          </w:tcPr>
          <w:p>
            <w:pPr>
              <w:bidi w:val="0"/>
              <w:rPr>
                <w:lang w:val="pt-BR"/>
              </w:rPr>
            </w:pPr>
            <w:r>
              <w:rPr>
                <w:lang w:val="pt-BR"/>
              </w:rPr>
              <w:t>TOTAL</w:t>
            </w:r>
          </w:p>
        </w:tc>
        <w:tc>
          <w:tcPr>
            <w:tcW w:w="1228" w:type="dxa"/>
            <w:shd w:val="clear" w:color="auto" w:fill="auto"/>
            <w:noWrap/>
            <w:vAlign w:val="bottom"/>
          </w:tcPr>
          <w:p>
            <w:pPr>
              <w:bidi w:val="0"/>
              <w:rPr>
                <w:lang w:val="pt-BR"/>
              </w:rPr>
            </w:pPr>
            <w:r>
              <w:rPr>
                <w:lang w:val="pt-BR"/>
              </w:rPr>
              <w:t>746</w:t>
            </w:r>
          </w:p>
        </w:tc>
        <w:tc>
          <w:tcPr>
            <w:tcW w:w="1228" w:type="dxa"/>
            <w:shd w:val="clear" w:color="auto" w:fill="auto"/>
            <w:noWrap/>
            <w:vAlign w:val="bottom"/>
          </w:tcPr>
          <w:p>
            <w:pPr>
              <w:bidi w:val="0"/>
              <w:rPr>
                <w:lang w:val="pt-BR"/>
              </w:rPr>
            </w:pPr>
            <w:r>
              <w:rPr>
                <w:lang w:val="pt-BR"/>
              </w:rPr>
              <w:t>3780</w:t>
            </w:r>
          </w:p>
        </w:tc>
        <w:tc>
          <w:tcPr>
            <w:tcW w:w="1279" w:type="dxa"/>
            <w:shd w:val="clear" w:color="auto" w:fill="auto"/>
            <w:noWrap/>
            <w:vAlign w:val="bottom"/>
          </w:tcPr>
          <w:p>
            <w:pPr>
              <w:bidi w:val="0"/>
              <w:rPr>
                <w:lang w:val="pt-BR"/>
              </w:rPr>
            </w:pPr>
            <w:r>
              <w:rPr>
                <w:lang w:val="pt-BR"/>
              </w:rPr>
              <w:t>20%</w:t>
            </w:r>
          </w:p>
        </w:tc>
      </w:tr>
    </w:tbl>
    <w:p>
      <w:pPr>
        <w:bidi w:val="0"/>
        <w:rPr>
          <w:lang w:val="pt-BR" w:eastAsia="ar-SA"/>
        </w:rPr>
      </w:pPr>
      <w:r>
        <w:rPr>
          <w:lang w:val="pt-BR" w:eastAsia="ar-SA"/>
        </w:rPr>
        <w:t>Resp.: Respondentes; Matr.: Matriculados.</w:t>
      </w:r>
    </w:p>
    <w:p>
      <w:pPr>
        <w:bidi w:val="0"/>
        <w:rPr>
          <w:lang w:val="pt-BR"/>
        </w:rPr>
      </w:pPr>
    </w:p>
    <w:p>
      <w:pPr>
        <w:pStyle w:val="15"/>
        <w:bidi w:val="0"/>
      </w:pPr>
      <w:r>
        <w:rPr>
          <w:lang w:val="pt-BR"/>
        </w:rPr>
        <w:t xml:space="preserve">Na avaliação </w:t>
      </w:r>
      <w:r>
        <w:t xml:space="preserve">discente no ano de </w:t>
      </w:r>
      <w:r>
        <w:rPr>
          <w:lang w:val="pt-BR"/>
        </w:rPr>
        <w:t>2020</w:t>
      </w:r>
      <w:r>
        <w:t xml:space="preserve">, o índice de participação discente do </w:t>
      </w:r>
      <w:r>
        <w:rPr>
          <w:b/>
          <w:bCs/>
        </w:rPr>
        <w:t xml:space="preserve">Curso de </w:t>
      </w:r>
      <w:r>
        <w:rPr>
          <w:b/>
          <w:bCs/>
          <w:lang w:val="pt-BR"/>
        </w:rPr>
        <w:t>%curso%</w:t>
      </w:r>
      <w:r>
        <w:t xml:space="preserve"> foi de 12,2% dos alunos matriculados.</w:t>
      </w:r>
    </w:p>
    <w:p>
      <w:pPr>
        <w:pStyle w:val="15"/>
        <w:bidi w:val="0"/>
      </w:pPr>
    </w:p>
    <w:p>
      <w:pPr>
        <w:pStyle w:val="15"/>
        <w:bidi w:val="0"/>
      </w:pPr>
      <w:r>
        <w:t xml:space="preserve">No Quadro 2 estão sistematizados os resultados da avaliação discente, por Grupo de indicadores, do </w:t>
      </w:r>
      <w:r>
        <w:rPr>
          <w:b/>
          <w:bCs/>
        </w:rPr>
        <w:t xml:space="preserve">Curso de </w:t>
      </w:r>
      <w:r>
        <w:rPr>
          <w:b/>
          <w:bCs/>
          <w:lang w:val="pt-BR"/>
        </w:rPr>
        <w:t>%curso%</w:t>
      </w:r>
      <w:r>
        <w:t xml:space="preserve"> no ano de </w:t>
      </w:r>
      <w:r>
        <w:rPr>
          <w:lang w:val="pt-BR"/>
        </w:rPr>
        <w:t>2020</w:t>
      </w:r>
      <w:r>
        <w:t>.</w:t>
      </w:r>
    </w:p>
    <w:p>
      <w:pPr>
        <w:pStyle w:val="15"/>
        <w:bidi w:val="0"/>
      </w:pPr>
    </w:p>
    <w:p>
      <w:pPr>
        <w:pStyle w:val="15"/>
        <w:bidi w:val="0"/>
        <w:rPr>
          <w:rFonts w:hint="default"/>
          <w:lang w:val="pt-BR"/>
        </w:rPr>
      </w:pPr>
      <w:r>
        <w:t xml:space="preserve">Quadro 2- Avaliação discente do </w:t>
      </w:r>
      <w:r>
        <w:rPr>
          <w:b/>
          <w:bCs/>
        </w:rPr>
        <w:t xml:space="preserve">Curso de </w:t>
      </w:r>
      <w:r>
        <w:rPr>
          <w:b/>
          <w:bCs/>
          <w:lang w:val="pt-BR"/>
        </w:rPr>
        <w:t>%curso%</w:t>
      </w:r>
      <w:r>
        <w:t xml:space="preserve"> de acordo com os Grupos de indicadores, </w:t>
      </w:r>
      <w:r>
        <w:rPr>
          <w:rFonts w:hint="default"/>
          <w:lang w:val="pt-BR"/>
        </w:rPr>
        <w:t>2020</w:t>
      </w:r>
    </w:p>
    <w:tbl>
      <w:tblPr>
        <w:tblStyle w:val="7"/>
        <w:tblW w:w="9082"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5822"/>
        <w:gridCol w:w="815"/>
        <w:gridCol w:w="815"/>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noWrap/>
            <w:vAlign w:val="bottom"/>
          </w:tcPr>
          <w:p>
            <w:pPr>
              <w:pStyle w:val="15"/>
              <w:bidi w:val="0"/>
              <w:rPr>
                <w:lang w:val="pt-BR"/>
              </w:rPr>
            </w:pPr>
            <w:r>
              <w:t xml:space="preserve">PARTE I - </w:t>
            </w:r>
            <w:r>
              <w:rPr>
                <w:rFonts w:hint="default"/>
              </w:rPr>
              <w:t>Avaliação discente geral</w:t>
            </w:r>
          </w:p>
        </w:tc>
        <w:tc>
          <w:tcPr>
            <w:tcW w:w="815" w:type="dxa"/>
            <w:tcBorders>
              <w:bottom w:val="single" w:color="auto" w:sz="4" w:space="0"/>
            </w:tcBorders>
            <w:shd w:val="clear" w:color="auto" w:fill="auto"/>
            <w:vAlign w:val="bottom"/>
          </w:tcPr>
          <w:p>
            <w:pPr>
              <w:pStyle w:val="15"/>
              <w:bidi w:val="0"/>
              <w:rPr>
                <w:lang w:val="pt-BR"/>
              </w:rPr>
            </w:pPr>
            <w:r>
              <w:rPr>
                <w:lang w:val="pt-BR"/>
              </w:rPr>
              <w:t>O</w:t>
            </w:r>
          </w:p>
        </w:tc>
        <w:tc>
          <w:tcPr>
            <w:tcW w:w="815" w:type="dxa"/>
            <w:tcBorders>
              <w:bottom w:val="single" w:color="auto" w:sz="4" w:space="0"/>
            </w:tcBorders>
            <w:shd w:val="clear" w:color="auto" w:fill="auto"/>
            <w:vAlign w:val="bottom"/>
          </w:tcPr>
          <w:p>
            <w:pPr>
              <w:pStyle w:val="15"/>
              <w:bidi w:val="0"/>
              <w:rPr>
                <w:lang w:val="pt-BR"/>
              </w:rPr>
            </w:pPr>
            <w:r>
              <w:rPr>
                <w:lang w:val="pt-BR"/>
              </w:rPr>
              <w:t>B</w:t>
            </w:r>
          </w:p>
        </w:tc>
        <w:tc>
          <w:tcPr>
            <w:tcW w:w="815" w:type="dxa"/>
            <w:tcBorders>
              <w:bottom w:val="single" w:color="auto" w:sz="4" w:space="0"/>
            </w:tcBorders>
            <w:shd w:val="clear" w:color="auto" w:fill="auto"/>
            <w:vAlign w:val="bottom"/>
          </w:tcPr>
          <w:p>
            <w:pPr>
              <w:pStyle w:val="15"/>
              <w:bidi w:val="0"/>
              <w:rPr>
                <w:lang w:val="pt-BR"/>
              </w:rPr>
            </w:pPr>
            <w:r>
              <w:rPr>
                <w:lang w:val="pt-BR"/>
              </w:rPr>
              <w:t>R</w:t>
            </w:r>
          </w:p>
        </w:tc>
        <w:tc>
          <w:tcPr>
            <w:tcW w:w="815" w:type="dxa"/>
            <w:tcBorders>
              <w:bottom w:val="single" w:color="auto" w:sz="4" w:space="0"/>
            </w:tcBorders>
            <w:shd w:val="clear" w:color="auto" w:fill="auto"/>
            <w:vAlign w:val="bottom"/>
          </w:tcPr>
          <w:p>
            <w:pPr>
              <w:pStyle w:val="15"/>
              <w:bidi w:val="0"/>
              <w:rPr>
                <w:lang w:val="pt-BR"/>
              </w:rPr>
            </w:pPr>
            <w:r>
              <w:rPr>
                <w:lang w:val="pt-BR"/>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tcPr>
          <w:p>
            <w:pPr>
              <w:pStyle w:val="15"/>
              <w:bidi w:val="0"/>
              <w:rPr>
                <w:rFonts w:hint="default"/>
                <w:lang w:val="pt-BR"/>
              </w:rPr>
            </w:pPr>
            <w:r>
              <w:rPr>
                <w:rFonts w:hint="default"/>
                <w:lang w:val="pt-BR"/>
              </w:rPr>
              <w:t>2020</w:t>
            </w:r>
          </w:p>
        </w:tc>
        <w:tc>
          <w:tcPr>
            <w:tcW w:w="815" w:type="dxa"/>
            <w:shd w:val="clear" w:color="auto" w:fill="auto"/>
            <w:noWrap/>
            <w:vAlign w:val="bottom"/>
          </w:tcPr>
          <w:p>
            <w:pPr>
              <w:pStyle w:val="15"/>
              <w:bidi w:val="0"/>
            </w:pPr>
            <w:r>
              <w:t>25,2</w:t>
            </w:r>
          </w:p>
        </w:tc>
        <w:tc>
          <w:tcPr>
            <w:tcW w:w="815" w:type="dxa"/>
            <w:shd w:val="clear" w:color="auto" w:fill="auto"/>
            <w:noWrap/>
            <w:vAlign w:val="bottom"/>
          </w:tcPr>
          <w:p>
            <w:pPr>
              <w:pStyle w:val="15"/>
              <w:bidi w:val="0"/>
            </w:pPr>
            <w:r>
              <w:t>43,7</w:t>
            </w:r>
          </w:p>
        </w:tc>
        <w:tc>
          <w:tcPr>
            <w:tcW w:w="815" w:type="dxa"/>
            <w:shd w:val="clear" w:color="auto" w:fill="auto"/>
            <w:noWrap/>
            <w:vAlign w:val="bottom"/>
          </w:tcPr>
          <w:p>
            <w:pPr>
              <w:pStyle w:val="15"/>
              <w:bidi w:val="0"/>
            </w:pPr>
            <w:r>
              <w:t>21,0</w:t>
            </w:r>
          </w:p>
        </w:tc>
        <w:tc>
          <w:tcPr>
            <w:tcW w:w="815" w:type="dxa"/>
            <w:shd w:val="clear" w:color="auto" w:fill="auto"/>
            <w:noWrap/>
            <w:vAlign w:val="bottom"/>
          </w:tcPr>
          <w:p>
            <w:pPr>
              <w:pStyle w:val="15"/>
              <w:bidi w:val="0"/>
            </w:pPr>
            <w: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tcPr>
          <w:p>
            <w:pPr>
              <w:pStyle w:val="15"/>
              <w:bidi w:val="0"/>
              <w:rPr>
                <w:lang w:val="pt-BR"/>
              </w:rPr>
            </w:pPr>
            <w:r>
              <w:t xml:space="preserve">PARTE II - </w:t>
            </w:r>
            <w:r>
              <w:rPr>
                <w:rFonts w:hint="default"/>
              </w:rPr>
              <w:t>Avaliação discente sobre as disciplinas e os docentes</w:t>
            </w:r>
            <w:r>
              <w:t xml:space="preserve"> </w:t>
            </w: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tcPr>
          <w:p>
            <w:pPr>
              <w:pStyle w:val="15"/>
              <w:bidi w:val="0"/>
              <w:rPr>
                <w:rFonts w:hint="default"/>
                <w:lang w:val="pt-BR"/>
              </w:rPr>
            </w:pPr>
            <w:r>
              <w:rPr>
                <w:rFonts w:hint="default"/>
                <w:lang w:val="pt-BR"/>
              </w:rPr>
              <w:t>2020</w:t>
            </w:r>
          </w:p>
        </w:tc>
        <w:tc>
          <w:tcPr>
            <w:tcW w:w="815" w:type="dxa"/>
            <w:shd w:val="clear" w:color="auto" w:fill="auto"/>
            <w:vAlign w:val="bottom"/>
          </w:tcPr>
          <w:p>
            <w:pPr>
              <w:pStyle w:val="15"/>
              <w:bidi w:val="0"/>
            </w:pPr>
            <w:r>
              <w:t>52,0</w:t>
            </w:r>
          </w:p>
        </w:tc>
        <w:tc>
          <w:tcPr>
            <w:tcW w:w="815" w:type="dxa"/>
            <w:shd w:val="clear" w:color="auto" w:fill="auto"/>
            <w:vAlign w:val="bottom"/>
          </w:tcPr>
          <w:p>
            <w:pPr>
              <w:pStyle w:val="15"/>
              <w:bidi w:val="0"/>
            </w:pPr>
            <w:r>
              <w:t>30,0</w:t>
            </w:r>
          </w:p>
        </w:tc>
        <w:tc>
          <w:tcPr>
            <w:tcW w:w="815" w:type="dxa"/>
            <w:shd w:val="clear" w:color="auto" w:fill="auto"/>
            <w:vAlign w:val="bottom"/>
          </w:tcPr>
          <w:p>
            <w:pPr>
              <w:pStyle w:val="15"/>
              <w:bidi w:val="0"/>
            </w:pPr>
            <w:r>
              <w:t>11,4</w:t>
            </w:r>
          </w:p>
        </w:tc>
        <w:tc>
          <w:tcPr>
            <w:tcW w:w="815" w:type="dxa"/>
            <w:shd w:val="clear" w:color="auto" w:fill="auto"/>
            <w:vAlign w:val="bottom"/>
          </w:tcPr>
          <w:p>
            <w:pPr>
              <w:pStyle w:val="15"/>
              <w:bidi w:val="0"/>
            </w:pPr>
            <w: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tcPr>
          <w:p>
            <w:pPr>
              <w:pStyle w:val="15"/>
              <w:bidi w:val="0"/>
              <w:rPr>
                <w:lang w:val="pt-BR"/>
              </w:rPr>
            </w:pPr>
            <w:r>
              <w:t>PARTE III - Sobre a disciplina</w:t>
            </w:r>
            <w:r>
              <w:rPr>
                <w:rFonts w:hint="default"/>
              </w:rPr>
              <w:t>Avaliação sobre o Estágio e sobre o Trabalho de Conclusão do Curso (TCC)</w:t>
            </w: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c>
          <w:tcPr>
            <w:tcW w:w="815" w:type="dxa"/>
            <w:shd w:val="clear" w:color="auto" w:fill="auto"/>
            <w:noWrap/>
            <w:vAlign w:val="bottom"/>
          </w:tcPr>
          <w:p>
            <w:pPr>
              <w:pStyle w:val="15"/>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70" w:hRule="atLeast"/>
        </w:trPr>
        <w:tc>
          <w:tcPr>
            <w:tcW w:w="5822" w:type="dxa"/>
            <w:shd w:val="clear" w:color="auto" w:fill="auto"/>
          </w:tcPr>
          <w:p>
            <w:pPr>
              <w:pStyle w:val="15"/>
              <w:bidi w:val="0"/>
              <w:rPr>
                <w:rFonts w:hint="default"/>
                <w:lang w:val="pt-BR"/>
              </w:rPr>
            </w:pPr>
            <w:r>
              <w:rPr>
                <w:rFonts w:hint="default"/>
                <w:lang w:val="pt-BR"/>
              </w:rPr>
              <w:t>2020</w:t>
            </w:r>
          </w:p>
        </w:tc>
        <w:tc>
          <w:tcPr>
            <w:tcW w:w="815" w:type="dxa"/>
            <w:shd w:val="clear" w:color="auto" w:fill="auto"/>
            <w:vAlign w:val="bottom"/>
          </w:tcPr>
          <w:p>
            <w:pPr>
              <w:pStyle w:val="15"/>
              <w:bidi w:val="0"/>
            </w:pPr>
            <w:r>
              <w:t>77,3</w:t>
            </w:r>
          </w:p>
        </w:tc>
        <w:tc>
          <w:tcPr>
            <w:tcW w:w="815" w:type="dxa"/>
            <w:shd w:val="clear" w:color="auto" w:fill="auto"/>
            <w:vAlign w:val="bottom"/>
          </w:tcPr>
          <w:p>
            <w:pPr>
              <w:pStyle w:val="15"/>
              <w:bidi w:val="0"/>
            </w:pPr>
            <w:r>
              <w:t>13,9</w:t>
            </w:r>
          </w:p>
        </w:tc>
        <w:tc>
          <w:tcPr>
            <w:tcW w:w="815" w:type="dxa"/>
            <w:shd w:val="clear" w:color="auto" w:fill="auto"/>
            <w:vAlign w:val="bottom"/>
          </w:tcPr>
          <w:p>
            <w:pPr>
              <w:pStyle w:val="15"/>
              <w:bidi w:val="0"/>
            </w:pPr>
            <w:r>
              <w:t>7,2</w:t>
            </w:r>
          </w:p>
        </w:tc>
        <w:tc>
          <w:tcPr>
            <w:tcW w:w="815" w:type="dxa"/>
            <w:shd w:val="clear" w:color="auto" w:fill="auto"/>
            <w:vAlign w:val="bottom"/>
          </w:tcPr>
          <w:p>
            <w:pPr>
              <w:pStyle w:val="15"/>
              <w:bidi w:val="0"/>
            </w:pPr>
            <w:r>
              <w:t>1,6</w:t>
            </w:r>
          </w:p>
        </w:tc>
      </w:tr>
    </w:tbl>
    <w:p>
      <w:pPr>
        <w:pStyle w:val="15"/>
        <w:bidi w:val="0"/>
        <w:rPr>
          <w:b/>
          <w:szCs w:val="16"/>
        </w:rPr>
      </w:pPr>
      <w:r>
        <w:rPr>
          <w:lang w:val="pt-BR" w:eastAsia="ar-SA"/>
        </w:rPr>
        <w:t>O- ótimo; B- bom; R- regular; I- i</w:t>
      </w:r>
      <w:r>
        <w:t>nsatisfatório</w:t>
      </w:r>
      <w:r>
        <w:rPr>
          <w:lang w:val="pt-BR" w:eastAsia="ar-SA"/>
        </w:rPr>
        <w:t>.</w:t>
      </w:r>
      <w:r>
        <w:rPr>
          <w:b/>
          <w:szCs w:val="16"/>
        </w:rPr>
        <w:br w:type="page"/>
      </w:r>
    </w:p>
    <w:p>
      <w:pPr>
        <w:pStyle w:val="3"/>
        <w:bidi w:val="0"/>
        <w:rPr>
          <w:rFonts w:hint="default"/>
          <w:lang w:val="pt-BR"/>
        </w:rPr>
      </w:pPr>
      <w:r>
        <w:rPr>
          <w:rFonts w:hint="default"/>
          <w:lang w:val="pt-BR"/>
        </w:rPr>
        <w:t>%Pergunta%</w:t>
      </w:r>
    </w:p>
    <w:p>
      <w:pPr>
        <w:spacing w:before="120" w:line="276" w:lineRule="auto"/>
        <w:jc w:val="both"/>
      </w:pPr>
    </w:p>
    <w:p>
      <w:pPr>
        <w:bidi w:val="0"/>
      </w:pPr>
      <w:r>
        <w:t>Na Parte I, Sobre Autoavaliação Discente, o aluno atribui um conceito a diferentes aspectos de sua participação/desempenho no curso.</w:t>
      </w:r>
    </w:p>
    <w:p>
      <w:pPr>
        <w:bidi w:val="0"/>
      </w:pPr>
      <w:r>
        <w:t xml:space="preserve">Os resultados do ano de </w:t>
      </w:r>
      <w:r>
        <w:rPr>
          <w:rFonts w:hint="default"/>
          <w:lang w:val="pt-BR"/>
        </w:rPr>
        <w:t>2020</w:t>
      </w:r>
      <w:r>
        <w:t>, em percentual de respondentes, sobre a forma como os alunos se autoavaliaram estão discriminados na Tabela 3, seguida do gráfico correspondente.</w:t>
      </w:r>
    </w:p>
    <w:p>
      <w:pPr>
        <w:spacing w:before="120" w:line="276" w:lineRule="auto"/>
        <w:ind w:firstLine="709"/>
        <w:jc w:val="both"/>
      </w:pPr>
    </w:p>
    <w:p>
      <w:pPr>
        <w:bidi w:val="0"/>
        <w:rPr>
          <w:rFonts w:hint="default"/>
          <w:lang w:val="pt-BR"/>
        </w:rPr>
      </w:pPr>
      <w:r>
        <w:t xml:space="preserve">Tabela 3- Autoavaliação discente, </w:t>
      </w:r>
      <w:r>
        <w:rPr>
          <w:b/>
          <w:bCs/>
        </w:rPr>
        <w:t xml:space="preserve">Curso de </w:t>
      </w:r>
      <w:r>
        <w:rPr>
          <w:b/>
          <w:bCs/>
          <w:lang w:val="pt-BR"/>
        </w:rPr>
        <w:t>%curso%</w:t>
      </w:r>
      <w:r>
        <w:t xml:space="preserve">, </w:t>
      </w:r>
      <w:r>
        <w:rPr>
          <w:rFonts w:hint="default"/>
          <w:lang w:val="pt-BR"/>
        </w:rPr>
        <w:t>2020</w:t>
      </w:r>
    </w:p>
    <w:tbl>
      <w:tblPr>
        <w:tblStyle w:val="7"/>
        <w:tblW w:w="9087" w:type="dxa"/>
        <w:tblInd w:w="55" w:type="dxa"/>
        <w:tblLayout w:type="fixed"/>
        <w:tblCellMar>
          <w:top w:w="0" w:type="dxa"/>
          <w:left w:w="70" w:type="dxa"/>
          <w:bottom w:w="0" w:type="dxa"/>
          <w:right w:w="70" w:type="dxa"/>
        </w:tblCellMar>
      </w:tblPr>
      <w:tblGrid>
        <w:gridCol w:w="5402"/>
        <w:gridCol w:w="740"/>
        <w:gridCol w:w="741"/>
        <w:gridCol w:w="740"/>
        <w:gridCol w:w="741"/>
        <w:gridCol w:w="723"/>
      </w:tblGrid>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GRUPO 1 - PARTE I- SOBRE A AUTOAVALIAÇÃO DISCENTE</w:t>
            </w:r>
          </w:p>
        </w:tc>
        <w:tc>
          <w:tcPr>
            <w:tcW w:w="740"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lang w:val="pt-BR"/>
              </w:rPr>
            </w:pPr>
            <w:r>
              <w:rPr>
                <w:lang w:val="pt-BR"/>
              </w:rPr>
              <w:t>O</w:t>
            </w:r>
          </w:p>
        </w:tc>
        <w:tc>
          <w:tcPr>
            <w:tcW w:w="741"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lang w:val="pt-BR"/>
              </w:rPr>
            </w:pPr>
            <w:r>
              <w:rPr>
                <w:lang w:val="pt-BR"/>
              </w:rPr>
              <w:t>B</w:t>
            </w:r>
          </w:p>
        </w:tc>
        <w:tc>
          <w:tcPr>
            <w:tcW w:w="740"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lang w:val="pt-BR"/>
              </w:rPr>
            </w:pPr>
            <w:r>
              <w:rPr>
                <w:lang w:val="pt-BR"/>
              </w:rPr>
              <w:t>R</w:t>
            </w:r>
          </w:p>
        </w:tc>
        <w:tc>
          <w:tcPr>
            <w:tcW w:w="741"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lang w:val="pt-BR"/>
              </w:rPr>
            </w:pPr>
            <w:r>
              <w:rPr>
                <w:lang w:val="pt-BR"/>
              </w:rPr>
              <w:t>I</w:t>
            </w:r>
          </w:p>
        </w:tc>
        <w:tc>
          <w:tcPr>
            <w:tcW w:w="723"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lang w:val="pt-BR"/>
              </w:rPr>
            </w:pPr>
            <w:r>
              <w:rPr>
                <w:lang w:val="pt-BR"/>
              </w:rPr>
              <w:t>Total</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Sua frequência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41,7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25,0</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25,0</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Sua pontualidade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50,0</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0,0</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Seu empenho e participação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66,7</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Sua aprendizagem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50,0</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Seu interesse despertado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41,7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Seu entusiasmo despertado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9,1</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45,5</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27,3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18,2</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Seu tempo disponível de dedicação aos estudos</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41,7</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25,0</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25,0</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Como você usa a disponibilidade do docente</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Sua integração com os demais colegas de sala na disciplina</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50,0</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33,3</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8,3</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lang w:val="pt-BR"/>
              </w:rPr>
            </w:pPr>
            <w:r>
              <w:rPr>
                <w:lang w:val="pt-BR"/>
              </w:rPr>
              <w:t>Seu nível de aproveitamento na disciplina como um todo</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25,0</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58,3</w:t>
            </w:r>
          </w:p>
        </w:tc>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16,7</w:t>
            </w:r>
          </w:p>
        </w:tc>
        <w:tc>
          <w:tcPr>
            <w:tcW w:w="741"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0,0</w:t>
            </w:r>
          </w:p>
        </w:tc>
        <w:tc>
          <w:tcPr>
            <w:tcW w:w="72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t>100,0</w:t>
            </w:r>
          </w:p>
        </w:tc>
      </w:tr>
      <w:tr>
        <w:tblPrEx>
          <w:tblCellMar>
            <w:top w:w="0" w:type="dxa"/>
            <w:left w:w="70" w:type="dxa"/>
            <w:bottom w:w="0" w:type="dxa"/>
            <w:right w:w="70" w:type="dxa"/>
          </w:tblCellMar>
        </w:tblPrEx>
        <w:trPr>
          <w:trHeight w:val="227" w:hRule="atLeast"/>
        </w:trPr>
        <w:tc>
          <w:tcPr>
            <w:tcW w:w="5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rPr>
                <w:lang w:val="pt-BR"/>
              </w:rPr>
            </w:pPr>
            <w:r>
              <w:rPr>
                <w:lang w:val="pt-BR"/>
              </w:rPr>
              <w:t>TOTAL</w:t>
            </w:r>
          </w:p>
        </w:tc>
        <w:tc>
          <w:tcPr>
            <w:tcW w:w="740"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25,2</w:t>
            </w:r>
          </w:p>
        </w:tc>
        <w:tc>
          <w:tcPr>
            <w:tcW w:w="741"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43,7</w:t>
            </w:r>
          </w:p>
        </w:tc>
        <w:tc>
          <w:tcPr>
            <w:tcW w:w="740"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21,0</w:t>
            </w:r>
          </w:p>
        </w:tc>
        <w:tc>
          <w:tcPr>
            <w:tcW w:w="741"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10,1</w:t>
            </w:r>
          </w:p>
        </w:tc>
        <w:tc>
          <w:tcPr>
            <w:tcW w:w="723"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pPr>
              <w:bidi w:val="0"/>
            </w:pPr>
            <w:r>
              <w:t>100,0</w:t>
            </w:r>
          </w:p>
        </w:tc>
      </w:tr>
    </w:tbl>
    <w:p>
      <w:pPr>
        <w:bidi w:val="0"/>
      </w:pPr>
    </w:p>
    <w:p>
      <w:pPr>
        <w:bidi w:val="0"/>
        <w:rPr>
          <w:rFonts w:hint="default"/>
          <w:lang w:val="pt-BR"/>
        </w:rPr>
      </w:pPr>
      <w:r>
        <w:t xml:space="preserve">Gráfico 1- Autoavaliação discente, </w:t>
      </w:r>
      <w:r>
        <w:rPr>
          <w:b/>
          <w:bCs/>
        </w:rPr>
        <w:t xml:space="preserve">Curso de </w:t>
      </w:r>
      <w:r>
        <w:rPr>
          <w:b/>
          <w:bCs/>
          <w:lang w:val="pt-BR"/>
        </w:rPr>
        <w:t>%curso%</w:t>
      </w:r>
      <w:r>
        <w:t xml:space="preserve">, </w:t>
      </w:r>
      <w:r>
        <w:rPr>
          <w:rFonts w:hint="default"/>
          <w:lang w:val="pt-BR"/>
        </w:rPr>
        <w:t>2020</w:t>
      </w:r>
    </w:p>
    <w:p>
      <w:pPr>
        <w:spacing w:line="276" w:lineRule="auto"/>
        <w:ind w:left="1276" w:hanging="1276"/>
        <w:jc w:val="both"/>
      </w:pPr>
      <w:r>
        <w:drawing>
          <wp:inline distT="0" distB="0" distL="114300" distR="114300">
            <wp:extent cx="5691505" cy="3624580"/>
            <wp:effectExtent l="0" t="0" r="4445" b="13970"/>
            <wp:docPr id="1" name="Picture 1" descr="Captura de tela de 2023-04-14 19-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a de tela de 2023-04-14 19-31-19"/>
                    <pic:cNvPicPr>
                      <a:picLocks noChangeAspect="1"/>
                    </pic:cNvPicPr>
                  </pic:nvPicPr>
                  <pic:blipFill>
                    <a:blip r:embed="rId11"/>
                    <a:stretch>
                      <a:fillRect/>
                    </a:stretch>
                  </pic:blipFill>
                  <pic:spPr>
                    <a:xfrm>
                      <a:off x="0" y="0"/>
                      <a:ext cx="5691505" cy="3624580"/>
                    </a:xfrm>
                    <a:prstGeom prst="rect">
                      <a:avLst/>
                    </a:prstGeom>
                  </pic:spPr>
                </pic:pic>
              </a:graphicData>
            </a:graphic>
          </wp:inline>
        </w:drawing>
      </w:r>
    </w:p>
    <w:p>
      <w:pPr>
        <w:bidi w:val="0"/>
      </w:pPr>
      <w:r>
        <w:t xml:space="preserve">De acordo com o Gráfico 1, em </w:t>
      </w:r>
      <w:r>
        <w:rPr>
          <w:rFonts w:hint="default"/>
          <w:lang w:val="pt-BR"/>
        </w:rPr>
        <w:t>2020</w:t>
      </w:r>
      <w:r>
        <w:t>, houve a predominância do conceito ‘bom’.</w:t>
      </w:r>
    </w:p>
    <w:p>
      <w:pPr>
        <w:pStyle w:val="2"/>
        <w:numPr>
          <w:ilvl w:val="0"/>
          <w:numId w:val="1"/>
        </w:numPr>
        <w:bidi w:val="0"/>
      </w:pPr>
      <w:r>
        <w:t xml:space="preserve">CONCLUSÃO </w:t>
      </w:r>
    </w:p>
    <w:p>
      <w:pPr>
        <w:bidi w:val="0"/>
      </w:pPr>
      <w:r>
        <w:t xml:space="preserve">O processo avaliativo ainda está sendo consolidado em nossa Instituição. Historicamente, a participação dos discentes no processo de avaliação interna da UEM tem se mantido num percentual abaixo do esperado. Conforme dados apontados na Tabela 1 desse relatório, em </w:t>
      </w:r>
      <w:r>
        <w:rPr>
          <w:rFonts w:hint="default"/>
          <w:lang w:val="pt-BR"/>
        </w:rPr>
        <w:t>2020</w:t>
      </w:r>
      <w:r>
        <w:t>, o índice de respondentes foi de 22%.</w:t>
      </w:r>
    </w:p>
    <w:p>
      <w:pPr>
        <w:bidi w:val="0"/>
      </w:pPr>
      <w:r>
        <w:t>A CPA tem realizado esforços no sentido de aumentar a participação, principalmente dos discentes, na avaliação interna de modo a torná-la mais efetiva e representativa.</w:t>
      </w:r>
    </w:p>
    <w:p>
      <w:pPr>
        <w:bidi w:val="0"/>
      </w:pPr>
      <w:r>
        <w:t xml:space="preserve">Em relação à participação dos alunos do </w:t>
      </w:r>
      <w:r>
        <w:rPr>
          <w:b/>
          <w:bCs/>
        </w:rPr>
        <w:t xml:space="preserve">Curso de </w:t>
      </w:r>
      <w:r>
        <w:rPr>
          <w:b/>
          <w:bCs/>
          <w:lang w:val="pt-BR"/>
        </w:rPr>
        <w:t>%curso%</w:t>
      </w:r>
      <w:r>
        <w:t xml:space="preserve"> na avaliação interna da UEM</w:t>
      </w:r>
      <w:bookmarkStart w:id="0" w:name="_GoBack"/>
      <w:bookmarkEnd w:id="0"/>
      <w:r>
        <w:t xml:space="preserve">, temos o índice de 12,2%, em </w:t>
      </w:r>
      <w:r>
        <w:rPr>
          <w:rFonts w:hint="default"/>
          <w:lang w:val="pt-BR"/>
        </w:rPr>
        <w:t>2020</w:t>
      </w:r>
      <w:r>
        <w:t>.</w:t>
      </w:r>
    </w:p>
    <w:p>
      <w:pPr>
        <w:bidi w:val="0"/>
      </w:pPr>
      <w:r>
        <w:t xml:space="preserve">Cabe lembrar que os resultados dessa avaliação devem ser vistos e analisados com cuidado e atenção, tendo em vista que o índice de participação discente nos últimos anos ainda está muito abaixo do desejado, dificultando que sejam garantidas a representatividade e a imparcialidade da amostra. </w:t>
      </w:r>
    </w:p>
    <w:p>
      <w:pPr>
        <w:bidi w:val="0"/>
      </w:pPr>
      <w:r>
        <w:rPr>
          <w:rFonts w:hint="default"/>
          <w:lang w:val="pt-BR"/>
        </w:rPr>
        <w:t>Os dados da avaliação discentes devem ser analisados considerando a baixa participação dos respondentes. No entento, a CPA trabalha para aumentar os índices de participação no espaço aberto pela comissão. Esperamos que todos os anos seja possível aplicar os instrumentos de avaliação para os discentes. Somente com esses dados, a instituição poderá mensurar a percepção dos discentes em suas rotinas dentro da universidade. E ao conhecer essa percepção é possivel identificar a qualidade do ensino e como podemos melhorar esses índices no quadro regional, estadual, nacional e internacional.</w:t>
      </w:r>
    </w:p>
    <w:sectPr>
      <w:headerReference r:id="rId6" w:type="first"/>
      <w:footerReference r:id="rId9" w:type="first"/>
      <w:headerReference r:id="rId4" w:type="default"/>
      <w:footerReference r:id="rId7" w:type="default"/>
      <w:headerReference r:id="rId5" w:type="even"/>
      <w:footerReference r:id="rId8" w:type="even"/>
      <w:pgSz w:w="11906" w:h="16838"/>
      <w:pgMar w:top="1701" w:right="1134" w:bottom="1134" w:left="1701" w:header="709" w:footer="709"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MS Serif">
    <w:altName w:val="Times New Roman"/>
    <w:panose1 w:val="04000500000000000000"/>
    <w:charset w:val="00"/>
    <w:family w:val="roman"/>
    <w:pitch w:val="default"/>
    <w:sig w:usb0="00000000" w:usb1="00000000" w:usb2="00000000" w:usb3="00000000" w:csb0="00000001" w:csb1="0000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2"/>
        <w:jc w:val="both"/>
      </w:pPr>
      <w:r>
        <w:rPr>
          <w:rStyle w:val="13"/>
        </w:rPr>
        <w:footnoteRef/>
      </w:r>
      <w:r>
        <w:t xml:space="preserve"> </w:t>
      </w:r>
      <w:r>
        <w:rPr>
          <w:sz w:val="18"/>
          <w:szCs w:val="18"/>
        </w:rPr>
        <w:t>Os dados dessa e das demais tabelas apresentadas neste relatório têm como fonte as informações básicas das avaliações discentes de cada ano letivo no qual o instrumento foi aplicado pela CPA.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3372489"/>
      <w:docPartObj>
        <w:docPartGallery w:val="autotext"/>
      </w:docPartObj>
    </w:sdtPr>
    <w:sdtContent>
      <w:p>
        <w:pPr>
          <w:pStyle w:val="15"/>
          <w:jc w:val="right"/>
        </w:pPr>
        <w:r>
          <w:fldChar w:fldCharType="begin"/>
        </w:r>
        <w:r>
          <w:instrText xml:space="preserve">PAGE   \* MERGEFORMAT</w:instrText>
        </w:r>
        <w:r>
          <w:fldChar w:fldCharType="separate"/>
        </w:r>
        <w:r>
          <w:rPr>
            <w:lang w:val="pt-BR"/>
          </w:rPr>
          <w:t>16</w:t>
        </w:r>
        <w:r>
          <w:rPr>
            <w:lang w:val="pt-BR"/>
          </w:rPr>
          <w:fldChar w:fldCharType="end"/>
        </w:r>
      </w:p>
    </w:sdtContent>
  </w:sdt>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4E16C"/>
    <w:multiLevelType w:val="singleLevel"/>
    <w:tmpl w:val="FDE4E1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DD52D7"/>
    <w:multiLevelType w:val="multilevel"/>
    <w:tmpl w:val="03DD52D7"/>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hideGrammaticalErrors/>
  <w:documentProtection w:enforcement="0"/>
  <w:defaultTabStop w:val="708"/>
  <w:hyphenationZone w:val="425"/>
  <w:drawingGridHorizontalSpacing w:val="120"/>
  <w:displayHorizontalDrawingGridEvery w:val="1"/>
  <w:displayVerticalDrawingGridEvery w:val="1"/>
  <w:noPunctuationKerning w:val="1"/>
  <w:characterSpacingControl w:val="doNotCompress"/>
  <w:footnotePr>
    <w:footnote w:id="2"/>
    <w:footnote w:id="3"/>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7F"/>
    <w:rsid w:val="00004D8D"/>
    <w:rsid w:val="00006FF6"/>
    <w:rsid w:val="00010766"/>
    <w:rsid w:val="000120F5"/>
    <w:rsid w:val="00014380"/>
    <w:rsid w:val="00016D41"/>
    <w:rsid w:val="00016FA1"/>
    <w:rsid w:val="0001779B"/>
    <w:rsid w:val="00021C0D"/>
    <w:rsid w:val="00021CC1"/>
    <w:rsid w:val="00022BBE"/>
    <w:rsid w:val="000246DF"/>
    <w:rsid w:val="0002485B"/>
    <w:rsid w:val="00027580"/>
    <w:rsid w:val="000322CD"/>
    <w:rsid w:val="00034EDF"/>
    <w:rsid w:val="000362FF"/>
    <w:rsid w:val="000378DC"/>
    <w:rsid w:val="000437F2"/>
    <w:rsid w:val="0004382A"/>
    <w:rsid w:val="00043B84"/>
    <w:rsid w:val="0004440F"/>
    <w:rsid w:val="00045621"/>
    <w:rsid w:val="000458F4"/>
    <w:rsid w:val="00047726"/>
    <w:rsid w:val="000477EE"/>
    <w:rsid w:val="000504A5"/>
    <w:rsid w:val="0005221C"/>
    <w:rsid w:val="00055904"/>
    <w:rsid w:val="0006029D"/>
    <w:rsid w:val="000618A9"/>
    <w:rsid w:val="000635FA"/>
    <w:rsid w:val="0006402D"/>
    <w:rsid w:val="00070523"/>
    <w:rsid w:val="0007064A"/>
    <w:rsid w:val="00071D91"/>
    <w:rsid w:val="000816A6"/>
    <w:rsid w:val="0008370E"/>
    <w:rsid w:val="0009390C"/>
    <w:rsid w:val="000974FE"/>
    <w:rsid w:val="000A0817"/>
    <w:rsid w:val="000A0F7E"/>
    <w:rsid w:val="000A201D"/>
    <w:rsid w:val="000A5832"/>
    <w:rsid w:val="000A70D9"/>
    <w:rsid w:val="000B0B5F"/>
    <w:rsid w:val="000B1757"/>
    <w:rsid w:val="000B1F0E"/>
    <w:rsid w:val="000B3C32"/>
    <w:rsid w:val="000B3F92"/>
    <w:rsid w:val="000B455D"/>
    <w:rsid w:val="000C328C"/>
    <w:rsid w:val="000C3F89"/>
    <w:rsid w:val="000D0F67"/>
    <w:rsid w:val="000D3DB7"/>
    <w:rsid w:val="000D5869"/>
    <w:rsid w:val="000D7C0D"/>
    <w:rsid w:val="000E3633"/>
    <w:rsid w:val="000E3B08"/>
    <w:rsid w:val="000E7A75"/>
    <w:rsid w:val="000F473C"/>
    <w:rsid w:val="000F5768"/>
    <w:rsid w:val="00103E87"/>
    <w:rsid w:val="001064BC"/>
    <w:rsid w:val="001068FA"/>
    <w:rsid w:val="00111656"/>
    <w:rsid w:val="00111BB3"/>
    <w:rsid w:val="00115C6E"/>
    <w:rsid w:val="00116010"/>
    <w:rsid w:val="001160FB"/>
    <w:rsid w:val="0011688E"/>
    <w:rsid w:val="00116BF8"/>
    <w:rsid w:val="00124D71"/>
    <w:rsid w:val="00127720"/>
    <w:rsid w:val="00130AA7"/>
    <w:rsid w:val="00142B20"/>
    <w:rsid w:val="00142BFD"/>
    <w:rsid w:val="00144A7E"/>
    <w:rsid w:val="00147EDC"/>
    <w:rsid w:val="00152E33"/>
    <w:rsid w:val="0015339C"/>
    <w:rsid w:val="00154A4E"/>
    <w:rsid w:val="00154F20"/>
    <w:rsid w:val="00156FEC"/>
    <w:rsid w:val="00157245"/>
    <w:rsid w:val="00163049"/>
    <w:rsid w:val="001654E4"/>
    <w:rsid w:val="001667AB"/>
    <w:rsid w:val="001669A5"/>
    <w:rsid w:val="00167375"/>
    <w:rsid w:val="001704DC"/>
    <w:rsid w:val="00175168"/>
    <w:rsid w:val="001774AE"/>
    <w:rsid w:val="0017778C"/>
    <w:rsid w:val="00182559"/>
    <w:rsid w:val="00182679"/>
    <w:rsid w:val="00182FB1"/>
    <w:rsid w:val="0018507D"/>
    <w:rsid w:val="001901AC"/>
    <w:rsid w:val="00191017"/>
    <w:rsid w:val="00192B38"/>
    <w:rsid w:val="00194778"/>
    <w:rsid w:val="00196151"/>
    <w:rsid w:val="00196A2F"/>
    <w:rsid w:val="00197165"/>
    <w:rsid w:val="001971D1"/>
    <w:rsid w:val="001A0CBD"/>
    <w:rsid w:val="001A457F"/>
    <w:rsid w:val="001A5912"/>
    <w:rsid w:val="001A7291"/>
    <w:rsid w:val="001A75F0"/>
    <w:rsid w:val="001B1212"/>
    <w:rsid w:val="001B3AD2"/>
    <w:rsid w:val="001B60B3"/>
    <w:rsid w:val="001B6A38"/>
    <w:rsid w:val="001B761B"/>
    <w:rsid w:val="001B7ACD"/>
    <w:rsid w:val="001C0244"/>
    <w:rsid w:val="001C4583"/>
    <w:rsid w:val="001C5834"/>
    <w:rsid w:val="001C5E96"/>
    <w:rsid w:val="001C606F"/>
    <w:rsid w:val="001C678E"/>
    <w:rsid w:val="001D01ED"/>
    <w:rsid w:val="001D5A76"/>
    <w:rsid w:val="001D66A0"/>
    <w:rsid w:val="001D7119"/>
    <w:rsid w:val="001D72C7"/>
    <w:rsid w:val="001E087F"/>
    <w:rsid w:val="001E2457"/>
    <w:rsid w:val="001E3EDB"/>
    <w:rsid w:val="001E58C7"/>
    <w:rsid w:val="001E601B"/>
    <w:rsid w:val="001F499A"/>
    <w:rsid w:val="001F51F4"/>
    <w:rsid w:val="001F6D80"/>
    <w:rsid w:val="002012D3"/>
    <w:rsid w:val="002033C9"/>
    <w:rsid w:val="002038FC"/>
    <w:rsid w:val="00212093"/>
    <w:rsid w:val="0021567E"/>
    <w:rsid w:val="00216984"/>
    <w:rsid w:val="00217316"/>
    <w:rsid w:val="00220061"/>
    <w:rsid w:val="002261D6"/>
    <w:rsid w:val="00231549"/>
    <w:rsid w:val="00234419"/>
    <w:rsid w:val="00237F8E"/>
    <w:rsid w:val="00240700"/>
    <w:rsid w:val="00240A64"/>
    <w:rsid w:val="002410C7"/>
    <w:rsid w:val="00242497"/>
    <w:rsid w:val="00243E63"/>
    <w:rsid w:val="00245792"/>
    <w:rsid w:val="00246C30"/>
    <w:rsid w:val="00246DC3"/>
    <w:rsid w:val="00253D5D"/>
    <w:rsid w:val="00262ED7"/>
    <w:rsid w:val="00263380"/>
    <w:rsid w:val="0026449D"/>
    <w:rsid w:val="00265B51"/>
    <w:rsid w:val="00267006"/>
    <w:rsid w:val="0027210C"/>
    <w:rsid w:val="00272E14"/>
    <w:rsid w:val="00274D43"/>
    <w:rsid w:val="00276AD7"/>
    <w:rsid w:val="0028280D"/>
    <w:rsid w:val="002829B0"/>
    <w:rsid w:val="00282CF4"/>
    <w:rsid w:val="00287378"/>
    <w:rsid w:val="00292CB8"/>
    <w:rsid w:val="00294382"/>
    <w:rsid w:val="00297D22"/>
    <w:rsid w:val="002A02E5"/>
    <w:rsid w:val="002A3C47"/>
    <w:rsid w:val="002A4D8E"/>
    <w:rsid w:val="002A6435"/>
    <w:rsid w:val="002A7B03"/>
    <w:rsid w:val="002B0C12"/>
    <w:rsid w:val="002B40E3"/>
    <w:rsid w:val="002B4EBE"/>
    <w:rsid w:val="002B5AE6"/>
    <w:rsid w:val="002C371B"/>
    <w:rsid w:val="002C46BD"/>
    <w:rsid w:val="002C6D17"/>
    <w:rsid w:val="002C6D40"/>
    <w:rsid w:val="002D16B8"/>
    <w:rsid w:val="002D3479"/>
    <w:rsid w:val="002D77C6"/>
    <w:rsid w:val="002E0511"/>
    <w:rsid w:val="002E42E1"/>
    <w:rsid w:val="002F0BED"/>
    <w:rsid w:val="002F0C0C"/>
    <w:rsid w:val="002F1F91"/>
    <w:rsid w:val="002F22B5"/>
    <w:rsid w:val="002F2B38"/>
    <w:rsid w:val="002F4B6D"/>
    <w:rsid w:val="002F56E8"/>
    <w:rsid w:val="002F6BF1"/>
    <w:rsid w:val="0030687A"/>
    <w:rsid w:val="00311018"/>
    <w:rsid w:val="003118B4"/>
    <w:rsid w:val="00311F0C"/>
    <w:rsid w:val="003136ED"/>
    <w:rsid w:val="0032232E"/>
    <w:rsid w:val="00323600"/>
    <w:rsid w:val="0032435D"/>
    <w:rsid w:val="00330D5E"/>
    <w:rsid w:val="00332251"/>
    <w:rsid w:val="00335156"/>
    <w:rsid w:val="00335EA7"/>
    <w:rsid w:val="00343737"/>
    <w:rsid w:val="00345C51"/>
    <w:rsid w:val="003465BC"/>
    <w:rsid w:val="00346BE5"/>
    <w:rsid w:val="00351401"/>
    <w:rsid w:val="003518A0"/>
    <w:rsid w:val="00351F60"/>
    <w:rsid w:val="003522A4"/>
    <w:rsid w:val="00353AAA"/>
    <w:rsid w:val="00360D95"/>
    <w:rsid w:val="00362FDF"/>
    <w:rsid w:val="00371E02"/>
    <w:rsid w:val="00372023"/>
    <w:rsid w:val="00372BCA"/>
    <w:rsid w:val="00372E88"/>
    <w:rsid w:val="0037511D"/>
    <w:rsid w:val="00381075"/>
    <w:rsid w:val="00381CC9"/>
    <w:rsid w:val="003847B1"/>
    <w:rsid w:val="00385D66"/>
    <w:rsid w:val="00387633"/>
    <w:rsid w:val="0038784F"/>
    <w:rsid w:val="00392C5C"/>
    <w:rsid w:val="003944C3"/>
    <w:rsid w:val="0039727C"/>
    <w:rsid w:val="003A0C2B"/>
    <w:rsid w:val="003A0FA3"/>
    <w:rsid w:val="003A1DF0"/>
    <w:rsid w:val="003A2DC8"/>
    <w:rsid w:val="003A64E9"/>
    <w:rsid w:val="003A7C76"/>
    <w:rsid w:val="003B120E"/>
    <w:rsid w:val="003B366E"/>
    <w:rsid w:val="003B3808"/>
    <w:rsid w:val="003B79DB"/>
    <w:rsid w:val="003C481D"/>
    <w:rsid w:val="003D7559"/>
    <w:rsid w:val="003E172A"/>
    <w:rsid w:val="003E4A2D"/>
    <w:rsid w:val="003E7B69"/>
    <w:rsid w:val="003F03FF"/>
    <w:rsid w:val="003F0952"/>
    <w:rsid w:val="003F2558"/>
    <w:rsid w:val="003F3F6C"/>
    <w:rsid w:val="003F7224"/>
    <w:rsid w:val="00400723"/>
    <w:rsid w:val="00400D84"/>
    <w:rsid w:val="00401D61"/>
    <w:rsid w:val="0040430E"/>
    <w:rsid w:val="00407B0C"/>
    <w:rsid w:val="00411388"/>
    <w:rsid w:val="00411C01"/>
    <w:rsid w:val="00412157"/>
    <w:rsid w:val="00412C6E"/>
    <w:rsid w:val="004220C7"/>
    <w:rsid w:val="00423418"/>
    <w:rsid w:val="004240CE"/>
    <w:rsid w:val="00424981"/>
    <w:rsid w:val="00426269"/>
    <w:rsid w:val="00426D70"/>
    <w:rsid w:val="00427746"/>
    <w:rsid w:val="00432988"/>
    <w:rsid w:val="00433043"/>
    <w:rsid w:val="0043483B"/>
    <w:rsid w:val="00435E87"/>
    <w:rsid w:val="00435F57"/>
    <w:rsid w:val="004362C0"/>
    <w:rsid w:val="004377A1"/>
    <w:rsid w:val="00441E99"/>
    <w:rsid w:val="00442902"/>
    <w:rsid w:val="00442A1C"/>
    <w:rsid w:val="0044447E"/>
    <w:rsid w:val="00445CB1"/>
    <w:rsid w:val="004473E3"/>
    <w:rsid w:val="00447A1B"/>
    <w:rsid w:val="0045426E"/>
    <w:rsid w:val="0045590F"/>
    <w:rsid w:val="00455E9B"/>
    <w:rsid w:val="00457EAA"/>
    <w:rsid w:val="0046117A"/>
    <w:rsid w:val="00465FFE"/>
    <w:rsid w:val="00471A9F"/>
    <w:rsid w:val="00471FF1"/>
    <w:rsid w:val="00473795"/>
    <w:rsid w:val="004756BB"/>
    <w:rsid w:val="0047667C"/>
    <w:rsid w:val="0047676E"/>
    <w:rsid w:val="004823AA"/>
    <w:rsid w:val="00490D82"/>
    <w:rsid w:val="0049256F"/>
    <w:rsid w:val="00493DEE"/>
    <w:rsid w:val="00493FD1"/>
    <w:rsid w:val="00495E76"/>
    <w:rsid w:val="00497BB9"/>
    <w:rsid w:val="004A0889"/>
    <w:rsid w:val="004A0F28"/>
    <w:rsid w:val="004A2FC1"/>
    <w:rsid w:val="004A44FF"/>
    <w:rsid w:val="004A5777"/>
    <w:rsid w:val="004A608F"/>
    <w:rsid w:val="004A63BF"/>
    <w:rsid w:val="004B2888"/>
    <w:rsid w:val="004B34DE"/>
    <w:rsid w:val="004B41D0"/>
    <w:rsid w:val="004B4F63"/>
    <w:rsid w:val="004B5C12"/>
    <w:rsid w:val="004B63B8"/>
    <w:rsid w:val="004B6F61"/>
    <w:rsid w:val="004B7D04"/>
    <w:rsid w:val="004C0156"/>
    <w:rsid w:val="004C3892"/>
    <w:rsid w:val="004C408E"/>
    <w:rsid w:val="004C4556"/>
    <w:rsid w:val="004C4A2B"/>
    <w:rsid w:val="004C7E0A"/>
    <w:rsid w:val="004D2437"/>
    <w:rsid w:val="004D371A"/>
    <w:rsid w:val="004D58BA"/>
    <w:rsid w:val="004D602D"/>
    <w:rsid w:val="004D7EE8"/>
    <w:rsid w:val="004E119C"/>
    <w:rsid w:val="004E1BD0"/>
    <w:rsid w:val="004E358E"/>
    <w:rsid w:val="004E4E56"/>
    <w:rsid w:val="004F04D3"/>
    <w:rsid w:val="004F605B"/>
    <w:rsid w:val="004F6089"/>
    <w:rsid w:val="004F7433"/>
    <w:rsid w:val="005005A2"/>
    <w:rsid w:val="00500A75"/>
    <w:rsid w:val="00501AC5"/>
    <w:rsid w:val="00503B27"/>
    <w:rsid w:val="00514C07"/>
    <w:rsid w:val="00514E2E"/>
    <w:rsid w:val="00521BC7"/>
    <w:rsid w:val="0052299F"/>
    <w:rsid w:val="00522D9C"/>
    <w:rsid w:val="005238D1"/>
    <w:rsid w:val="0052404C"/>
    <w:rsid w:val="00524F9C"/>
    <w:rsid w:val="005256CB"/>
    <w:rsid w:val="0053613B"/>
    <w:rsid w:val="00536165"/>
    <w:rsid w:val="005409C1"/>
    <w:rsid w:val="00541A08"/>
    <w:rsid w:val="00542A9B"/>
    <w:rsid w:val="005432AB"/>
    <w:rsid w:val="005464D7"/>
    <w:rsid w:val="00546E27"/>
    <w:rsid w:val="005537B5"/>
    <w:rsid w:val="00554588"/>
    <w:rsid w:val="005551D4"/>
    <w:rsid w:val="00560DC3"/>
    <w:rsid w:val="00562480"/>
    <w:rsid w:val="00565AA1"/>
    <w:rsid w:val="00567183"/>
    <w:rsid w:val="005721C5"/>
    <w:rsid w:val="00573831"/>
    <w:rsid w:val="00575CDD"/>
    <w:rsid w:val="00576067"/>
    <w:rsid w:val="00576081"/>
    <w:rsid w:val="005761A1"/>
    <w:rsid w:val="00576651"/>
    <w:rsid w:val="005841A4"/>
    <w:rsid w:val="00590992"/>
    <w:rsid w:val="00595DE0"/>
    <w:rsid w:val="005A0285"/>
    <w:rsid w:val="005B42AE"/>
    <w:rsid w:val="005C2E8D"/>
    <w:rsid w:val="005C2EAE"/>
    <w:rsid w:val="005C31D9"/>
    <w:rsid w:val="005C41EF"/>
    <w:rsid w:val="005C498A"/>
    <w:rsid w:val="005C4D9F"/>
    <w:rsid w:val="005C68D5"/>
    <w:rsid w:val="005C794E"/>
    <w:rsid w:val="005D14F4"/>
    <w:rsid w:val="005D2C55"/>
    <w:rsid w:val="005D5117"/>
    <w:rsid w:val="005D63E9"/>
    <w:rsid w:val="005D7EC0"/>
    <w:rsid w:val="005E3219"/>
    <w:rsid w:val="005E3BAF"/>
    <w:rsid w:val="005F15A9"/>
    <w:rsid w:val="005F22F9"/>
    <w:rsid w:val="005F2F1C"/>
    <w:rsid w:val="005F42F9"/>
    <w:rsid w:val="005F7807"/>
    <w:rsid w:val="00600FBF"/>
    <w:rsid w:val="00600FD3"/>
    <w:rsid w:val="00602105"/>
    <w:rsid w:val="006034C2"/>
    <w:rsid w:val="00614EE2"/>
    <w:rsid w:val="00617C94"/>
    <w:rsid w:val="00617D9D"/>
    <w:rsid w:val="00620536"/>
    <w:rsid w:val="00622A08"/>
    <w:rsid w:val="00625C2F"/>
    <w:rsid w:val="006304A1"/>
    <w:rsid w:val="006316E7"/>
    <w:rsid w:val="0063580F"/>
    <w:rsid w:val="00635C59"/>
    <w:rsid w:val="00636D9A"/>
    <w:rsid w:val="00640F33"/>
    <w:rsid w:val="00642B4F"/>
    <w:rsid w:val="00650521"/>
    <w:rsid w:val="00651EA8"/>
    <w:rsid w:val="00652BE0"/>
    <w:rsid w:val="00655CE2"/>
    <w:rsid w:val="00656A89"/>
    <w:rsid w:val="00656DB3"/>
    <w:rsid w:val="00657351"/>
    <w:rsid w:val="00660226"/>
    <w:rsid w:val="00662F6F"/>
    <w:rsid w:val="00663D3D"/>
    <w:rsid w:val="006662EF"/>
    <w:rsid w:val="00667CAC"/>
    <w:rsid w:val="00672DC3"/>
    <w:rsid w:val="006730B0"/>
    <w:rsid w:val="0067505F"/>
    <w:rsid w:val="006750B1"/>
    <w:rsid w:val="0067669E"/>
    <w:rsid w:val="006801FE"/>
    <w:rsid w:val="00680554"/>
    <w:rsid w:val="00680B15"/>
    <w:rsid w:val="00680CD1"/>
    <w:rsid w:val="00683FAE"/>
    <w:rsid w:val="00684154"/>
    <w:rsid w:val="00684CB1"/>
    <w:rsid w:val="00684D58"/>
    <w:rsid w:val="00684EFD"/>
    <w:rsid w:val="00685C96"/>
    <w:rsid w:val="00686FB6"/>
    <w:rsid w:val="0068761D"/>
    <w:rsid w:val="00687A5C"/>
    <w:rsid w:val="00691B93"/>
    <w:rsid w:val="0069608F"/>
    <w:rsid w:val="006A1779"/>
    <w:rsid w:val="006A35C3"/>
    <w:rsid w:val="006A581E"/>
    <w:rsid w:val="006B092F"/>
    <w:rsid w:val="006B31EE"/>
    <w:rsid w:val="006B6F6B"/>
    <w:rsid w:val="006B7FBE"/>
    <w:rsid w:val="006C2A47"/>
    <w:rsid w:val="006C54DA"/>
    <w:rsid w:val="006C731B"/>
    <w:rsid w:val="006D3246"/>
    <w:rsid w:val="006D4E4F"/>
    <w:rsid w:val="006D649F"/>
    <w:rsid w:val="006E10B4"/>
    <w:rsid w:val="006E3492"/>
    <w:rsid w:val="006E3634"/>
    <w:rsid w:val="006E4984"/>
    <w:rsid w:val="006E517B"/>
    <w:rsid w:val="006E571B"/>
    <w:rsid w:val="006E64AA"/>
    <w:rsid w:val="006F20D0"/>
    <w:rsid w:val="006F250B"/>
    <w:rsid w:val="006F55AF"/>
    <w:rsid w:val="006F6162"/>
    <w:rsid w:val="007016E1"/>
    <w:rsid w:val="00704254"/>
    <w:rsid w:val="007061FA"/>
    <w:rsid w:val="00715A02"/>
    <w:rsid w:val="0072112E"/>
    <w:rsid w:val="007221B2"/>
    <w:rsid w:val="00722C19"/>
    <w:rsid w:val="00727D52"/>
    <w:rsid w:val="00730362"/>
    <w:rsid w:val="0073264A"/>
    <w:rsid w:val="00732651"/>
    <w:rsid w:val="0074453C"/>
    <w:rsid w:val="00751306"/>
    <w:rsid w:val="00753795"/>
    <w:rsid w:val="00753932"/>
    <w:rsid w:val="00755C5D"/>
    <w:rsid w:val="00757C4C"/>
    <w:rsid w:val="00763672"/>
    <w:rsid w:val="00765CA6"/>
    <w:rsid w:val="00765E35"/>
    <w:rsid w:val="007666B5"/>
    <w:rsid w:val="00767255"/>
    <w:rsid w:val="00767BA9"/>
    <w:rsid w:val="007733EE"/>
    <w:rsid w:val="00774DE4"/>
    <w:rsid w:val="00777749"/>
    <w:rsid w:val="00777CDE"/>
    <w:rsid w:val="00780C2E"/>
    <w:rsid w:val="0078172C"/>
    <w:rsid w:val="00781C10"/>
    <w:rsid w:val="007829DD"/>
    <w:rsid w:val="00783049"/>
    <w:rsid w:val="00783E12"/>
    <w:rsid w:val="007903AB"/>
    <w:rsid w:val="007916D2"/>
    <w:rsid w:val="00794645"/>
    <w:rsid w:val="007A2FFC"/>
    <w:rsid w:val="007A39A9"/>
    <w:rsid w:val="007A7821"/>
    <w:rsid w:val="007A7E70"/>
    <w:rsid w:val="007B05E5"/>
    <w:rsid w:val="007B24CE"/>
    <w:rsid w:val="007B2CB4"/>
    <w:rsid w:val="007D0A7A"/>
    <w:rsid w:val="007D0D8E"/>
    <w:rsid w:val="007D1A90"/>
    <w:rsid w:val="007D27D8"/>
    <w:rsid w:val="007D328B"/>
    <w:rsid w:val="007D4FBA"/>
    <w:rsid w:val="007D5797"/>
    <w:rsid w:val="007D6B62"/>
    <w:rsid w:val="007D6BB2"/>
    <w:rsid w:val="007E05B8"/>
    <w:rsid w:val="007E39C0"/>
    <w:rsid w:val="007F2F7F"/>
    <w:rsid w:val="007F36EF"/>
    <w:rsid w:val="007F66EB"/>
    <w:rsid w:val="007F77D7"/>
    <w:rsid w:val="008015AF"/>
    <w:rsid w:val="00802C2B"/>
    <w:rsid w:val="00803C76"/>
    <w:rsid w:val="00804DA0"/>
    <w:rsid w:val="00806AC7"/>
    <w:rsid w:val="00815DF5"/>
    <w:rsid w:val="008222C7"/>
    <w:rsid w:val="008243F1"/>
    <w:rsid w:val="00825FBA"/>
    <w:rsid w:val="0082756C"/>
    <w:rsid w:val="0084110F"/>
    <w:rsid w:val="00841ACE"/>
    <w:rsid w:val="0084371E"/>
    <w:rsid w:val="00843ECF"/>
    <w:rsid w:val="008460C9"/>
    <w:rsid w:val="00847505"/>
    <w:rsid w:val="00850C17"/>
    <w:rsid w:val="00853FBC"/>
    <w:rsid w:val="0085508E"/>
    <w:rsid w:val="00862F02"/>
    <w:rsid w:val="008647F7"/>
    <w:rsid w:val="00864EDF"/>
    <w:rsid w:val="0087192D"/>
    <w:rsid w:val="0087204F"/>
    <w:rsid w:val="008736DF"/>
    <w:rsid w:val="00874432"/>
    <w:rsid w:val="008758D4"/>
    <w:rsid w:val="00883538"/>
    <w:rsid w:val="00883C32"/>
    <w:rsid w:val="00885A54"/>
    <w:rsid w:val="00891117"/>
    <w:rsid w:val="00891D4E"/>
    <w:rsid w:val="00892E50"/>
    <w:rsid w:val="00892EE5"/>
    <w:rsid w:val="00895FC5"/>
    <w:rsid w:val="00897077"/>
    <w:rsid w:val="00897104"/>
    <w:rsid w:val="00897ABA"/>
    <w:rsid w:val="008A1C3E"/>
    <w:rsid w:val="008A3D14"/>
    <w:rsid w:val="008A548C"/>
    <w:rsid w:val="008A770A"/>
    <w:rsid w:val="008B1111"/>
    <w:rsid w:val="008B2A63"/>
    <w:rsid w:val="008B2BC8"/>
    <w:rsid w:val="008B5A88"/>
    <w:rsid w:val="008B6147"/>
    <w:rsid w:val="008B7993"/>
    <w:rsid w:val="008C14D4"/>
    <w:rsid w:val="008C4AF9"/>
    <w:rsid w:val="008C629F"/>
    <w:rsid w:val="008C75A8"/>
    <w:rsid w:val="008D34C5"/>
    <w:rsid w:val="008D7674"/>
    <w:rsid w:val="008E534B"/>
    <w:rsid w:val="008E5C58"/>
    <w:rsid w:val="008F3F72"/>
    <w:rsid w:val="00905918"/>
    <w:rsid w:val="00905A61"/>
    <w:rsid w:val="00907EB2"/>
    <w:rsid w:val="0091192B"/>
    <w:rsid w:val="00912925"/>
    <w:rsid w:val="009131A1"/>
    <w:rsid w:val="00914FB7"/>
    <w:rsid w:val="00915CF0"/>
    <w:rsid w:val="00917290"/>
    <w:rsid w:val="00917D92"/>
    <w:rsid w:val="00924FF7"/>
    <w:rsid w:val="00925A0B"/>
    <w:rsid w:val="009301B8"/>
    <w:rsid w:val="0093121C"/>
    <w:rsid w:val="00931250"/>
    <w:rsid w:val="00933D3C"/>
    <w:rsid w:val="00936C20"/>
    <w:rsid w:val="00941E4F"/>
    <w:rsid w:val="00953F5A"/>
    <w:rsid w:val="00954760"/>
    <w:rsid w:val="0096330A"/>
    <w:rsid w:val="00967085"/>
    <w:rsid w:val="00967154"/>
    <w:rsid w:val="00973C13"/>
    <w:rsid w:val="00973C4D"/>
    <w:rsid w:val="009748A1"/>
    <w:rsid w:val="00975029"/>
    <w:rsid w:val="009825BD"/>
    <w:rsid w:val="00986A6B"/>
    <w:rsid w:val="0098727C"/>
    <w:rsid w:val="00993CDD"/>
    <w:rsid w:val="00995A57"/>
    <w:rsid w:val="00996063"/>
    <w:rsid w:val="009A0A54"/>
    <w:rsid w:val="009A0FFC"/>
    <w:rsid w:val="009A25B4"/>
    <w:rsid w:val="009A26BF"/>
    <w:rsid w:val="009A3301"/>
    <w:rsid w:val="009A6C5C"/>
    <w:rsid w:val="009B0CCE"/>
    <w:rsid w:val="009B1029"/>
    <w:rsid w:val="009B2B2E"/>
    <w:rsid w:val="009B2BBE"/>
    <w:rsid w:val="009B33D5"/>
    <w:rsid w:val="009B453C"/>
    <w:rsid w:val="009B7F7D"/>
    <w:rsid w:val="009D36E5"/>
    <w:rsid w:val="009D5503"/>
    <w:rsid w:val="009D5C0D"/>
    <w:rsid w:val="009D6F44"/>
    <w:rsid w:val="009E0B4D"/>
    <w:rsid w:val="009E6416"/>
    <w:rsid w:val="009F11B0"/>
    <w:rsid w:val="009F27ED"/>
    <w:rsid w:val="00A01864"/>
    <w:rsid w:val="00A023DD"/>
    <w:rsid w:val="00A054DA"/>
    <w:rsid w:val="00A06C7F"/>
    <w:rsid w:val="00A0739C"/>
    <w:rsid w:val="00A102A7"/>
    <w:rsid w:val="00A115EA"/>
    <w:rsid w:val="00A143A8"/>
    <w:rsid w:val="00A1446E"/>
    <w:rsid w:val="00A15687"/>
    <w:rsid w:val="00A17683"/>
    <w:rsid w:val="00A21250"/>
    <w:rsid w:val="00A2168A"/>
    <w:rsid w:val="00A217EE"/>
    <w:rsid w:val="00A21DC3"/>
    <w:rsid w:val="00A2440A"/>
    <w:rsid w:val="00A276D1"/>
    <w:rsid w:val="00A27B7C"/>
    <w:rsid w:val="00A30E5A"/>
    <w:rsid w:val="00A41982"/>
    <w:rsid w:val="00A45ADC"/>
    <w:rsid w:val="00A470C1"/>
    <w:rsid w:val="00A47670"/>
    <w:rsid w:val="00A53027"/>
    <w:rsid w:val="00A60725"/>
    <w:rsid w:val="00A61178"/>
    <w:rsid w:val="00A662F6"/>
    <w:rsid w:val="00A75006"/>
    <w:rsid w:val="00A80B4F"/>
    <w:rsid w:val="00A819A5"/>
    <w:rsid w:val="00A82705"/>
    <w:rsid w:val="00A82DBE"/>
    <w:rsid w:val="00A84987"/>
    <w:rsid w:val="00A85856"/>
    <w:rsid w:val="00A85BB8"/>
    <w:rsid w:val="00A8645D"/>
    <w:rsid w:val="00A872ED"/>
    <w:rsid w:val="00A90320"/>
    <w:rsid w:val="00A90799"/>
    <w:rsid w:val="00A91BDB"/>
    <w:rsid w:val="00A9312A"/>
    <w:rsid w:val="00A93C2B"/>
    <w:rsid w:val="00A93F4C"/>
    <w:rsid w:val="00A95342"/>
    <w:rsid w:val="00A96D85"/>
    <w:rsid w:val="00AA12B4"/>
    <w:rsid w:val="00AA2252"/>
    <w:rsid w:val="00AA2833"/>
    <w:rsid w:val="00AA2FD2"/>
    <w:rsid w:val="00AA3563"/>
    <w:rsid w:val="00AB0BAD"/>
    <w:rsid w:val="00AB2254"/>
    <w:rsid w:val="00AB39EA"/>
    <w:rsid w:val="00AB4310"/>
    <w:rsid w:val="00AB4453"/>
    <w:rsid w:val="00AC0DE8"/>
    <w:rsid w:val="00AC29F6"/>
    <w:rsid w:val="00AC2D5A"/>
    <w:rsid w:val="00AC69D0"/>
    <w:rsid w:val="00AD126C"/>
    <w:rsid w:val="00AD1FEE"/>
    <w:rsid w:val="00AD3196"/>
    <w:rsid w:val="00AD3944"/>
    <w:rsid w:val="00AE43C0"/>
    <w:rsid w:val="00AE5D70"/>
    <w:rsid w:val="00AE76C9"/>
    <w:rsid w:val="00AE7C73"/>
    <w:rsid w:val="00AF110C"/>
    <w:rsid w:val="00AF1472"/>
    <w:rsid w:val="00AF2866"/>
    <w:rsid w:val="00B00D41"/>
    <w:rsid w:val="00B0205B"/>
    <w:rsid w:val="00B07700"/>
    <w:rsid w:val="00B10D1D"/>
    <w:rsid w:val="00B161D9"/>
    <w:rsid w:val="00B16F36"/>
    <w:rsid w:val="00B20CD3"/>
    <w:rsid w:val="00B21482"/>
    <w:rsid w:val="00B234AA"/>
    <w:rsid w:val="00B234ED"/>
    <w:rsid w:val="00B2367B"/>
    <w:rsid w:val="00B25FDE"/>
    <w:rsid w:val="00B316EA"/>
    <w:rsid w:val="00B31D34"/>
    <w:rsid w:val="00B32E46"/>
    <w:rsid w:val="00B33D73"/>
    <w:rsid w:val="00B43087"/>
    <w:rsid w:val="00B44F51"/>
    <w:rsid w:val="00B5583F"/>
    <w:rsid w:val="00B60041"/>
    <w:rsid w:val="00B6028C"/>
    <w:rsid w:val="00B613A7"/>
    <w:rsid w:val="00B6163C"/>
    <w:rsid w:val="00B62BBC"/>
    <w:rsid w:val="00B67A48"/>
    <w:rsid w:val="00B76634"/>
    <w:rsid w:val="00B76DFD"/>
    <w:rsid w:val="00B84DE9"/>
    <w:rsid w:val="00B87A31"/>
    <w:rsid w:val="00B907F2"/>
    <w:rsid w:val="00B91646"/>
    <w:rsid w:val="00B95187"/>
    <w:rsid w:val="00B9648F"/>
    <w:rsid w:val="00BA08D6"/>
    <w:rsid w:val="00BA1CEA"/>
    <w:rsid w:val="00BA3ADE"/>
    <w:rsid w:val="00BA4358"/>
    <w:rsid w:val="00BA51D2"/>
    <w:rsid w:val="00BA6910"/>
    <w:rsid w:val="00BB1B66"/>
    <w:rsid w:val="00BB5807"/>
    <w:rsid w:val="00BC14D7"/>
    <w:rsid w:val="00BC358F"/>
    <w:rsid w:val="00BC6586"/>
    <w:rsid w:val="00BC6773"/>
    <w:rsid w:val="00BD014B"/>
    <w:rsid w:val="00BD2B30"/>
    <w:rsid w:val="00BD4509"/>
    <w:rsid w:val="00BD4573"/>
    <w:rsid w:val="00BD67D1"/>
    <w:rsid w:val="00BE04D3"/>
    <w:rsid w:val="00BE1E98"/>
    <w:rsid w:val="00BE3967"/>
    <w:rsid w:val="00BE458C"/>
    <w:rsid w:val="00BE75CE"/>
    <w:rsid w:val="00BF51C0"/>
    <w:rsid w:val="00C017EE"/>
    <w:rsid w:val="00C025E9"/>
    <w:rsid w:val="00C0485F"/>
    <w:rsid w:val="00C04E7D"/>
    <w:rsid w:val="00C109A7"/>
    <w:rsid w:val="00C1467E"/>
    <w:rsid w:val="00C14CA6"/>
    <w:rsid w:val="00C177BA"/>
    <w:rsid w:val="00C23997"/>
    <w:rsid w:val="00C2491A"/>
    <w:rsid w:val="00C24AEA"/>
    <w:rsid w:val="00C25ACC"/>
    <w:rsid w:val="00C30809"/>
    <w:rsid w:val="00C319A0"/>
    <w:rsid w:val="00C31FE1"/>
    <w:rsid w:val="00C327A2"/>
    <w:rsid w:val="00C32BCC"/>
    <w:rsid w:val="00C3620C"/>
    <w:rsid w:val="00C365FC"/>
    <w:rsid w:val="00C3695E"/>
    <w:rsid w:val="00C37E95"/>
    <w:rsid w:val="00C4084B"/>
    <w:rsid w:val="00C4295D"/>
    <w:rsid w:val="00C45A2C"/>
    <w:rsid w:val="00C50F66"/>
    <w:rsid w:val="00C525F0"/>
    <w:rsid w:val="00C57AC7"/>
    <w:rsid w:val="00C630DB"/>
    <w:rsid w:val="00C63B2C"/>
    <w:rsid w:val="00C6755C"/>
    <w:rsid w:val="00C718D2"/>
    <w:rsid w:val="00C71BCF"/>
    <w:rsid w:val="00C75F25"/>
    <w:rsid w:val="00C773A2"/>
    <w:rsid w:val="00C77A68"/>
    <w:rsid w:val="00C82EAC"/>
    <w:rsid w:val="00C82EFC"/>
    <w:rsid w:val="00C851A9"/>
    <w:rsid w:val="00C8564F"/>
    <w:rsid w:val="00C86BF3"/>
    <w:rsid w:val="00C91E10"/>
    <w:rsid w:val="00C924B8"/>
    <w:rsid w:val="00C94ED6"/>
    <w:rsid w:val="00C95F2A"/>
    <w:rsid w:val="00CA07CF"/>
    <w:rsid w:val="00CA2278"/>
    <w:rsid w:val="00CA3BD3"/>
    <w:rsid w:val="00CA7870"/>
    <w:rsid w:val="00CA7E0E"/>
    <w:rsid w:val="00CB3764"/>
    <w:rsid w:val="00CB51DC"/>
    <w:rsid w:val="00CC13A7"/>
    <w:rsid w:val="00CC2E28"/>
    <w:rsid w:val="00CD11B5"/>
    <w:rsid w:val="00CD3A5B"/>
    <w:rsid w:val="00CD445D"/>
    <w:rsid w:val="00CD490B"/>
    <w:rsid w:val="00CD62CE"/>
    <w:rsid w:val="00CD7242"/>
    <w:rsid w:val="00CE5F5D"/>
    <w:rsid w:val="00CE7C7A"/>
    <w:rsid w:val="00CF279A"/>
    <w:rsid w:val="00CF3DAE"/>
    <w:rsid w:val="00D02D80"/>
    <w:rsid w:val="00D0424F"/>
    <w:rsid w:val="00D06888"/>
    <w:rsid w:val="00D06B3C"/>
    <w:rsid w:val="00D07F75"/>
    <w:rsid w:val="00D13B96"/>
    <w:rsid w:val="00D15316"/>
    <w:rsid w:val="00D158C1"/>
    <w:rsid w:val="00D21073"/>
    <w:rsid w:val="00D22D44"/>
    <w:rsid w:val="00D26B9B"/>
    <w:rsid w:val="00D27E01"/>
    <w:rsid w:val="00D30E88"/>
    <w:rsid w:val="00D312B2"/>
    <w:rsid w:val="00D31BA3"/>
    <w:rsid w:val="00D32DAF"/>
    <w:rsid w:val="00D33C71"/>
    <w:rsid w:val="00D373CA"/>
    <w:rsid w:val="00D41332"/>
    <w:rsid w:val="00D41B87"/>
    <w:rsid w:val="00D50A5A"/>
    <w:rsid w:val="00D544D9"/>
    <w:rsid w:val="00D54D9B"/>
    <w:rsid w:val="00D56EDE"/>
    <w:rsid w:val="00D604F4"/>
    <w:rsid w:val="00D678D7"/>
    <w:rsid w:val="00D67E36"/>
    <w:rsid w:val="00D72D15"/>
    <w:rsid w:val="00D72D4A"/>
    <w:rsid w:val="00D73139"/>
    <w:rsid w:val="00D7331E"/>
    <w:rsid w:val="00D756C1"/>
    <w:rsid w:val="00D767A1"/>
    <w:rsid w:val="00D76C26"/>
    <w:rsid w:val="00D828CB"/>
    <w:rsid w:val="00D90F04"/>
    <w:rsid w:val="00D91850"/>
    <w:rsid w:val="00D932F3"/>
    <w:rsid w:val="00D95F07"/>
    <w:rsid w:val="00D96CCF"/>
    <w:rsid w:val="00DA029A"/>
    <w:rsid w:val="00DA59F3"/>
    <w:rsid w:val="00DA7448"/>
    <w:rsid w:val="00DB01BD"/>
    <w:rsid w:val="00DB4557"/>
    <w:rsid w:val="00DB55AD"/>
    <w:rsid w:val="00DC07AF"/>
    <w:rsid w:val="00DC49A1"/>
    <w:rsid w:val="00DC5D57"/>
    <w:rsid w:val="00DD034E"/>
    <w:rsid w:val="00DD1B87"/>
    <w:rsid w:val="00DD5393"/>
    <w:rsid w:val="00DE49BA"/>
    <w:rsid w:val="00DF0446"/>
    <w:rsid w:val="00DF3425"/>
    <w:rsid w:val="00DF3809"/>
    <w:rsid w:val="00DF5238"/>
    <w:rsid w:val="00DF7517"/>
    <w:rsid w:val="00E00B9B"/>
    <w:rsid w:val="00E00D26"/>
    <w:rsid w:val="00E03C53"/>
    <w:rsid w:val="00E0733D"/>
    <w:rsid w:val="00E07FEE"/>
    <w:rsid w:val="00E12321"/>
    <w:rsid w:val="00E13B39"/>
    <w:rsid w:val="00E14BAA"/>
    <w:rsid w:val="00E2140B"/>
    <w:rsid w:val="00E22F09"/>
    <w:rsid w:val="00E23A3A"/>
    <w:rsid w:val="00E2412A"/>
    <w:rsid w:val="00E26163"/>
    <w:rsid w:val="00E263B1"/>
    <w:rsid w:val="00E27525"/>
    <w:rsid w:val="00E33589"/>
    <w:rsid w:val="00E34023"/>
    <w:rsid w:val="00E37240"/>
    <w:rsid w:val="00E501DC"/>
    <w:rsid w:val="00E506A4"/>
    <w:rsid w:val="00E52799"/>
    <w:rsid w:val="00E54855"/>
    <w:rsid w:val="00E61869"/>
    <w:rsid w:val="00E6542F"/>
    <w:rsid w:val="00E66465"/>
    <w:rsid w:val="00E73C0A"/>
    <w:rsid w:val="00E751C2"/>
    <w:rsid w:val="00E75470"/>
    <w:rsid w:val="00E765BE"/>
    <w:rsid w:val="00E77979"/>
    <w:rsid w:val="00E82074"/>
    <w:rsid w:val="00E87A43"/>
    <w:rsid w:val="00E93785"/>
    <w:rsid w:val="00E9381E"/>
    <w:rsid w:val="00E93DD9"/>
    <w:rsid w:val="00E94C4A"/>
    <w:rsid w:val="00E97CFE"/>
    <w:rsid w:val="00EA2D63"/>
    <w:rsid w:val="00EA35F7"/>
    <w:rsid w:val="00EA3DDB"/>
    <w:rsid w:val="00EA412B"/>
    <w:rsid w:val="00EA4EF0"/>
    <w:rsid w:val="00EA657A"/>
    <w:rsid w:val="00EB11F0"/>
    <w:rsid w:val="00EB3FB5"/>
    <w:rsid w:val="00EB45F8"/>
    <w:rsid w:val="00EB79F4"/>
    <w:rsid w:val="00EC3794"/>
    <w:rsid w:val="00EC446B"/>
    <w:rsid w:val="00EC4637"/>
    <w:rsid w:val="00EC4D0E"/>
    <w:rsid w:val="00EC57DA"/>
    <w:rsid w:val="00ED0B30"/>
    <w:rsid w:val="00ED1537"/>
    <w:rsid w:val="00ED273E"/>
    <w:rsid w:val="00ED27C5"/>
    <w:rsid w:val="00ED2994"/>
    <w:rsid w:val="00ED75CF"/>
    <w:rsid w:val="00ED7B8F"/>
    <w:rsid w:val="00EE0414"/>
    <w:rsid w:val="00EE2B6F"/>
    <w:rsid w:val="00EE4B7E"/>
    <w:rsid w:val="00EE65E6"/>
    <w:rsid w:val="00EE6923"/>
    <w:rsid w:val="00EE6F40"/>
    <w:rsid w:val="00EE7744"/>
    <w:rsid w:val="00EF23F1"/>
    <w:rsid w:val="00EF2608"/>
    <w:rsid w:val="00EF2894"/>
    <w:rsid w:val="00EF45AE"/>
    <w:rsid w:val="00EF6505"/>
    <w:rsid w:val="00EF6628"/>
    <w:rsid w:val="00EF6FB0"/>
    <w:rsid w:val="00F00D3D"/>
    <w:rsid w:val="00F02019"/>
    <w:rsid w:val="00F02E7B"/>
    <w:rsid w:val="00F05A66"/>
    <w:rsid w:val="00F05AA6"/>
    <w:rsid w:val="00F05D21"/>
    <w:rsid w:val="00F078BA"/>
    <w:rsid w:val="00F13F56"/>
    <w:rsid w:val="00F14454"/>
    <w:rsid w:val="00F17402"/>
    <w:rsid w:val="00F2006E"/>
    <w:rsid w:val="00F20508"/>
    <w:rsid w:val="00F23234"/>
    <w:rsid w:val="00F260D2"/>
    <w:rsid w:val="00F27339"/>
    <w:rsid w:val="00F32933"/>
    <w:rsid w:val="00F330EC"/>
    <w:rsid w:val="00F336AE"/>
    <w:rsid w:val="00F35E31"/>
    <w:rsid w:val="00F400DD"/>
    <w:rsid w:val="00F409E2"/>
    <w:rsid w:val="00F416ED"/>
    <w:rsid w:val="00F443A8"/>
    <w:rsid w:val="00F44BF4"/>
    <w:rsid w:val="00F461D2"/>
    <w:rsid w:val="00F51E9D"/>
    <w:rsid w:val="00F546FA"/>
    <w:rsid w:val="00F56574"/>
    <w:rsid w:val="00F62EE2"/>
    <w:rsid w:val="00F632B0"/>
    <w:rsid w:val="00F72432"/>
    <w:rsid w:val="00F72963"/>
    <w:rsid w:val="00F75ED3"/>
    <w:rsid w:val="00F77853"/>
    <w:rsid w:val="00F85400"/>
    <w:rsid w:val="00F858D7"/>
    <w:rsid w:val="00F90026"/>
    <w:rsid w:val="00F90275"/>
    <w:rsid w:val="00F92135"/>
    <w:rsid w:val="00F929AD"/>
    <w:rsid w:val="00F94E0F"/>
    <w:rsid w:val="00F95988"/>
    <w:rsid w:val="00F95F50"/>
    <w:rsid w:val="00FA0595"/>
    <w:rsid w:val="00FA1B7C"/>
    <w:rsid w:val="00FA1DF2"/>
    <w:rsid w:val="00FA2793"/>
    <w:rsid w:val="00FA530E"/>
    <w:rsid w:val="00FA6A6B"/>
    <w:rsid w:val="00FA769B"/>
    <w:rsid w:val="00FB77B2"/>
    <w:rsid w:val="00FB7820"/>
    <w:rsid w:val="00FB7C3D"/>
    <w:rsid w:val="00FC0F33"/>
    <w:rsid w:val="00FC5DE9"/>
    <w:rsid w:val="00FC5EC9"/>
    <w:rsid w:val="00FC746A"/>
    <w:rsid w:val="00FC7596"/>
    <w:rsid w:val="00FD28F1"/>
    <w:rsid w:val="00FD4DA3"/>
    <w:rsid w:val="00FD5F04"/>
    <w:rsid w:val="00FD64DF"/>
    <w:rsid w:val="00FF0853"/>
    <w:rsid w:val="00FF13C4"/>
    <w:rsid w:val="00FF176E"/>
    <w:rsid w:val="00FF584D"/>
    <w:rsid w:val="00FF5DAE"/>
    <w:rsid w:val="115F661A"/>
    <w:rsid w:val="35F9105A"/>
    <w:rsid w:val="5477DC3D"/>
    <w:rsid w:val="75F73227"/>
    <w:rsid w:val="7F6F7021"/>
    <w:rsid w:val="A9FFF45B"/>
    <w:rsid w:val="BBEE99B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pt-PT" w:eastAsia="pt-BR" w:bidi="ar-SA"/>
    </w:rPr>
  </w:style>
  <w:style w:type="paragraph" w:styleId="2">
    <w:name w:val="heading 1"/>
    <w:basedOn w:val="1"/>
    <w:next w:val="1"/>
    <w:link w:val="18"/>
    <w:qFormat/>
    <w:uiPriority w:val="0"/>
    <w:pPr>
      <w:keepNext/>
      <w:jc w:val="center"/>
      <w:outlineLvl w:val="0"/>
    </w:pPr>
    <w:rPr>
      <w:sz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7"/>
    <w:basedOn w:val="1"/>
    <w:next w:val="1"/>
    <w:link w:val="23"/>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5">
    <w:name w:val="heading 9"/>
    <w:basedOn w:val="1"/>
    <w:next w:val="1"/>
    <w:link w:val="24"/>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uiPriority w:val="99"/>
    <w:rPr>
      <w:rFonts w:ascii="Tahoma" w:hAnsi="Tahoma" w:cs="Tahoma"/>
      <w:sz w:val="16"/>
      <w:szCs w:val="16"/>
    </w:rPr>
  </w:style>
  <w:style w:type="paragraph" w:styleId="9">
    <w:name w:val="Body Text 3"/>
    <w:basedOn w:val="1"/>
    <w:link w:val="25"/>
    <w:uiPriority w:val="0"/>
    <w:pPr>
      <w:suppressAutoHyphens/>
      <w:spacing w:after="120"/>
    </w:pPr>
    <w:rPr>
      <w:sz w:val="16"/>
      <w:szCs w:val="16"/>
      <w:lang w:val="pt-BR" w:eastAsia="ar-SA"/>
    </w:rPr>
  </w:style>
  <w:style w:type="character" w:styleId="10">
    <w:name w:val="endnote reference"/>
    <w:basedOn w:val="6"/>
    <w:semiHidden/>
    <w:unhideWhenUsed/>
    <w:qFormat/>
    <w:uiPriority w:val="99"/>
    <w:rPr>
      <w:vertAlign w:val="superscript"/>
    </w:rPr>
  </w:style>
  <w:style w:type="paragraph" w:styleId="11">
    <w:name w:val="endnote text"/>
    <w:basedOn w:val="1"/>
    <w:link w:val="29"/>
    <w:semiHidden/>
    <w:unhideWhenUsed/>
    <w:qFormat/>
    <w:uiPriority w:val="99"/>
    <w:rPr>
      <w:sz w:val="20"/>
      <w:szCs w:val="20"/>
    </w:rPr>
  </w:style>
  <w:style w:type="paragraph" w:styleId="12">
    <w:name w:val="footer"/>
    <w:basedOn w:val="1"/>
    <w:link w:val="26"/>
    <w:unhideWhenUsed/>
    <w:qFormat/>
    <w:uiPriority w:val="99"/>
    <w:pPr>
      <w:tabs>
        <w:tab w:val="center" w:pos="4252"/>
        <w:tab w:val="right" w:pos="8504"/>
      </w:tabs>
    </w:pPr>
  </w:style>
  <w:style w:type="character" w:styleId="13">
    <w:name w:val="footnote reference"/>
    <w:basedOn w:val="6"/>
    <w:semiHidden/>
    <w:uiPriority w:val="0"/>
    <w:rPr>
      <w:vertAlign w:val="superscript"/>
    </w:rPr>
  </w:style>
  <w:style w:type="paragraph" w:styleId="14">
    <w:name w:val="footnote text"/>
    <w:basedOn w:val="1"/>
    <w:link w:val="22"/>
    <w:semiHidden/>
    <w:uiPriority w:val="0"/>
    <w:pPr>
      <w:suppressAutoHyphens/>
    </w:pPr>
    <w:rPr>
      <w:rFonts w:ascii="MS Serif" w:hAnsi="MS Serif"/>
      <w:sz w:val="20"/>
      <w:szCs w:val="20"/>
      <w:lang w:eastAsia="ar-SA"/>
    </w:rPr>
  </w:style>
  <w:style w:type="paragraph" w:styleId="15">
    <w:name w:val="header"/>
    <w:basedOn w:val="1"/>
    <w:link w:val="19"/>
    <w:uiPriority w:val="99"/>
    <w:pPr>
      <w:tabs>
        <w:tab w:val="center" w:pos="4320"/>
        <w:tab w:val="right" w:pos="864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table" w:styleId="17">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Título 1 Char"/>
    <w:basedOn w:val="6"/>
    <w:link w:val="2"/>
    <w:uiPriority w:val="0"/>
    <w:rPr>
      <w:rFonts w:ascii="Times New Roman" w:hAnsi="Times New Roman" w:eastAsia="Times New Roman" w:cs="Times New Roman"/>
      <w:sz w:val="44"/>
      <w:szCs w:val="24"/>
      <w:lang w:val="pt-PT" w:eastAsia="pt-BR"/>
    </w:rPr>
  </w:style>
  <w:style w:type="character" w:customStyle="1" w:styleId="19">
    <w:name w:val="Cabeçalho Char"/>
    <w:basedOn w:val="6"/>
    <w:link w:val="15"/>
    <w:uiPriority w:val="99"/>
    <w:rPr>
      <w:rFonts w:ascii="Times New Roman" w:hAnsi="Times New Roman" w:eastAsia="Times New Roman" w:cs="Times New Roman"/>
      <w:sz w:val="24"/>
      <w:szCs w:val="24"/>
      <w:lang w:val="pt-PT" w:eastAsia="pt-BR"/>
    </w:rPr>
  </w:style>
  <w:style w:type="character" w:customStyle="1" w:styleId="20">
    <w:name w:val="Texto de balão Char"/>
    <w:basedOn w:val="6"/>
    <w:link w:val="8"/>
    <w:semiHidden/>
    <w:uiPriority w:val="99"/>
    <w:rPr>
      <w:rFonts w:ascii="Tahoma" w:hAnsi="Tahoma" w:eastAsia="Times New Roman" w:cs="Tahoma"/>
      <w:sz w:val="16"/>
      <w:szCs w:val="16"/>
      <w:lang w:val="pt-PT" w:eastAsia="pt-BR"/>
    </w:rPr>
  </w:style>
  <w:style w:type="paragraph" w:styleId="21">
    <w:name w:val="List Paragraph"/>
    <w:basedOn w:val="1"/>
    <w:qFormat/>
    <w:uiPriority w:val="34"/>
    <w:pPr>
      <w:ind w:left="720"/>
      <w:contextualSpacing/>
    </w:pPr>
  </w:style>
  <w:style w:type="character" w:customStyle="1" w:styleId="22">
    <w:name w:val="Texto de nota de rodapé Char"/>
    <w:basedOn w:val="6"/>
    <w:link w:val="14"/>
    <w:semiHidden/>
    <w:uiPriority w:val="0"/>
    <w:rPr>
      <w:rFonts w:ascii="MS Serif" w:hAnsi="MS Serif" w:eastAsia="Times New Roman" w:cs="Times New Roman"/>
      <w:lang w:val="pt-PT" w:eastAsia="ar-SA"/>
    </w:rPr>
  </w:style>
  <w:style w:type="character" w:customStyle="1" w:styleId="23">
    <w:name w:val="Título 7 Char"/>
    <w:basedOn w:val="6"/>
    <w:link w:val="4"/>
    <w:uiPriority w:val="9"/>
    <w:rPr>
      <w:rFonts w:asciiTheme="majorHAnsi" w:hAnsiTheme="majorHAnsi" w:eastAsiaTheme="majorEastAsia" w:cstheme="majorBidi"/>
      <w:i/>
      <w:iCs/>
      <w:color w:val="404040" w:themeColor="text1" w:themeTint="BF"/>
      <w:sz w:val="24"/>
      <w:szCs w:val="24"/>
      <w:lang w:val="pt-PT"/>
      <w14:textFill>
        <w14:solidFill>
          <w14:schemeClr w14:val="tx1">
            <w14:lumMod w14:val="75000"/>
            <w14:lumOff w14:val="25000"/>
          </w14:schemeClr>
        </w14:solidFill>
      </w14:textFill>
    </w:rPr>
  </w:style>
  <w:style w:type="character" w:customStyle="1" w:styleId="24">
    <w:name w:val="Título 9 Char"/>
    <w:basedOn w:val="6"/>
    <w:link w:val="5"/>
    <w:uiPriority w:val="9"/>
    <w:rPr>
      <w:rFonts w:asciiTheme="majorHAnsi" w:hAnsiTheme="majorHAnsi" w:eastAsiaTheme="majorEastAsia" w:cstheme="majorBidi"/>
      <w:i/>
      <w:iCs/>
      <w:color w:val="404040" w:themeColor="text1" w:themeTint="BF"/>
      <w:lang w:val="pt-PT"/>
      <w14:textFill>
        <w14:solidFill>
          <w14:schemeClr w14:val="tx1">
            <w14:lumMod w14:val="75000"/>
            <w14:lumOff w14:val="25000"/>
          </w14:schemeClr>
        </w14:solidFill>
      </w14:textFill>
    </w:rPr>
  </w:style>
  <w:style w:type="character" w:customStyle="1" w:styleId="25">
    <w:name w:val="Corpo de texto 3 Char"/>
    <w:basedOn w:val="6"/>
    <w:link w:val="9"/>
    <w:uiPriority w:val="0"/>
    <w:rPr>
      <w:rFonts w:ascii="Times New Roman" w:hAnsi="Times New Roman" w:eastAsia="Times New Roman" w:cs="Times New Roman"/>
      <w:sz w:val="16"/>
      <w:szCs w:val="16"/>
      <w:lang w:eastAsia="ar-SA"/>
    </w:rPr>
  </w:style>
  <w:style w:type="character" w:customStyle="1" w:styleId="26">
    <w:name w:val="Rodapé Char"/>
    <w:basedOn w:val="6"/>
    <w:link w:val="12"/>
    <w:uiPriority w:val="99"/>
    <w:rPr>
      <w:rFonts w:ascii="Times New Roman" w:hAnsi="Times New Roman" w:eastAsia="Times New Roman" w:cs="Times New Roman"/>
      <w:sz w:val="24"/>
      <w:szCs w:val="24"/>
      <w:lang w:val="pt-PT"/>
    </w:rPr>
  </w:style>
  <w:style w:type="paragraph" w:styleId="27">
    <w:name w:val="No Spacing"/>
    <w:link w:val="28"/>
    <w:qFormat/>
    <w:uiPriority w:val="1"/>
    <w:rPr>
      <w:rFonts w:asciiTheme="minorHAnsi" w:hAnsiTheme="minorHAnsi" w:eastAsiaTheme="minorEastAsia" w:cstheme="minorBidi"/>
      <w:sz w:val="22"/>
      <w:szCs w:val="22"/>
      <w:lang w:val="pt-BR" w:eastAsia="en-US" w:bidi="ar-SA"/>
    </w:rPr>
  </w:style>
  <w:style w:type="character" w:customStyle="1" w:styleId="28">
    <w:name w:val="Sem Espaçamento Char"/>
    <w:basedOn w:val="6"/>
    <w:link w:val="27"/>
    <w:uiPriority w:val="1"/>
    <w:rPr>
      <w:rFonts w:asciiTheme="minorHAnsi" w:hAnsiTheme="minorHAnsi" w:eastAsiaTheme="minorEastAsia" w:cstheme="minorBidi"/>
      <w:sz w:val="22"/>
      <w:szCs w:val="22"/>
      <w:lang w:eastAsia="en-US"/>
    </w:rPr>
  </w:style>
  <w:style w:type="character" w:customStyle="1" w:styleId="29">
    <w:name w:val="Texto de nota de fim Char"/>
    <w:basedOn w:val="6"/>
    <w:link w:val="11"/>
    <w:semiHidden/>
    <w:uiPriority w:val="99"/>
    <w:rPr>
      <w:rFonts w:ascii="Times New Roman" w:hAnsi="Times New Roman" w:eastAsia="Times New Roman" w:cs="Times New Roman"/>
      <w:lang w:val="pt-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uem</Company>
  <Pages>18</Pages>
  <Words>3782</Words>
  <Characters>20427</Characters>
  <Lines>170</Lines>
  <Paragraphs>48</Paragraphs>
  <TotalTime>2</TotalTime>
  <ScaleCrop>false</ScaleCrop>
  <LinksUpToDate>false</LinksUpToDate>
  <CharactersWithSpaces>24161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2017-07-25T11:14:00Z</dcterms:created>
  <dc:creator>Marina Silva da Cunha</dc:creator>
  <cp:lastModifiedBy>universidade</cp:lastModifiedBy>
  <cp:lastPrinted>2017-05-23T14:35:00Z</cp:lastPrinted>
  <dcterms:modified xsi:type="dcterms:W3CDTF">2023-04-14T19:35:11Z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