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Коллекция Стандарт.</w:t>
        <w:br w:type="textWrapping"/>
        <w:br w:type="textWrapping"/>
        <w:t xml:space="preserve">Тут 2 вида материалов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Для цветов серо-зеленый, светло-серый, белый, кашемир и дуб натуральный: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ЛДСП 16 мм, кромка ПВХ 1 мм, PUR-клей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Гладкие фасады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Ручки в комплект не входят</w:t>
        <w:br w:type="textWrapping"/>
        <w:br w:type="textWrapping"/>
        <w:t xml:space="preserve">Для цветов дуб каселла коричневый, дуб каселла натуральный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ЛМДФ Еггер 16 мм, ПВХ 1 мм, PUR-клей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Гладкие фасады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Ручки в комплект не входят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