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конкуренции двух фирм.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3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38</w:t>
      </w:r>
    </w:p>
    <w:p>
      <w:pPr>
        <w:pStyle w:val="FirstParagraph"/>
      </w:pPr>
      <w:r>
        <w:rPr>
          <w:i/>
          <w:iCs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10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0.00083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$$M(0)_1=3.9, \, M(0)_2=2.9,\\ p_{cr}=25, \,N=39, q=1, \\ \tau_1=29, \, \tau_2=19,\\ \tilde{p_1}=6.9, \, \tilde{p_2}=15.9$$</w:t>
      </w:r>
    </w:p>
    <w:p>
      <w:pPr>
        <w:pStyle w:val="FirstParagraph"/>
      </w:pPr>
      <w:r>
        <w:rPr>
          <w:i/>
          <w:iCs/>
        </w:rPr>
        <w:t xml:space="preserve">Обозначения:</w:t>
      </w:r>
    </w:p>
    <w:p>
      <w:pPr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numPr>
          <w:ilvl w:val="0"/>
          <w:numId w:val="1002"/>
        </w:numPr>
      </w:pPr>
      <w:r>
        <w:t xml:space="preserve">Найдите стационарное состояние системы для первого случая.</w:t>
      </w:r>
    </w:p>
    <w:bookmarkEnd w:id="21"/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системой дифференциальных уравнений (1)</w:t>
      </w:r>
    </w:p>
    <w:p>
      <w:pPr>
        <w:pStyle w:val="BodyText"/>
      </w:pPr>
      <w:bookmarkStart w:id="23" w:name="eq:eq:a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3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3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3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3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4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реализация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в julia</w:t>
      </w:r>
    </w:p>
    <w:p>
      <w:pPr>
        <w:pStyle w:val="FirstParagraph"/>
      </w:pPr>
      <w:r>
        <w:t xml:space="preserve">Зададим функцию для решения модели эффективности рекламы.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50</m:t>
            </m:r>
          </m:e>
        </m:d>
      </m:oMath>
      <w:r>
        <w:t xml:space="preserve">. Рассмотрим сначала реализацию в Julia. Зададим начальные условия, значения параметров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#начальные значения M1 и M2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</w:p>
    <w:p>
      <w:pPr>
        <w:pStyle w:val="FirstParagraph"/>
      </w:pPr>
      <w:r>
        <w:t xml:space="preserve">Зададим функцию для первого случая. Сразу же найдем стационарное состояние системы, для этого воспользуемся библиотекой</w:t>
      </w:r>
      <w:r>
        <w:t xml:space="preserve"> </w:t>
      </w:r>
      <w:r>
        <w:rPr>
          <w:rStyle w:val="VerbatimChar"/>
        </w:rPr>
        <w:t xml:space="preserve">LinearAlgebra</w:t>
      </w:r>
      <w:r>
        <w:t xml:space="preserve">, зададим матрицу коэффициент системы линейных уравнений и вектор решений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(добавили у переменной индекс, так как переменная с таким именем уже используется в качестве параметра модели).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c1);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c1)]</w:t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b1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"Решение: 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Решение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5649.976610483586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4288.470491728287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Получим значение: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t>c</m:t>
            </m:r>
          </m:sub>
        </m:sSub>
        <m:r>
          <m:rPr>
            <m:sty m:val="p"/>
          </m:rPr>
          <m:t>=</m:t>
        </m:r>
        <m:r>
          <m:t>5649.976610483586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  <m:r>
              <m:t>c</m:t>
            </m:r>
          </m:sub>
        </m:sSub>
        <m:r>
          <m:rPr>
            <m:sty m:val="p"/>
          </m:rPr>
          <m:t>=</m:t>
        </m:r>
        <m:r>
          <m:t>4288.470491728287</m:t>
        </m:r>
      </m:oMath>
      <w:r>
        <w:t xml:space="preserve">. Эти значения соответствуют максимальным значениям полученного решения модели.</w:t>
      </w:r>
    </w:p>
    <w:p>
      <w:pPr>
        <w:pStyle w:val="BodyText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Tsit5(), с помощью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построим график решения для первого случая (рис. 1).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325901"/>
            <wp:effectExtent b="0" l="0" r="0" t="0"/>
            <wp:docPr descr="График изменения оборотных средств для первого случая. juli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для первого случая. julia</w:t>
      </w:r>
    </w:p>
    <w:p>
      <w:pPr>
        <w:pStyle w:val="BodyText"/>
      </w:pPr>
      <w:r>
        <w:t xml:space="preserve">Зададим функцию для второго случая.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0.00083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Tsit5(), с помощью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построим график решения для второго случая (рис. 2).</w:t>
      </w:r>
    </w:p>
    <w:p>
      <w:pPr>
        <w:pStyle w:val="SourceCode"/>
      </w:pP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368095"/>
            <wp:effectExtent b="0" l="0" r="0" t="0"/>
            <wp:docPr descr="График изменения оборотных средств для второго случая. julia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для второго случая. julia</w:t>
      </w:r>
    </w:p>
    <w:p>
      <w:pPr>
        <w:pStyle w:val="BodyText"/>
      </w:pPr>
      <w:r>
        <w:t xml:space="preserve">На графике плохо видно изменения оборотных средств второй фирмы, поэтому построим график с заданными ограничениями: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ylimit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По графику видно, что вторая фирма, несмотря на начальный рост, достигнув своего максимального объема продаж (рис. 3), начинает нести убытки и, в итоге, терпит банкротство. Динамика роста объемов оборотных средств первой фирмы остается без изменения: достигнув максимального значения, остается на этом уровне.</w:t>
      </w:r>
    </w:p>
    <w:p>
      <w:pPr>
        <w:pStyle w:val="CaptionedFigure"/>
      </w:pPr>
      <w:r>
        <w:drawing>
          <wp:inline>
            <wp:extent cx="3733800" cy="2342776"/>
            <wp:effectExtent b="0" l="0" r="0" t="0"/>
            <wp:docPr descr="Приближенный график изменения оборотных средств для второго случая. julia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Приближенный график изменения оборотных средств для второго случая. julia</w:t>
      </w:r>
    </w:p>
    <w:bookmarkEnd w:id="34"/>
    <w:bookmarkStart w:id="44" w:name="реализация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OpenModelica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  parameter Real p_cr = 25;</w:t>
      </w:r>
      <w:r>
        <w:br/>
      </w:r>
      <w:r>
        <w:rPr>
          <w:rStyle w:val="VerbatimChar"/>
        </w:rPr>
        <w:t xml:space="preserve">  parameter Real tau1 = 29;  </w:t>
      </w:r>
      <w:r>
        <w:br/>
      </w:r>
      <w:r>
        <w:rPr>
          <w:rStyle w:val="VerbatimChar"/>
        </w:rPr>
        <w:t xml:space="preserve">  parameter Real p1 = 6.9;</w:t>
      </w:r>
      <w:r>
        <w:br/>
      </w:r>
      <w:r>
        <w:rPr>
          <w:rStyle w:val="VerbatimChar"/>
        </w:rPr>
        <w:t xml:space="preserve">  parameter Real tau2 = 19;</w:t>
      </w:r>
      <w:r>
        <w:br/>
      </w:r>
      <w:r>
        <w:rPr>
          <w:rStyle w:val="VerbatimChar"/>
        </w:rPr>
        <w:t xml:space="preserve">  parameter Real p2 = 15.9;  </w:t>
      </w:r>
      <w:r>
        <w:br/>
      </w:r>
      <w:r>
        <w:rPr>
          <w:rStyle w:val="VerbatimChar"/>
        </w:rPr>
        <w:t xml:space="preserve">  parameter Real N = 39;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M1(start=3.9);</w:t>
      </w:r>
      <w:r>
        <w:br/>
      </w:r>
      <w:r>
        <w:rPr>
          <w:rStyle w:val="VerbatimChar"/>
        </w:rPr>
        <w:t xml:space="preserve">  Real M2(start=2.9);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После установки симуляции модели, получим график ее решения (рис. 4).</w:t>
      </w:r>
    </w:p>
    <w:p>
      <w:pPr>
        <w:pStyle w:val="CaptionedFigure"/>
      </w:pPr>
      <w:r>
        <w:drawing>
          <wp:inline>
            <wp:extent cx="3733800" cy="1765951"/>
            <wp:effectExtent b="0" l="0" r="0" t="0"/>
            <wp:docPr descr="График изменения оборотных средств для первого случая. OpenModelic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оборотных средств для первого случая. OpenModelica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  parameter Real p_cr = 25;</w:t>
      </w:r>
      <w:r>
        <w:br/>
      </w:r>
      <w:r>
        <w:rPr>
          <w:rStyle w:val="VerbatimChar"/>
        </w:rPr>
        <w:t xml:space="preserve">  parameter Real tau1 = 29;  </w:t>
      </w:r>
      <w:r>
        <w:br/>
      </w:r>
      <w:r>
        <w:rPr>
          <w:rStyle w:val="VerbatimChar"/>
        </w:rPr>
        <w:t xml:space="preserve">  parameter Real p1 = 6.9;</w:t>
      </w:r>
      <w:r>
        <w:br/>
      </w:r>
      <w:r>
        <w:rPr>
          <w:rStyle w:val="VerbatimChar"/>
        </w:rPr>
        <w:t xml:space="preserve">  parameter Real tau2 = 19;</w:t>
      </w:r>
      <w:r>
        <w:br/>
      </w:r>
      <w:r>
        <w:rPr>
          <w:rStyle w:val="VerbatimChar"/>
        </w:rPr>
        <w:t xml:space="preserve">  parameter Real p2 = 15.9;  </w:t>
      </w:r>
      <w:r>
        <w:br/>
      </w:r>
      <w:r>
        <w:rPr>
          <w:rStyle w:val="VerbatimChar"/>
        </w:rPr>
        <w:t xml:space="preserve">  parameter Real N = 39;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M1(start=3.9);</w:t>
      </w:r>
      <w:r>
        <w:br/>
      </w:r>
      <w:r>
        <w:rPr>
          <w:rStyle w:val="VerbatimChar"/>
        </w:rPr>
        <w:t xml:space="preserve">  Real M2(start=2.9);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(b/c1+0.00083)*M1*M2;</w:t>
      </w:r>
      <w:r>
        <w:br/>
      </w:r>
      <w:r>
        <w:br/>
      </w:r>
      <w:r>
        <w:rPr>
          <w:rStyle w:val="VerbatimChar"/>
        </w:rPr>
        <w:t xml:space="preserve">end lab8_2;</w:t>
      </w:r>
    </w:p>
    <w:p>
      <w:pPr>
        <w:pStyle w:val="FirstParagraph"/>
      </w:pPr>
      <w:r>
        <w:t xml:space="preserve">После установки симуляции модели, получим график ее решения (рис. 5).</w:t>
      </w:r>
    </w:p>
    <w:p>
      <w:pPr>
        <w:pStyle w:val="CaptionedFigure"/>
      </w:pPr>
      <w:r>
        <w:drawing>
          <wp:inline>
            <wp:extent cx="3733800" cy="1772405"/>
            <wp:effectExtent b="0" l="0" r="0" t="0"/>
            <wp:docPr descr="График изменения оборотных средств для второго случая. OpenModelic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оборотных средств для второго случая. OpenModelica</w:t>
      </w:r>
    </w:p>
    <w:p>
      <w:pPr>
        <w:pStyle w:val="BodyText"/>
      </w:pPr>
      <w:r>
        <w:t xml:space="preserve">На графике плохо видно изменения оборотных средств второй фирмы, поэтому приблизим его (рис. 6).</w:t>
      </w:r>
    </w:p>
    <w:p>
      <w:pPr>
        <w:pStyle w:val="CaptionedFigure"/>
      </w:pPr>
      <w:r>
        <w:drawing>
          <wp:inline>
            <wp:extent cx="3733800" cy="2018657"/>
            <wp:effectExtent b="0" l="0" r="0" t="0"/>
            <wp:docPr descr="Приближенный график изменения оборотных средств для второго случая. OpenModelica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Приближенный график изменения оборотных средств для второго случая. OpenModelica</w:t>
      </w:r>
    </w:p>
    <w:p>
      <w:pPr>
        <w:pStyle w:val="BodyText"/>
      </w:pPr>
      <w:r>
        <w:t xml:space="preserve">Графики решений, полученные с помощью OpenModelica и Julia идентичны.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конкуренции двух фирм.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7" w:name="ref-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Малыхин В.И.</w:t>
      </w:r>
      <w:r>
        <w:t xml:space="preserve"> </w:t>
      </w:r>
      <w:r>
        <w:t xml:space="preserve">Математическое моделирование экономики</w:t>
      </w:r>
      <w:r>
        <w:t xml:space="preserve">. М., УРАО, 1998. 160 с.</w:t>
      </w:r>
    </w:p>
    <w:bookmarkEnd w:id="47"/>
    <w:bookmarkStart w:id="48" w:name="ref-lab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r>
        <w:t xml:space="preserve">Лабораторная работа 8. Модель конкуренции двух фирм</w:t>
      </w:r>
      <w:r>
        <w:t xml:space="preserve"> </w:t>
      </w:r>
      <w:r>
        <w:t xml:space="preserve">[Электронный ресурс].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Дворкина Ева Владимировна</dc:creator>
  <dc:language>ru-RU</dc:language>
  <cp:keywords/>
  <dcterms:created xsi:type="dcterms:W3CDTF">2025-03-18T02:13:46Z</dcterms:created>
  <dcterms:modified xsi:type="dcterms:W3CDTF">2025-03-18T02:13:46Z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конкуренции двух фирм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