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23.png" ContentType="image/png"/>
  <Override PartName="/word/media/rId47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Групповой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Алгоритм</w:t>
      </w:r>
      <w:r>
        <w:t xml:space="preserve"> </w:t>
      </w:r>
      <w:r>
        <w:t xml:space="preserve">решения</w:t>
      </w:r>
      <w:r>
        <w:t xml:space="preserve"> </w:t>
      </w:r>
      <w:r>
        <w:t xml:space="preserve">задачи</w:t>
      </w:r>
      <w:r>
        <w:t xml:space="preserve"> </w:t>
      </w:r>
      <w:r>
        <w:t xml:space="preserve">Рост</w:t>
      </w:r>
      <w:r>
        <w:t xml:space="preserve"> </w:t>
      </w:r>
      <w:r>
        <w:t xml:space="preserve">дендритов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p>
      <w:pPr>
        <w:pStyle w:val="Author"/>
      </w:pPr>
      <w:r>
        <w:t xml:space="preserve">Голощапов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Вячеславович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p>
      <w:pPr>
        <w:pStyle w:val="Author"/>
      </w:pPr>
      <w:r>
        <w:t xml:space="preserve">Серёгина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Андреевна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На втором этапе группового проекта описывается алгоритм решения задачи моделирования кристаллизации.</w:t>
      </w:r>
    </w:p>
    <w:p>
      <w:pPr>
        <w:pStyle w:val="BodyText"/>
      </w:pPr>
      <w:r>
        <w:rPr>
          <w:b/>
          <w:bCs/>
        </w:rPr>
        <w:t xml:space="preserve">Алгоритм</w:t>
      </w:r>
      <w:r>
        <w:t xml:space="preserve"> </w:t>
      </w:r>
      <w:r>
        <w:t xml:space="preserve">- систематизированная последовательность действий, необходимых для достижения поставленной цели. В контексте научных исследований алгоритмы важны не только для повышения эффективности вычислений, но и для обеспечения воспроизводимости результатов, что является фундаментальным требованием научного метода.</w:t>
      </w:r>
    </w:p>
    <w:bookmarkStart w:id="20" w:name="цели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Цели</w:t>
      </w:r>
    </w:p>
    <w:p>
      <w:pPr>
        <w:pStyle w:val="FirstParagraph"/>
      </w:pPr>
      <w:r>
        <w:t xml:space="preserve">Описать алгоритм решения задачи моделирования роста дендритов.</w:t>
      </w:r>
    </w:p>
    <w:bookmarkEnd w:id="20"/>
    <w:bookmarkStart w:id="21" w:name="задачи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Задачи</w:t>
      </w:r>
    </w:p>
    <w:p>
      <w:pPr>
        <w:pStyle w:val="FirstParagraph"/>
      </w:pPr>
      <w:r>
        <w:t xml:space="preserve">Описать алгоритм решения задачи моделирования роста дендритов.</w:t>
      </w:r>
    </w:p>
    <w:bookmarkEnd w:id="21"/>
    <w:bookmarkEnd w:id="22"/>
    <w:bookmarkStart w:id="70" w:name="алгоритм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Алгоритмы</w:t>
      </w:r>
    </w:p>
    <w:bookmarkStart w:id="28" w:name="шаг-1-описание-алгоритм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Шаг 1: Описание алгоритма</w:t>
      </w:r>
    </w:p>
    <w:p>
      <w:pPr>
        <w:pStyle w:val="FirstParagraph"/>
      </w:pPr>
      <w:r>
        <w:t xml:space="preserve">На первом этапе задается начальное состояние системы, которое включает в себя все необходимые физические параметры материала и граничные условия для симуляции. Особое внимание уделяется корректности задания исходных данных, так как от этого зависит достоверность всего процесса моделирования.</w:t>
      </w:r>
    </w:p>
    <w:bookmarkStart w:id="26" w:name="физические-свойства-вещества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Физические свойства вещества:</w:t>
      </w:r>
    </w:p>
    <w:p>
      <w:pPr>
        <w:pStyle w:val="Compact"/>
        <w:numPr>
          <w:ilvl w:val="0"/>
          <w:numId w:val="1001"/>
        </w:numPr>
      </w:pPr>
      <w:r>
        <w:t xml:space="preserve">Плотность</w:t>
      </w:r>
      <w:r>
        <w:t xml:space="preserve"> </w:t>
      </w:r>
      <m:oMath>
        <m:r>
          <m:t>ρ</m:t>
        </m:r>
      </m:oMath>
      <w:r>
        <w:t xml:space="preserve">: Определяет массу единицы объема материала и влияет на тепловой баланс системы. Чем выше плотность, тем больше энергии требуется для нагрева (рис. 1).</w:t>
      </w:r>
    </w:p>
    <w:p>
      <w:pPr>
        <w:pStyle w:val="Compact"/>
        <w:numPr>
          <w:ilvl w:val="0"/>
          <w:numId w:val="1001"/>
        </w:numPr>
      </w:pPr>
      <w:r>
        <w:t xml:space="preserve">Удельная теплота плавления</w:t>
      </w:r>
      <w:r>
        <w:t xml:space="preserve"> </w:t>
      </w:r>
      <w:r>
        <w:rPr>
          <w:rStyle w:val="VerbatimChar"/>
        </w:rPr>
        <w:t xml:space="preserve">L</w:t>
      </w:r>
      <w:r>
        <w:t xml:space="preserve">: Характеризует энергию, необходимую для перехода вещества из твердой фазы в жидкую без изменения температуры.</w:t>
      </w:r>
    </w:p>
    <w:p>
      <w:pPr>
        <w:pStyle w:val="Compact"/>
        <w:numPr>
          <w:ilvl w:val="0"/>
          <w:numId w:val="1001"/>
        </w:numPr>
      </w:pPr>
      <w:r>
        <w:t xml:space="preserve">Теплоемкость</w:t>
      </w:r>
      <w:r>
        <w:t xml:space="preserve"> </w:t>
      </w:r>
      <m:oMath>
        <m:r>
          <m:t>c</m:t>
        </m:r>
        <m:r>
          <m:t>p</m:t>
        </m:r>
      </m:oMath>
      <w:r>
        <w:t xml:space="preserve">: Показывает количество энергии, требуемое для нагрева единицы массы на один градус. Важна для расчета динамики изменения температуры.</w:t>
      </w:r>
    </w:p>
    <w:p>
      <w:pPr>
        <w:pStyle w:val="Compact"/>
        <w:numPr>
          <w:ilvl w:val="0"/>
          <w:numId w:val="1001"/>
        </w:numPr>
      </w:pPr>
      <w:r>
        <w:t xml:space="preserve">Коэффициент теплопроводности</w:t>
      </w:r>
      <w:r>
        <w:t xml:space="preserve"> </w:t>
      </w:r>
      <m:oMath>
        <m:r>
          <m:t>κ</m:t>
        </m:r>
      </m:oMath>
      <w:r>
        <w:t xml:space="preserve">: отражает способность материала передавать тепловую энергию. Определяет скорость выравнивания температурных градиентов.</w:t>
      </w:r>
    </w:p>
    <w:p>
      <w:pPr>
        <w:pStyle w:val="Compact"/>
        <w:numPr>
          <w:ilvl w:val="0"/>
          <w:numId w:val="1001"/>
        </w:numPr>
      </w:pPr>
      <w:r>
        <w:t xml:space="preserve">Температура плавления</w:t>
      </w:r>
      <w:r>
        <w:t xml:space="preserve"> </w:t>
      </w:r>
      <m:oMath>
        <m:sSub>
          <m:e>
            <m:r>
              <m:t>T</m:t>
            </m:r>
          </m:e>
          <m:sub>
            <m:r>
              <m:t>m</m:t>
            </m:r>
          </m:sub>
        </m:sSub>
        <m:r>
          <m:rPr>
            <m:sty m:val="p"/>
          </m:rPr>
          <m:t>​</m:t>
        </m:r>
      </m:oMath>
      <w:r>
        <w:t xml:space="preserve">: Критическая точка, при которой начинается фазовый переход.</w:t>
      </w:r>
    </w:p>
    <w:p>
      <w:pPr>
        <w:pStyle w:val="Compact"/>
        <w:numPr>
          <w:ilvl w:val="0"/>
          <w:numId w:val="1001"/>
        </w:numPr>
      </w:pPr>
      <w:r>
        <w:t xml:space="preserve">Коэффициент поверхностного натяжения</w:t>
      </w:r>
      <w:r>
        <w:t xml:space="preserve"> </w:t>
      </w:r>
      <m:oMath>
        <m:r>
          <m:t>γ</m:t>
        </m:r>
      </m:oMath>
      <w:r>
        <w:t xml:space="preserve">: влияет на форму границы раздела фаз.</w:t>
      </w:r>
    </w:p>
    <w:p>
      <w:pPr>
        <w:pStyle w:val="Compact"/>
        <w:numPr>
          <w:ilvl w:val="0"/>
          <w:numId w:val="1001"/>
        </w:numPr>
      </w:pPr>
      <w:r>
        <w:t xml:space="preserve">Параметры</w:t>
      </w:r>
      <w:r>
        <w:t xml:space="preserve"> </w:t>
      </w:r>
      <w:r>
        <w:rPr>
          <w:rStyle w:val="VerbatimChar"/>
        </w:rPr>
        <w:t xml:space="preserve">анизотропии</w:t>
      </w:r>
      <w:r>
        <w:t xml:space="preserve">: определяют направление преимущественного роста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4267200" cy="3202590"/>
            <wp:effectExtent b="0" l="0" r="0" t="0"/>
            <wp:docPr descr="Физические свойства вещества на примере Гафния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Физические свойства вещества на примере Гафния</w:t>
      </w:r>
    </w:p>
    <w:bookmarkEnd w:id="26"/>
    <w:bookmarkStart w:id="27" w:name="начальные-условия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Начальные условия:</w:t>
      </w:r>
    </w:p>
    <w:p>
      <w:pPr>
        <w:pStyle w:val="Compact"/>
        <w:numPr>
          <w:ilvl w:val="0"/>
          <w:numId w:val="1002"/>
        </w:numPr>
      </w:pPr>
      <w:r>
        <w:t xml:space="preserve">Исходная температура расплава</w:t>
      </w:r>
      <w:r>
        <w:t xml:space="preserve"> </w:t>
      </w:r>
      <m:oMath>
        <m:sSub>
          <m:e>
            <m:r>
              <m:t>T</m:t>
            </m:r>
          </m:e>
          <m:sub>
            <m:r>
              <m:rPr>
                <m:sty m:val="p"/>
              </m:rPr>
              <m:t>∞</m:t>
            </m:r>
          </m:sub>
        </m:sSub>
        <m:r>
          <m:rPr>
            <m:sty m:val="p"/>
          </m:rPr>
          <m:t>​</m:t>
        </m:r>
      </m:oMath>
      <w:r>
        <w:t xml:space="preserve">: Задает степень переохлаждения системы. Определяет потенциал для начала кристаллизации.</w:t>
      </w:r>
    </w:p>
    <w:p>
      <w:pPr>
        <w:pStyle w:val="Compact"/>
        <w:numPr>
          <w:ilvl w:val="0"/>
          <w:numId w:val="1002"/>
        </w:numPr>
      </w:pPr>
      <w:r>
        <w:t xml:space="preserve">Безразмерное переохлаждение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t>L</m:t>
        </m:r>
        <m:r>
          <m:t>c</m:t>
        </m:r>
        <m:r>
          <m:t>p</m:t>
        </m:r>
        <m:r>
          <m:rPr>
            <m:sty m:val="p"/>
          </m:rPr>
          <m:t>​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T</m:t>
                </m:r>
              </m:e>
              <m:sub>
                <m:r>
                  <m:t>m</m:t>
                </m:r>
              </m:sub>
            </m:sSub>
            <m:r>
              <m:rPr>
                <m:sty m:val="p"/>
              </m:rPr>
              <m:t>​</m:t>
            </m:r>
            <m:r>
              <m:rPr>
                <m:sty m:val="p"/>
              </m:rPr>
              <m:t>−</m:t>
            </m:r>
            <m:sSub>
              <m:e>
                <m:r>
                  <m:t>T</m:t>
                </m:r>
              </m:e>
              <m:sub>
                <m:r>
                  <m:rPr>
                    <m:sty m:val="p"/>
                  </m:rPr>
                  <m:t>∞</m:t>
                </m:r>
              </m:sub>
            </m:sSub>
            <m:r>
              <m:rPr>
                <m:sty m:val="p"/>
              </m:rPr>
              <m:t>​</m:t>
            </m:r>
          </m:e>
        </m:d>
        <m:r>
          <m:rPr>
            <m:sty m:val="p"/>
          </m:rPr>
          <m:t>​</m:t>
        </m:r>
      </m:oMath>
      <w:r>
        <w:t xml:space="preserve">: Ключевой параметр, показывающий термодинамическую готовность системы к началу процесса.</w:t>
      </w:r>
    </w:p>
    <w:p>
      <w:pPr>
        <w:pStyle w:val="Compact"/>
        <w:numPr>
          <w:ilvl w:val="0"/>
          <w:numId w:val="1002"/>
        </w:numPr>
      </w:pPr>
      <w:r>
        <w:t xml:space="preserve">Граничные условия: задают поведение системы на границах расчетной области.</w:t>
      </w:r>
    </w:p>
    <w:p>
      <w:pPr>
        <w:pStyle w:val="Compact"/>
        <w:numPr>
          <w:ilvl w:val="0"/>
          <w:numId w:val="1002"/>
        </w:numPr>
      </w:pPr>
      <w:r>
        <w:t xml:space="preserve">Условия теплообмена с окружающей средой</w:t>
      </w:r>
      <w:r>
        <w:t xml:space="preserve"> </w:t>
      </w:r>
      <w:r>
        <w:t xml:space="preserve">[2]</w:t>
      </w:r>
    </w:p>
    <w:bookmarkEnd w:id="27"/>
    <w:bookmarkEnd w:id="28"/>
    <w:bookmarkStart w:id="34" w:name="шаг-2-настройка-симуляционной-сетк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Шаг 2: Настройка симуляционной сетки</w:t>
      </w:r>
    </w:p>
    <w:p>
      <w:pPr>
        <w:pStyle w:val="FirstParagraph"/>
      </w:pPr>
      <w:r>
        <w:t xml:space="preserve">На втором шаге создается расчетная сетка для моделирования роста дендритов. Этап состоит из подготовки сетки и начальной конфигурации затравки кристаллизации.</w:t>
      </w:r>
    </w:p>
    <w:bookmarkStart w:id="29" w:name="создание-симуляционной-сетки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Создание симуляционной сетки:</w:t>
      </w:r>
    </w:p>
    <w:p>
      <w:pPr>
        <w:pStyle w:val="Compact"/>
        <w:numPr>
          <w:ilvl w:val="0"/>
          <w:numId w:val="1003"/>
        </w:numPr>
      </w:pPr>
      <w:r>
        <w:t xml:space="preserve">Размер сетки</w:t>
      </w:r>
      <w:r>
        <w:t xml:space="preserve"> </w:t>
      </w:r>
      <m:oMath>
        <m:r>
          <m:t>N</m:t>
        </m:r>
        <m:r>
          <m:rPr>
            <m:sty m:val="p"/>
          </m:rPr>
          <m:t>×</m:t>
        </m:r>
        <m:r>
          <m:t>N</m:t>
        </m:r>
      </m:oMath>
      <w:r>
        <w:t xml:space="preserve">:</w:t>
      </w:r>
      <w:r>
        <w:t xml:space="preserve"> </w:t>
      </w:r>
      <w:r>
        <w:t xml:space="preserve">Определяет детализацию моделирования — количество узлов по каждой стороне. Больше узлов дают точность, но требуют больше ресурсов.</w:t>
      </w:r>
    </w:p>
    <w:p>
      <w:pPr>
        <w:pStyle w:val="Compact"/>
        <w:numPr>
          <w:ilvl w:val="0"/>
          <w:numId w:val="1003"/>
        </w:numPr>
      </w:pPr>
      <w:r>
        <w:t xml:space="preserve">Пространственный шаг</w:t>
      </w:r>
      <w:r>
        <w:t xml:space="preserve"> </w:t>
      </w:r>
      <m:oMath>
        <m:r>
          <m:t>h</m:t>
        </m:r>
      </m:oMath>
      <w:r>
        <w:t xml:space="preserve">:</w:t>
      </w:r>
      <w:r>
        <w:t xml:space="preserve"> </w:t>
      </w:r>
      <w:r>
        <w:t xml:space="preserve">Расстояние между соседними узлами сетки. Меньший шаг повышает точность, но увеличивает вычислительные затраты.</w:t>
      </w:r>
    </w:p>
    <w:bookmarkEnd w:id="29"/>
    <w:bookmarkStart w:id="33" w:name="инициализация-затравки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Инициализация затравки:</w:t>
      </w:r>
    </w:p>
    <w:p>
      <w:pPr>
        <w:pStyle w:val="Compact"/>
        <w:numPr>
          <w:ilvl w:val="0"/>
          <w:numId w:val="1004"/>
        </w:numPr>
      </w:pPr>
      <w:r>
        <w:t xml:space="preserve">Центральная область твердой фазы:</w:t>
      </w:r>
      <w:r>
        <w:t xml:space="preserve"> </w:t>
      </w:r>
      <w:r>
        <w:t xml:space="preserve">Начальная твердая зона в центре сетки, откуда начинается рост дендритов. Её расположение влияет на симметрию процесса.</w:t>
      </w:r>
    </w:p>
    <w:p>
      <w:pPr>
        <w:pStyle w:val="Compact"/>
        <w:numPr>
          <w:ilvl w:val="0"/>
          <w:numId w:val="1004"/>
        </w:numPr>
      </w:pPr>
      <w:r>
        <w:t xml:space="preserve">Параметры формы и размеров:</w:t>
      </w:r>
      <w:r>
        <w:t xml:space="preserve"> </w:t>
      </w:r>
      <w:r>
        <w:t xml:space="preserve">Форма (например, круглая или эллиптическая) и размер затравки задают начальные условия для роста и могут влиять на направление и скорость кристаллизации (рис. 2)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CaptionedFigure"/>
      </w:pPr>
      <w:r>
        <w:drawing>
          <wp:inline>
            <wp:extent cx="2111097" cy="1460585"/>
            <wp:effectExtent b="0" l="0" r="0" t="0"/>
            <wp:docPr descr="Функция двух переменных Ф, заданная на структурированной сетке" title="" id="31" name="Picture"/>
            <a:graphic>
              <a:graphicData uri="http://schemas.openxmlformats.org/drawingml/2006/picture">
                <pic:pic>
                  <pic:nvPicPr>
                    <pic:cNvPr descr="image/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97" cy="146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Функция двух переменных Ф, заданная на структурированной сетке</w:t>
      </w:r>
    </w:p>
    <w:bookmarkEnd w:id="33"/>
    <w:bookmarkEnd w:id="34"/>
    <w:bookmarkStart w:id="39" w:name="шаг-3-расчет-температурного-пол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Шаг 3: Расчет температурного поля</w:t>
      </w:r>
    </w:p>
    <w:p>
      <w:pPr>
        <w:pStyle w:val="FirstParagraph"/>
      </w:pPr>
      <w:r>
        <w:t xml:space="preserve">Третий шаг представляет собой моделирование распределения температуры в системе с течением времени. Оно является основой для анализа роста дендритов.</w:t>
      </w:r>
    </w:p>
    <w:bookmarkStart w:id="36" w:name="применение-уравнения-теплопроводности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Применение уравнения теплопроводности:</w:t>
      </w:r>
    </w:p>
    <w:p>
      <w:pPr>
        <w:pStyle w:val="Compact"/>
        <w:numPr>
          <w:ilvl w:val="0"/>
          <w:numId w:val="1005"/>
        </w:numPr>
      </w:pPr>
      <w:r>
        <w:t xml:space="preserve">Уравнение теплопроводности (1)</w:t>
      </w:r>
    </w:p>
    <w:p>
      <w:pPr>
        <w:pStyle w:val="FirstParagraph"/>
      </w:pPr>
      <w:bookmarkStart w:id="35" w:name="eq:eq:tem"/>
      <m:oMathPara>
        <m:oMathParaPr>
          <m:jc m:val="center"/>
        </m:oMathParaPr>
        <m:oMath>
          <m:r>
            <m:t>ρ</m:t>
          </m:r>
          <m:sSub>
            <m:e>
              <m:r>
                <m:t>c</m:t>
              </m:r>
            </m:e>
            <m:sub>
              <m:r>
                <m:t>p</m:t>
              </m:r>
            </m:sub>
          </m:sSub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T</m:t>
              </m:r>
            </m:num>
            <m:den>
              <m:r>
                <m:rPr>
                  <m:sty m:val="p"/>
                </m:rPr>
                <m:t>∂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κ</m:t>
          </m:r>
          <m:sSup>
            <m:e>
              <m:r>
                <m:rPr>
                  <m:sty m:val="p"/>
                </m:rPr>
                <m:t>∇</m:t>
              </m:r>
            </m:e>
            <m:sup>
              <m:r>
                <m:t>2</m:t>
              </m:r>
            </m:sup>
          </m:sSup>
          <m:r>
            <m:t>T</m:t>
          </m:r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</m:oMath>
      </m:oMathPara>
      <w:bookmarkEnd w:id="35"/>
    </w:p>
    <w:p>
      <w:pPr>
        <w:pStyle w:val="FirstParagraph"/>
      </w:pPr>
      <w:r>
        <w:t xml:space="preserve">Оно используется для моделирования изменений температуры, учитывает приток тепла в систему, а также его распределение.</w:t>
      </w:r>
    </w:p>
    <w:bookmarkEnd w:id="36"/>
    <w:bookmarkStart w:id="37" w:name="численная-реализация-уравнения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Численная реализация уравнения:</w:t>
      </w:r>
    </w:p>
    <w:p>
      <w:pPr>
        <w:pStyle w:val="Compact"/>
        <w:numPr>
          <w:ilvl w:val="0"/>
          <w:numId w:val="1006"/>
        </w:numPr>
      </w:pPr>
      <w:r>
        <w:t xml:space="preserve">Метод конечных разностей: аппроксимирует производные через дискретные значения;</w:t>
      </w:r>
    </w:p>
    <w:p>
      <w:pPr>
        <w:pStyle w:val="Compact"/>
        <w:numPr>
          <w:ilvl w:val="0"/>
          <w:numId w:val="1006"/>
        </w:numPr>
      </w:pPr>
      <w:r>
        <w:t xml:space="preserve">Выбор временного шага</w:t>
      </w:r>
      <w:r>
        <w:t xml:space="preserve"> </w:t>
      </w:r>
      <m:oMath>
        <m:r>
          <m:t>Δ</m:t>
        </m:r>
        <m:r>
          <m:t>t</m:t>
        </m:r>
      </m:oMath>
      <w:r>
        <w:t xml:space="preserve"> </w:t>
      </w:r>
      <w:r>
        <w:t xml:space="preserve">и пространственного шага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важен для стабильности и точности расчетов.</w:t>
      </w:r>
    </w:p>
    <w:bookmarkEnd w:id="37"/>
    <w:bookmarkStart w:id="38" w:name="шаги-алгоритма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Шаги алгоритма:</w:t>
      </w:r>
    </w:p>
    <w:p>
      <w:pPr>
        <w:pStyle w:val="Compact"/>
        <w:numPr>
          <w:ilvl w:val="0"/>
          <w:numId w:val="1007"/>
        </w:numPr>
      </w:pPr>
      <w:r>
        <w:t xml:space="preserve">Вычислить новое распределение температуры на каждом шаге времени t;</w:t>
      </w:r>
    </w:p>
    <w:p>
      <w:pPr>
        <w:pStyle w:val="Compact"/>
        <w:numPr>
          <w:ilvl w:val="0"/>
          <w:numId w:val="1007"/>
        </w:numPr>
      </w:pPr>
      <w:r>
        <w:t xml:space="preserve">Обновлять значения температуры в каждой точке сетки;</w:t>
      </w:r>
    </w:p>
    <w:p>
      <w:pPr>
        <w:pStyle w:val="Compact"/>
        <w:numPr>
          <w:ilvl w:val="0"/>
          <w:numId w:val="1007"/>
        </w:numPr>
      </w:pPr>
      <w:r>
        <w:t xml:space="preserve">Повторять вычисления до достижения стационарного состояния или заданного времени.</w:t>
      </w:r>
    </w:p>
    <w:bookmarkEnd w:id="38"/>
    <w:bookmarkEnd w:id="39"/>
    <w:bookmarkStart w:id="51" w:name="шаг-4-моделирование-роста-дендритов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Шаг 4: Моделирование роста дендритов</w:t>
      </w:r>
    </w:p>
    <w:p>
      <w:pPr>
        <w:pStyle w:val="FirstParagraph"/>
      </w:pPr>
      <w:r>
        <w:t xml:space="preserve">На четвертом этапе реализуется моделирование роста дендритов, основываясь на рассчитанных температурных полях и соответствующих физических законах.</w:t>
      </w:r>
    </w:p>
    <w:bookmarkStart w:id="40" w:name="критерий-затвердевания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Критерий затвердевания:</w:t>
      </w:r>
    </w:p>
    <w:p>
      <w:pPr>
        <w:pStyle w:val="FirstParagraph"/>
      </w:pPr>
      <w:r>
        <w:t xml:space="preserve">Определить температуру плавления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когда температура в точке падает ниже</w:t>
      </w:r>
      <w:r>
        <w:t xml:space="preserve"> </w:t>
      </w:r>
      <m:oMath>
        <m:sSub>
          <m:e>
            <m:r>
              <m:t>T</m:t>
            </m:r>
          </m:e>
          <m:sub>
            <m:r>
              <m:t>m</m:t>
            </m:r>
          </m:sub>
        </m:sSub>
      </m:oMath>
      <w:r>
        <w:t xml:space="preserve">, она начинает затвердевать.</w:t>
      </w:r>
    </w:p>
    <w:bookmarkEnd w:id="40"/>
    <w:bookmarkStart w:id="42" w:name="использование-условия-стефана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Использование условия Стефана:</w:t>
      </w:r>
    </w:p>
    <w:p>
      <w:pPr>
        <w:pStyle w:val="Compact"/>
        <w:numPr>
          <w:ilvl w:val="0"/>
          <w:numId w:val="1008"/>
        </w:numPr>
      </w:pPr>
      <w:r>
        <w:t xml:space="preserve">Условие Стефана (2):</w:t>
      </w:r>
    </w:p>
    <w:p>
      <w:pPr>
        <w:pStyle w:val="FirstParagraph"/>
      </w:pPr>
      <w:bookmarkStart w:id="41" w:name="eq:eq:a"/>
      <m:oMathPara>
        <m:oMathParaPr>
          <m:jc m:val="center"/>
        </m:oMathParaPr>
        <m:oMath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κ</m:t>
              </m:r>
            </m:num>
            <m:den>
              <m:r>
                <m:t>ρ</m:t>
              </m:r>
              <m:r>
                <m:t>L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∇</m:t>
              </m:r>
              <m:r>
                <m:t>T</m:t>
              </m:r>
              <m:sSub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​</m:t>
                          </m:r>
                        </m:e>
                        <m:sub>
                          <m: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p"/>
                        </m:rPr>
                        <m:t>∇</m:t>
                      </m:r>
                      <m:r>
                        <m:t>T</m:t>
                      </m:r>
                    </m:e>
                  </m:d>
                </m:e>
                <m:sub>
                  <m:r>
                    <m:t>l</m:t>
                  </m:r>
                </m:sub>
              </m:sSub>
            </m:e>
          </m:d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</m:e>
          </m:d>
        </m:oMath>
      </m:oMathPara>
      <w:bookmarkEnd w:id="41"/>
    </w:p>
    <w:p>
      <w:pPr>
        <w:pStyle w:val="FirstParagraph"/>
      </w:pPr>
      <w:r>
        <w:t xml:space="preserve">Оно определяет скорость роста границы кристаллизации</w:t>
      </w:r>
      <w:r>
        <w:t xml:space="preserve"> </w:t>
      </w:r>
      <m:oMath>
        <m:r>
          <m:t>V</m:t>
        </m:r>
      </m:oMath>
      <w:r>
        <w:t xml:space="preserve">, что позволяет связать скорость роста и разницу градиентов температуры на границе фаз.</w:t>
      </w:r>
      <w:r>
        <w:t xml:space="preserve"> </w:t>
      </w:r>
      <w:r>
        <w:t xml:space="preserve">- Учитывая скорость</w:t>
      </w:r>
      <w:r>
        <w:t xml:space="preserve"> </w:t>
      </w:r>
      <m:oMath>
        <m:r>
          <m:t>V</m:t>
        </m:r>
      </m:oMath>
      <w:r>
        <w:t xml:space="preserve">, обновляются положения границы кристаллизации, моделируя расширение твердой фазы.</w:t>
      </w:r>
    </w:p>
    <w:bookmarkEnd w:id="42"/>
    <w:bookmarkStart w:id="44" w:name="применение-условия-гиббса-томсона"/>
    <w:p>
      <w:pPr>
        <w:pStyle w:val="Heading3"/>
      </w:pPr>
      <w:r>
        <w:rPr>
          <w:rStyle w:val="SectionNumber"/>
        </w:rPr>
        <w:t xml:space="preserve">2.4.3</w:t>
      </w:r>
      <w:r>
        <w:tab/>
      </w:r>
      <w:r>
        <w:t xml:space="preserve">Применение условия Гиббса-Томсона:</w:t>
      </w:r>
    </w:p>
    <w:p>
      <w:pPr>
        <w:pStyle w:val="Compact"/>
        <w:numPr>
          <w:ilvl w:val="0"/>
          <w:numId w:val="1009"/>
        </w:numPr>
      </w:pPr>
      <w:r>
        <w:t xml:space="preserve">Условие Гиббса-Томсона (3):</w:t>
      </w:r>
    </w:p>
    <w:p>
      <w:pPr>
        <w:pStyle w:val="FirstParagraph"/>
      </w:pPr>
      <w:bookmarkStart w:id="43" w:name="eq:eq:b"/>
      <m:oMathPara>
        <m:oMathParaPr>
          <m:jc m:val="center"/>
        </m:oMathParaPr>
        <m:oMath>
          <m:sSub>
            <m:e>
              <m:r>
                <m:t>T</m:t>
              </m:r>
            </m:e>
            <m:sub>
              <m:r>
                <m:t>b</m:t>
              </m:r>
            </m:sub>
          </m:sSub>
          <m:r>
            <m:rPr>
              <m:sty m:val="p"/>
            </m:rPr>
            <m:t>=</m:t>
          </m:r>
          <m:sSub>
            <m:e>
              <m:r>
                <m:t>T</m:t>
              </m:r>
            </m:e>
            <m:sub>
              <m:r>
                <m:t>m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γ</m:t>
                  </m:r>
                  <m:sSub>
                    <m:e>
                      <m:r>
                        <m:t>T</m:t>
                      </m:r>
                    </m:e>
                    <m:sub>
                      <m:r>
                        <m:t>m</m:t>
                      </m:r>
                    </m:sub>
                  </m:sSub>
                </m:num>
                <m:den>
                  <m:r>
                    <m:t>ρ</m:t>
                  </m:r>
                  <m:sSup>
                    <m:e>
                      <m:r>
                        <m:t>L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R</m:t>
                  </m:r>
                </m:den>
              </m:f>
            </m:e>
          </m:d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3</m:t>
              </m:r>
            </m:e>
          </m:d>
        </m:oMath>
      </m:oMathPara>
      <w:bookmarkEnd w:id="43"/>
    </w:p>
    <w:p>
      <w:pPr>
        <w:pStyle w:val="FirstParagraph"/>
      </w:pPr>
      <w:r>
        <w:t xml:space="preserve">корректирует температуру плавления на границе кристалла. При этом учитываются влияние поверхностного натяжения и кривизна границы.</w:t>
      </w:r>
    </w:p>
    <w:bookmarkEnd w:id="44"/>
    <w:bookmarkStart w:id="45" w:name="обновление-параметров"/>
    <w:p>
      <w:pPr>
        <w:pStyle w:val="Heading3"/>
      </w:pPr>
      <w:r>
        <w:rPr>
          <w:rStyle w:val="SectionNumber"/>
        </w:rPr>
        <w:t xml:space="preserve">2.4.4</w:t>
      </w:r>
      <w:r>
        <w:tab/>
      </w:r>
      <w:r>
        <w:t xml:space="preserve">Обновление параметров:</w:t>
      </w:r>
    </w:p>
    <w:p>
      <w:pPr>
        <w:pStyle w:val="FirstParagraph"/>
      </w:pPr>
      <w:r>
        <w:t xml:space="preserve">После каждого этапа роста дендритов температурное поле пересчитывается с учетом теплоты, поглощенной или выделившейся за счет фазового перехода.</w:t>
      </w:r>
    </w:p>
    <w:bookmarkEnd w:id="45"/>
    <w:bookmarkStart w:id="50" w:name="определение-фрактальной-размерности"/>
    <w:p>
      <w:pPr>
        <w:pStyle w:val="Heading3"/>
      </w:pPr>
      <w:r>
        <w:rPr>
          <w:rStyle w:val="SectionNumber"/>
        </w:rPr>
        <w:t xml:space="preserve">2.4.5</w:t>
      </w:r>
      <w:r>
        <w:tab/>
      </w:r>
      <w:r>
        <w:t xml:space="preserve">Определение фрактальной размерности</w:t>
      </w:r>
    </w:p>
    <w:p>
      <w:pPr>
        <w:pStyle w:val="FirstParagraph"/>
      </w:pPr>
      <w:r>
        <w:t xml:space="preserve">Фрактальная размерность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описывает степень заполнения пространства структурой.</w:t>
      </w:r>
      <w:r>
        <w:t xml:space="preserve"> </w:t>
      </w:r>
      <w:r>
        <w:t xml:space="preserve">Для расчета можно использовать метод корреляционной функции или масштабирования (4):</w:t>
      </w:r>
    </w:p>
    <w:p>
      <w:pPr>
        <w:pStyle w:val="BodyText"/>
      </w:pPr>
      <w:bookmarkStart w:id="46" w:name="eq:eq:c"/>
      <m:oMathPara>
        <m:oMathParaPr>
          <m:jc m:val="center"/>
        </m:oMathParaPr>
        <m:oMath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r</m:t>
              </m:r>
            </m:e>
          </m:d>
          <m:r>
            <m:rPr>
              <m:sty m:val="p"/>
            </m:rPr>
            <m:t>∼</m:t>
          </m:r>
          <m:sSup>
            <m:e>
              <m:r>
                <m:t>r</m:t>
              </m:r>
            </m:e>
            <m:sup>
              <m:r>
                <m:t>D</m:t>
              </m:r>
            </m:sup>
          </m:sSup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4</m:t>
              </m:r>
            </m:e>
          </m:d>
        </m:oMath>
      </m:oMathPara>
      <w:bookmarkEnd w:id="46"/>
    </w:p>
    <w:p>
      <w:pPr>
        <w:pStyle w:val="FirstParagraph"/>
      </w:pPr>
      <w:r>
        <w:t xml:space="preserve">где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</m:e>
        </m:d>
      </m:oMath>
      <w:r>
        <w:t xml:space="preserve"> </w:t>
      </w:r>
      <w:r>
        <w:t xml:space="preserve">— число точек внутри круга радиуса</w:t>
      </w:r>
      <w:r>
        <w:t xml:space="preserve"> </w:t>
      </w:r>
      <m:oMath>
        <m:r>
          <m:t>r</m:t>
        </m:r>
      </m:oMath>
      <w:r>
        <w:t xml:space="preserve">.</w:t>
      </w:r>
    </w:p>
    <w:p>
      <w:pPr>
        <w:pStyle w:val="BodyText"/>
      </w:pPr>
      <w:r>
        <w:t xml:space="preserve">Необходимо:</w:t>
      </w:r>
    </w:p>
    <w:p>
      <w:pPr>
        <w:pStyle w:val="Compact"/>
        <w:numPr>
          <w:ilvl w:val="0"/>
          <w:numId w:val="1010"/>
        </w:numPr>
      </w:pPr>
      <w:r>
        <w:t xml:space="preserve">Выбрать множество точек, принадлежащих образованной структуре</w:t>
      </w:r>
    </w:p>
    <w:p>
      <w:pPr>
        <w:pStyle w:val="Compact"/>
        <w:numPr>
          <w:ilvl w:val="0"/>
          <w:numId w:val="1010"/>
        </w:numPr>
      </w:pPr>
      <w:r>
        <w:t xml:space="preserve">Для разных значений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подсчитать количество точек внутри круга радиуса.</w:t>
      </w:r>
    </w:p>
    <w:p>
      <w:pPr>
        <w:pStyle w:val="Compact"/>
        <w:numPr>
          <w:ilvl w:val="0"/>
          <w:numId w:val="1010"/>
        </w:numPr>
      </w:pPr>
      <w:r>
        <w:t xml:space="preserve">Построить график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r</m:t>
                </m:r>
              </m:e>
            </m:d>
          </m:e>
        </m:d>
      </m:oMath>
      <w:r>
        <w:t xml:space="preserve"> </w:t>
      </w:r>
      <w:r>
        <w:t xml:space="preserve">от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</m:e>
        </m:d>
      </m:oMath>
      <w:r>
        <w:t xml:space="preserve"> </w:t>
      </w:r>
      <w:r>
        <w:t xml:space="preserve">и найти наклон прямой — это будет фрактальная размерность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(рис. 3)</w:t>
      </w:r>
      <w:r>
        <w:t xml:space="preserve"> </w:t>
      </w:r>
      <w:r>
        <w:t xml:space="preserve">[4]</w:t>
      </w:r>
      <w:r>
        <w:t xml:space="preserve">.</w:t>
      </w:r>
    </w:p>
    <w:p>
      <w:pPr>
        <w:pStyle w:val="CaptionedFigure"/>
      </w:pPr>
      <w:r>
        <w:drawing>
          <wp:inline>
            <wp:extent cx="4267200" cy="2501613"/>
            <wp:effectExtent b="0" l="0" r="0" t="0"/>
            <wp:docPr descr="Фазовое и температурное поле при росте дендрита" title="" id="48" name="Picture"/>
            <a:graphic>
              <a:graphicData uri="http://schemas.openxmlformats.org/drawingml/2006/picture">
                <pic:pic>
                  <pic:nvPicPr>
                    <pic:cNvPr descr="image/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01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Фазовое и температурное поле при росте дендрита</w:t>
      </w:r>
    </w:p>
    <w:bookmarkEnd w:id="50"/>
    <w:bookmarkEnd w:id="51"/>
    <w:bookmarkStart w:id="55" w:name="шаг-5-анализ-структуры-дендрит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Шаг 5: Анализ структуры дендритов</w:t>
      </w:r>
    </w:p>
    <w:p>
      <w:pPr>
        <w:pStyle w:val="FirstParagraph"/>
      </w:pPr>
      <w:r>
        <w:t xml:space="preserve">На данном этапе анализируются сформированные дендритные структуры. Их свойства оцениваются и сравниваются с теоретическими и экспериментальными данными.</w:t>
      </w:r>
    </w:p>
    <w:bookmarkStart w:id="52" w:name="морфологический-анализ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Морфологический анализ:</w:t>
      </w:r>
    </w:p>
    <w:p>
      <w:pPr>
        <w:pStyle w:val="Compact"/>
        <w:numPr>
          <w:ilvl w:val="0"/>
          <w:numId w:val="1011"/>
        </w:numPr>
      </w:pPr>
      <w:r>
        <w:t xml:space="preserve">Предполагает анализ формы и размеров дендрита, позволяя определить механизмы их роста, а также влияющие на это процессы.</w:t>
      </w:r>
    </w:p>
    <w:p>
      <w:pPr>
        <w:pStyle w:val="Compact"/>
        <w:numPr>
          <w:ilvl w:val="0"/>
          <w:numId w:val="1011"/>
        </w:numPr>
      </w:pPr>
      <w:r>
        <w:t xml:space="preserve">Метод измерения фрактальной размерности дает количественную оценку сложности структуры дендритов.</w:t>
      </w:r>
    </w:p>
    <w:p>
      <w:pPr>
        <w:pStyle w:val="Compact"/>
        <w:numPr>
          <w:ilvl w:val="0"/>
          <w:numId w:val="1011"/>
        </w:numPr>
      </w:pPr>
      <w:r>
        <w:t xml:space="preserve">Спектральный анализ исследует пространственные частоты структуры, выявляя повторяющиеся паттерны и масштаб особенностей дендритов. Это помогает оценить регулярность ветвления и общую организацию формы.</w:t>
      </w:r>
    </w:p>
    <w:bookmarkEnd w:id="52"/>
    <w:bookmarkStart w:id="53" w:name="корреляционный-анализ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Корреляционный анализ:</w:t>
      </w:r>
    </w:p>
    <w:p>
      <w:pPr>
        <w:pStyle w:val="FirstParagraph"/>
      </w:pPr>
      <w:r>
        <w:t xml:space="preserve">Оценивает связь между параметрами (например, температурой и скоростью роста), чтобы количественно определить, как условия моделирования влияют на морфологию дендритов.</w:t>
      </w:r>
    </w:p>
    <w:bookmarkEnd w:id="53"/>
    <w:bookmarkStart w:id="54" w:name="X33adcac0cce2e85c32a2370a0213ab315c54cdf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Исследование влияния теплового шума</w:t>
      </w:r>
      <w:r>
        <w:t xml:space="preserve"> </w:t>
      </w:r>
      <m:oMath>
        <m:r>
          <m:t>δ</m:t>
        </m:r>
      </m:oMath>
    </w:p>
    <w:p>
      <w:pPr>
        <w:pStyle w:val="FirstParagraph"/>
      </w:pPr>
      <w:r>
        <w:t xml:space="preserve">Сначала добавим тепловой шум:</w:t>
      </w:r>
    </w:p>
    <w:p>
      <w:pPr>
        <w:pStyle w:val="Compact"/>
        <w:numPr>
          <w:ilvl w:val="0"/>
          <w:numId w:val="1012"/>
        </w:numPr>
      </w:pPr>
      <w:r>
        <w:t xml:space="preserve">На каждый шаг добавлять случайное возмущение к температуре</w:t>
      </w:r>
      <w:r>
        <w:t xml:space="preserve"> </w:t>
      </w:r>
      <m:oMath>
        <m:sSub>
          <m:e>
            <m:r>
              <m:t>η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t>δ</m:t>
        </m:r>
      </m:oMath>
      <w:r>
        <w:t xml:space="preserve">, где</w:t>
      </w:r>
      <w:r>
        <w:t xml:space="preserve"> </w:t>
      </w:r>
      <m:oMath>
        <m:sSub>
          <m:e>
            <m:r>
              <m:t>η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— случайная величина из отрезка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.</w:t>
      </w:r>
    </w:p>
    <w:p>
      <w:pPr>
        <w:pStyle w:val="FirstParagraph"/>
      </w:pPr>
      <w:r>
        <w:t xml:space="preserve">Так как тепловой шум может влиять на скорость распространения фронта затвердевания и форму дендритов, следует повторить моделирование для разных значений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и сравнить результаты, а именно оценить, как тепловой шум влияет на:</w:t>
      </w:r>
    </w:p>
    <w:p>
      <w:pPr>
        <w:pStyle w:val="Compact"/>
        <w:numPr>
          <w:ilvl w:val="0"/>
          <w:numId w:val="1013"/>
        </w:numPr>
      </w:pPr>
      <w:r>
        <w:t xml:space="preserve">Форму дендритов.</w:t>
      </w:r>
    </w:p>
    <w:p>
      <w:pPr>
        <w:pStyle w:val="Compact"/>
        <w:numPr>
          <w:ilvl w:val="0"/>
          <w:numId w:val="1013"/>
        </w:numPr>
      </w:pPr>
      <w:r>
        <w:t xml:space="preserve">Скорость затвердевания.</w:t>
      </w:r>
    </w:p>
    <w:p>
      <w:pPr>
        <w:pStyle w:val="Compact"/>
        <w:numPr>
          <w:ilvl w:val="0"/>
          <w:numId w:val="1013"/>
        </w:numPr>
      </w:pPr>
      <w:r>
        <w:t xml:space="preserve">Фрактальную размерность образованных структур.</w:t>
      </w:r>
    </w:p>
    <w:bookmarkEnd w:id="54"/>
    <w:bookmarkEnd w:id="55"/>
    <w:bookmarkStart w:id="69" w:name="шаг-6-визуализация-процесс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Шаг 6: Визуализация процесса</w:t>
      </w:r>
    </w:p>
    <w:p>
      <w:pPr>
        <w:pStyle w:val="FirstParagraph"/>
      </w:pPr>
      <w:r>
        <w:t xml:space="preserve">Шестой этап алгоритма представляет собой визуализацию роста дендритов.</w:t>
      </w:r>
    </w:p>
    <w:bookmarkStart w:id="68" w:name="визуализация-роста-дендритов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Визуализация роста дендритов:</w:t>
      </w:r>
    </w:p>
    <w:p>
      <w:pPr>
        <w:pStyle w:val="Compact"/>
        <w:numPr>
          <w:ilvl w:val="0"/>
          <w:numId w:val="1014"/>
        </w:numPr>
      </w:pPr>
      <w:r>
        <w:t xml:space="preserve">Применение графических средств для генерации изображений и анимации, иллюстрирующих этапы формирования дендритов и их окончательную конфигурацию (рис. 4)</w:t>
      </w:r>
      <w:r>
        <w:t xml:space="preserve"> </w:t>
      </w:r>
      <w:r>
        <w:t xml:space="preserve">[5]</w:t>
      </w:r>
      <w:r>
        <w:t xml:space="preserve">.</w:t>
      </w:r>
    </w:p>
    <w:p>
      <w:pPr>
        <w:pStyle w:val="CaptionedFigure"/>
      </w:pPr>
      <w:r>
        <w:drawing>
          <wp:inline>
            <wp:extent cx="4267200" cy="1314245"/>
            <wp:effectExtent b="0" l="0" r="0" t="0"/>
            <wp:docPr descr="Симуляция роста дендрита[6]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1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Симуляция роста дендрита</w:t>
      </w:r>
      <w:r>
        <w:t xml:space="preserve">[6]</w:t>
      </w:r>
    </w:p>
    <w:p>
      <w:pPr>
        <w:pStyle w:val="Compact"/>
        <w:numPr>
          <w:ilvl w:val="0"/>
          <w:numId w:val="1015"/>
        </w:numPr>
      </w:pPr>
      <w:r>
        <w:t xml:space="preserve">Визуальное представление данных играет ключевую роль в интерпретации результатов и обеспечивает понимание моделируемого процесса (рис. 5), (рис. 6), (рис. 7).</w:t>
      </w:r>
    </w:p>
    <w:p>
      <w:pPr>
        <w:pStyle w:val="CaptionedFigure"/>
      </w:pPr>
      <w:r>
        <w:drawing>
          <wp:inline>
            <wp:extent cx="2133600" cy="2114181"/>
            <wp:effectExtent b="0" l="0" r="0" t="0"/>
            <wp:docPr descr="Рост дендрита" title="" id="60" name="Picture"/>
            <a:graphic>
              <a:graphicData uri="http://schemas.openxmlformats.org/drawingml/2006/picture">
                <pic:pic>
                  <pic:nvPicPr>
                    <pic:cNvPr descr="image/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1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Рост дендрита</w:t>
      </w:r>
    </w:p>
    <w:p>
      <w:pPr>
        <w:pStyle w:val="CaptionedFigure"/>
      </w:pPr>
      <w:r>
        <w:drawing>
          <wp:inline>
            <wp:extent cx="2133600" cy="2136052"/>
            <wp:effectExtent b="0" l="0" r="0" t="0"/>
            <wp:docPr descr="Рост дендрита" title="" id="63" name="Picture"/>
            <a:graphic>
              <a:graphicData uri="http://schemas.openxmlformats.org/drawingml/2006/picture">
                <pic:pic>
                  <pic:nvPicPr>
                    <pic:cNvPr descr="image/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Рост дендрита</w:t>
      </w:r>
    </w:p>
    <w:p>
      <w:pPr>
        <w:pStyle w:val="CaptionedFigure"/>
      </w:pPr>
      <w:r>
        <w:drawing>
          <wp:inline>
            <wp:extent cx="2133600" cy="2106716"/>
            <wp:effectExtent b="0" l="0" r="0" t="0"/>
            <wp:docPr descr="Рост дендрита" title="" id="66" name="Picture"/>
            <a:graphic>
              <a:graphicData uri="http://schemas.openxmlformats.org/drawingml/2006/picture">
                <pic:pic>
                  <pic:nvPicPr>
                    <pic:cNvPr descr="image/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0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Рост дендрита</w:t>
      </w:r>
    </w:p>
    <w:bookmarkEnd w:id="68"/>
    <w:bookmarkEnd w:id="69"/>
    <w:bookmarkEnd w:id="70"/>
    <w:bookmarkStart w:id="7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Во втором этапе группового проекта был описан процесс создания алгоритма для моделирования роста дендритов, включающий все ключевые этапы: от задания начальных параметров и настройки расчетной сетки до моделирования процесса роста и детального анализа полученных структур.</w:t>
      </w:r>
    </w:p>
    <w:p>
      <w:pPr>
        <w:pStyle w:val="BodyText"/>
      </w:pPr>
      <w:r>
        <w:t xml:space="preserve">Использование алгоритмов позволяет решать задачи более эффективно и точно, каждый этап вносит важный вклад в формирование целостного понимания исследуемого явления.</w:t>
      </w:r>
    </w:p>
    <w:bookmarkEnd w:id="71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Start w:id="73" w:name="ref-phy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Пасечник, Воробьева. Титан. Цирконий, гафний. [Электронный ресурс]. URL:</w:t>
      </w:r>
      <w:r>
        <w:t xml:space="preserve"> </w:t>
      </w:r>
      <w:hyperlink r:id="rId72">
        <w:r>
          <w:rPr>
            <w:rStyle w:val="Hyperlink"/>
          </w:rPr>
          <w:t xml:space="preserve">https://en.ppt-online.org/47544</w:t>
        </w:r>
      </w:hyperlink>
      <w:r>
        <w:t xml:space="preserve">.</w:t>
      </w:r>
    </w:p>
    <w:bookmarkEnd w:id="73"/>
    <w:bookmarkStart w:id="74" w:name="ref-medvedev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Медведев Д.А. и др.</w:t>
      </w:r>
      <w:r>
        <w:t xml:space="preserve"> </w:t>
      </w:r>
      <w:r>
        <w:t xml:space="preserve">Моделирование физических процессов и явлений на ПК: Учеб. пособие</w:t>
      </w:r>
      <w:r>
        <w:t xml:space="preserve">. Новосибирск: Новосиб. гос. ун-т., 2010. 101 с.</w:t>
      </w:r>
    </w:p>
    <w:bookmarkEnd w:id="74"/>
    <w:bookmarkStart w:id="76" w:name="ref-wiki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Расчётная сетка [Электронный ресурс]. Wikimedia Foundation, Inc., 2025. URL:</w:t>
      </w:r>
      <w:r>
        <w:t xml:space="preserve"> </w:t>
      </w:r>
      <w:hyperlink r:id="rId75">
        <w:r>
          <w:rPr>
            <w:rStyle w:val="Hyperlink"/>
          </w:rPr>
          <w:t xml:space="preserve">https://ru.wikipedia.org/wiki/%D0%A0%D0%B0%D1%81%D1%87%D1%91%D1%82%D0%BD%D0%B0%D1%8F_%D1%81%D0%B5%D1%82%D0%BA%D0%B0</w:t>
        </w:r>
      </w:hyperlink>
      <w:r>
        <w:t xml:space="preserve">.</w:t>
      </w:r>
    </w:p>
    <w:bookmarkEnd w:id="76"/>
    <w:bookmarkStart w:id="78" w:name="ref-nano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Hsu Y.-R. и др. Numerical simulation of nanopost-guided self-organization dendritic architectures using phase-field model [Электронный ресурс]. Wikimedia Foundation, Inc., 2018. URL:</w:t>
      </w:r>
      <w:r>
        <w:t xml:space="preserve"> </w:t>
      </w:r>
      <w:hyperlink r:id="rId77">
        <w:r>
          <w:rPr>
            <w:rStyle w:val="Hyperlink"/>
          </w:rPr>
          <w:t xml:space="preserve">https://journals.plos.org/plosone/article?id=10.1371/journal.pone.0199620</w:t>
        </w:r>
      </w:hyperlink>
      <w:r>
        <w:t xml:space="preserve">.</w:t>
      </w:r>
    </w:p>
    <w:bookmarkEnd w:id="78"/>
    <w:bookmarkStart w:id="80" w:name="ref-gif:bash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Gif. Artificial Dendrites Growth [Электронный ресурс]. Wikimedia Foundation, Inc., 2025. URL:</w:t>
      </w:r>
      <w:r>
        <w:t xml:space="preserve"> </w:t>
      </w:r>
      <w:hyperlink r:id="rId79">
        <w:r>
          <w:rPr>
            <w:rStyle w:val="Hyperlink"/>
          </w:rPr>
          <w:t xml:space="preserve">https://upload.wikimedia.org/wikipedia/commons/3/30/Artificial_dendrites_growth.gif</w:t>
        </w:r>
        <w:r>
          <w:rPr>
            <w:rStyle w:val="Hyperlink"/>
          </w:rPr>
          <w:t xml:space="preserve"> </w:t>
        </w:r>
      </w:hyperlink>
      <w:r>
        <w:t xml:space="preserve">.</w:t>
      </w:r>
    </w:p>
    <w:bookmarkEnd w:id="80"/>
    <w:bookmarkStart w:id="82" w:name="ref-chem:bash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Wang K. и др. Dendrite growth in the recharging process of zinc–air batteries [Электронный ресурс]. Journal of Materials Chemistry A, 2025. URL:</w:t>
      </w:r>
      <w:r>
        <w:t xml:space="preserve"> </w:t>
      </w:r>
      <w:hyperlink r:id="rId81">
        <w:r>
          <w:rPr>
            <w:rStyle w:val="Hyperlink"/>
          </w:rPr>
          <w:t xml:space="preserve">https://pubs.rsc.org/en/content/articlelanding/2015/ta/c5ta06366c/unauth</w:t>
        </w:r>
      </w:hyperlink>
      <w:r>
        <w:t xml:space="preserve">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56" Target="media/rId56.png" /><Relationship Type="http://schemas.openxmlformats.org/officeDocument/2006/relationships/hyperlink" Id="rId72" Target="https://en.ppt-online.org/47544" TargetMode="External" /><Relationship Type="http://schemas.openxmlformats.org/officeDocument/2006/relationships/hyperlink" Id="rId77" Target="https://journals.plos.org/plosone/article?id=10.1371/journal.pone.0199620" TargetMode="External" /><Relationship Type="http://schemas.openxmlformats.org/officeDocument/2006/relationships/hyperlink" Id="rId81" Target="https://pubs.rsc.org/en/content/articlelanding/2015/ta/c5ta06366c/unauth" TargetMode="External" /><Relationship Type="http://schemas.openxmlformats.org/officeDocument/2006/relationships/hyperlink" Id="rId75" Target="https://ru.wikipedia.org/wiki/%D0%A0%D0%B0%D1%81%D1%87%D1%91%D1%82%D0%BD%D0%B0%D1%8F_%D1%81%D0%B5%D1%82%D0%BA%D0%B0" TargetMode="External" /><Relationship Type="http://schemas.openxmlformats.org/officeDocument/2006/relationships/hyperlink" Id="rId79" Target="https://upload.wikimedia.org/wikipedia/commons/3/30/Artificial_dendrites_growth.gif 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s://en.ppt-online.org/47544" TargetMode="External" /><Relationship Type="http://schemas.openxmlformats.org/officeDocument/2006/relationships/hyperlink" Id="rId77" Target="https://journals.plos.org/plosone/article?id=10.1371/journal.pone.0199620" TargetMode="External" /><Relationship Type="http://schemas.openxmlformats.org/officeDocument/2006/relationships/hyperlink" Id="rId81" Target="https://pubs.rsc.org/en/content/articlelanding/2015/ta/c5ta06366c/unauth" TargetMode="External" /><Relationship Type="http://schemas.openxmlformats.org/officeDocument/2006/relationships/hyperlink" Id="rId75" Target="https://ru.wikipedia.org/wiki/%D0%A0%D0%B0%D1%81%D1%87%D1%91%D1%82%D0%BD%D0%B0%D1%8F_%D1%81%D0%B5%D1%82%D0%BA%D0%B0" TargetMode="External" /><Relationship Type="http://schemas.openxmlformats.org/officeDocument/2006/relationships/hyperlink" Id="rId79" Target="https://upload.wikimedia.org/wikipedia/commons/3/30/Artificial_dendrites_growth.gif 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Групповой проект. Этап 2</dc:title>
  <dc:creator>Александрова Ульяна Вадимовна; Волгин Иван Алексеевич; Голощапов Ярослав Вячеславович; Дворкина Ева Владимировна; Серёгина Ирина Андреевна; Чемоданова Ангелина Александровна</dc:creator>
  <dc:language>ru-RU</dc:language>
  <cp:keywords/>
  <dcterms:created xsi:type="dcterms:W3CDTF">2025-03-31T10:43:21Z</dcterms:created>
  <dcterms:modified xsi:type="dcterms:W3CDTF">2025-03-31T10:43:21Z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institute">
    <vt:lpwstr>RUDN University, Moscow, Russian Federation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False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S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Алгоритм решения задачи Рост дендритов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