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8.png" ContentType="image/png"/>
  <Override PartName="/word/media/rId83.png" ContentType="image/png"/>
  <Override PartName="/word/media/rId86.png" ContentType="image/png"/>
  <Override PartName="/word/media/rId64.png" ContentType="image/png"/>
  <Override PartName="/word/media/rId5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реализовать модель TCP/AQM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xcos и OpenModelica модель TCP/AQM.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график, описывающий динамику размера очереди и TCP окна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портрет, описывающий зависимость размера очереди от TCP окна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упрощённую модель поведения TCP-подобного трафика с регулируемой</w:t>
      </w:r>
      <w:r>
        <w:t xml:space="preserve"> </w:t>
      </w:r>
      <w:r>
        <w:t xml:space="preserve">некоторым AQM алгоритмом динамической интенсивностью потока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средний размер TCP-окна (в пакетах, функция положительна),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средний размер очереди (в пакетах, функция положительна),</w:t>
      </w:r>
    </w:p>
    <w:p>
      <w:pPr>
        <w:pStyle w:val="BodyText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время двойного оборота (Round Trip Time, сек.)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– скорость обработки пакетов в очереди (пакетов в секунду)</w:t>
      </w:r>
    </w:p>
    <w:p>
      <w:pPr>
        <w:pStyle w:val="BodyText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число TCP-сессий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– вероятностная функция сброса (отметки на сброс) пакета, значения которой лежат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Примем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≡</m:t>
        </m:r>
        <m:r>
          <m:t>N</m:t>
        </m:r>
      </m:oMath>
      <w:r>
        <w:t xml:space="preserve">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≡</m:t>
        </m:r>
        <m:r>
          <m:t>R</m:t>
        </m:r>
      </m:oMath>
      <w:r>
        <w:t xml:space="preserve">, т. е. указанные величины положим постоянными, не изменяющимися во времени. Также положим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K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т.е. функция сброса пакетов пропорциональна длине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Тогда получим систему ([-eq:eq:W], [-eq:eq:Q])</w:t>
      </w:r>
    </w:p>
    <w:p>
      <w:pPr>
        <w:pStyle w:val="BodyText"/>
      </w:pPr>
      <w:bookmarkStart w:id="22" w:name="eq:eq:W"/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e>
              </m:d>
            </m:num>
            <m:den>
              <m:r>
                <m:t>2</m:t>
              </m:r>
              <m:r>
                <m:t>R</m:t>
              </m:r>
            </m:den>
          </m:f>
          <m:r>
            <m:t>K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R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:eq:Q"/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W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num>
                      <m:den>
                        <m: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N</m:t>
                            </m:r>
                            <m:r>
                              <m:t>W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t>R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bookmarkEnd w:id="24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реализация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</w:t>
      </w:r>
      <w:r>
        <w:t xml:space="preserve"> </w:t>
      </w:r>
      <w:r>
        <w:t xml:space="preserve">[2]</w:t>
      </w:r>
      <w:r>
        <w:t xml:space="preserve">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588443" cy="2405102"/>
            <wp:effectExtent b="0" l="0" r="0" t="0"/>
            <wp:docPr descr="Переменные окружения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окружения</w:t>
      </w:r>
    </w:p>
    <w:p>
      <w:pPr>
        <w:pStyle w:val="BodyText"/>
      </w:pPr>
      <w:r>
        <w:t xml:space="preserve">Так же зададим время моделирования как 100 единиц модельного времени (рис. 2).</w:t>
      </w:r>
    </w:p>
    <w:p>
      <w:pPr>
        <w:pStyle w:val="CaptionedFigure"/>
      </w:pPr>
      <w:r>
        <w:drawing>
          <wp:inline>
            <wp:extent cx="3733800" cy="1983581"/>
            <wp:effectExtent b="0" l="0" r="0" t="0"/>
            <wp:docPr descr="Параметры моделирован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моделирования</w:t>
      </w:r>
    </w:p>
    <w:p>
      <w:pPr>
        <w:pStyle w:val="BodyText"/>
      </w:pPr>
      <w:r>
        <w:t xml:space="preserve">Установим начальные значения в блоках интегрирования (рис. 3, 4).</w:t>
      </w:r>
    </w:p>
    <w:p>
      <w:pPr>
        <w:pStyle w:val="CaptionedFigure"/>
      </w:pPr>
      <w:r>
        <w:drawing>
          <wp:inline>
            <wp:extent cx="3388658" cy="2904564"/>
            <wp:effectExtent b="0" l="0" r="0" t="0"/>
            <wp:docPr descr="Установка начального значения интеграто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начального значения интегратора</w:t>
      </w:r>
    </w:p>
    <w:p>
      <w:pPr>
        <w:pStyle w:val="CaptionedFigure"/>
      </w:pPr>
      <w:r>
        <w:drawing>
          <wp:inline>
            <wp:extent cx="3327186" cy="2912248"/>
            <wp:effectExtent b="0" l="0" r="0" t="0"/>
            <wp:docPr descr="Установка начального значения интеграто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начального значения интегратора</w:t>
      </w:r>
    </w:p>
    <w:p>
      <w:pPr>
        <w:pStyle w:val="BodyText"/>
      </w:pPr>
      <w:r>
        <w:t xml:space="preserve">Установка параметра задержки (рис. 5).</w:t>
      </w:r>
    </w:p>
    <w:p>
      <w:pPr>
        <w:pStyle w:val="CaptionedFigure"/>
      </w:pPr>
      <w:r>
        <w:drawing>
          <wp:inline>
            <wp:extent cx="2435838" cy="2259105"/>
            <wp:effectExtent b="0" l="0" r="0" t="0"/>
            <wp:docPr descr="Установка задержк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задержки</w:t>
      </w:r>
    </w:p>
    <w:p>
      <w:pPr>
        <w:pStyle w:val="BodyText"/>
      </w:pPr>
      <w:r>
        <w:t xml:space="preserve">Запись выражения, определяющего</w:t>
      </w:r>
      <w:r>
        <w:t xml:space="preserve"> </w:t>
      </w:r>
      <m:oMath>
        <m:acc>
          <m:accPr>
            <m:chr m:val="̇"/>
          </m:accPr>
          <m:e>
            <m:r>
              <m:t>Q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блок Expression (рис. 6).</w:t>
      </w:r>
    </w:p>
    <w:p>
      <w:pPr>
        <w:pStyle w:val="CaptionedFigure"/>
      </w:pPr>
      <w:r>
        <w:drawing>
          <wp:inline>
            <wp:extent cx="3733800" cy="2364954"/>
            <wp:effectExtent b="0" l="0" r="0" t="0"/>
            <wp:docPr descr="Параметры блока Expression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блока Expression</w:t>
      </w:r>
    </w:p>
    <w:p>
      <w:pPr>
        <w:pStyle w:val="BodyText"/>
      </w:pPr>
      <w:r>
        <w:t xml:space="preserve">Установим параметры регистрирующих устройств для оптимального отображения графиков, также можем настроить цвета. Так же у блока CSCOPE ставим параметр</w:t>
      </w:r>
      <w:r>
        <w:t xml:space="preserve"> </w:t>
      </w:r>
      <w:r>
        <w:rPr>
          <w:rStyle w:val="VerbatimChar"/>
        </w:rPr>
        <w:t xml:space="preserve">refresh period</w:t>
      </w:r>
      <w:r>
        <w:t xml:space="preserve">=100, чтобы на графики отобразились результаты моделирования в течение 100 секунд модельного времени (рис. 7, 8).</w:t>
      </w:r>
    </w:p>
    <w:p>
      <w:pPr>
        <w:pStyle w:val="CaptionedFigure"/>
      </w:pPr>
      <w:r>
        <w:drawing>
          <wp:inline>
            <wp:extent cx="3733800" cy="3318200"/>
            <wp:effectExtent b="0" l="0" r="0" t="0"/>
            <wp:docPr descr="Параметры CSCOPXY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CSCOPXY</w:t>
      </w:r>
    </w:p>
    <w:p>
      <w:pPr>
        <w:pStyle w:val="CaptionedFigure"/>
      </w:pPr>
      <w:r>
        <w:drawing>
          <wp:inline>
            <wp:extent cx="3733800" cy="3212804"/>
            <wp:effectExtent b="0" l="0" r="0" t="0"/>
            <wp:docPr descr="Параметры CSCOPE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CSCOPE</w:t>
      </w:r>
    </w:p>
    <w:p>
      <w:pPr>
        <w:pStyle w:val="BodyText"/>
      </w:pPr>
      <w:r>
        <w:t xml:space="preserve">Затем реализуем модель TCP/AQM и разместим регистрирующие устройства CSCOPE для графиков изменения окна TCP и изменения очереди, и CSCOPXY для фазового портрета (рис. 9).</w:t>
      </w:r>
    </w:p>
    <w:p>
      <w:pPr>
        <w:pStyle w:val="CaptionedFigure"/>
      </w:pPr>
      <w:r>
        <w:drawing>
          <wp:inline>
            <wp:extent cx="3733800" cy="2149914"/>
            <wp:effectExtent b="0" l="0" r="0" t="0"/>
            <wp:docPr descr="Модель TCP/AQM в xcos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TCP/AQM в xcos</w:t>
      </w:r>
    </w:p>
    <w:p>
      <w:pPr>
        <w:pStyle w:val="BodyText"/>
      </w:pPr>
      <w:r>
        <w:t xml:space="preserve">Получим динамику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(зеленая линия) 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10, 11):</w:t>
      </w:r>
    </w:p>
    <w:p>
      <w:pPr>
        <w:pStyle w:val="CaptionedFigure"/>
      </w:pPr>
      <w:r>
        <w:drawing>
          <wp:inline>
            <wp:extent cx="3733800" cy="2494838"/>
            <wp:effectExtent b="0" l="0" r="0" t="0"/>
            <wp:docPr descr="Динамика изменения размера TCP окна W(t) и размера очереди Q(t)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aptionedFigure"/>
      </w:pPr>
      <w:r>
        <w:drawing>
          <wp:inline>
            <wp:extent cx="3733800" cy="2328896"/>
            <wp:effectExtent b="0" l="0" r="0" t="0"/>
            <wp:docPr descr="Фазовый портрет (W, Q)" title="" id="56" name="Picture"/>
            <a:graphic>
              <a:graphicData uri="http://schemas.openxmlformats.org/drawingml/2006/picture">
                <pic:pic>
                  <pic:nvPicPr>
                    <pic:cNvPr descr="image/2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</w:p>
    <w:p>
      <w:pPr>
        <w:pStyle w:val="BodyText"/>
      </w:pPr>
      <w:r>
        <w:t xml:space="preserve">Уменьшив скорость обработки пакетов C 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(рис. 12) увидим, что автоколебания стали более выраженными (рис. 13, 14).</w:t>
      </w:r>
    </w:p>
    <w:p>
      <w:pPr>
        <w:pStyle w:val="CaptionedFigure"/>
      </w:pPr>
      <w:r>
        <w:drawing>
          <wp:inline>
            <wp:extent cx="3733800" cy="2762881"/>
            <wp:effectExtent b="0" l="0" r="0" t="0"/>
            <wp:docPr descr="Переменные окружения, изменени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Переменные окружения, изменение</w:t>
      </w:r>
    </w:p>
    <w:p>
      <w:pPr>
        <w:pStyle w:val="CaptionedFigure"/>
      </w:pPr>
      <w:r>
        <w:drawing>
          <wp:inline>
            <wp:extent cx="3733800" cy="2419150"/>
            <wp:effectExtent b="0" l="0" r="0" t="0"/>
            <wp:docPr descr="Динамика изменения размера TCP окна W(t) и размера очереди Q(t) при С = 0.9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Динамика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при С = 0.9</w:t>
      </w:r>
    </w:p>
    <w:p>
      <w:pPr>
        <w:pStyle w:val="CaptionedFigure"/>
      </w:pPr>
      <w:r>
        <w:drawing>
          <wp:inline>
            <wp:extent cx="3733800" cy="2391483"/>
            <wp:effectExtent b="0" l="0" r="0" t="0"/>
            <wp:docPr descr="Фазовый портрет (W, Q) при С = 0.9" title="" id="65" name="Picture"/>
            <a:graphic>
              <a:graphicData uri="http://schemas.openxmlformats.org/drawingml/2006/picture">
                <pic:pic>
                  <pic:nvPicPr>
                    <pic:cNvPr descr="image/2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Фазовый портрет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 </w:t>
      </w:r>
      <w:r>
        <w:t xml:space="preserve">при С = 0.9</w:t>
      </w:r>
    </w:p>
    <w:bookmarkEnd w:id="67"/>
    <w:bookmarkStart w:id="89" w:name="реализация-модели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дифференциальных уравнений (рис. 15).</w:t>
      </w:r>
    </w:p>
    <w:p>
      <w:pPr>
        <w:pStyle w:val="CaptionedFigure"/>
      </w:pPr>
      <w:r>
        <w:drawing>
          <wp:inline>
            <wp:extent cx="3733800" cy="2507502"/>
            <wp:effectExtent b="0" l="0" r="0" t="0"/>
            <wp:docPr descr="Модель TCP/AQM в OpenModelica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TCP/AQM в OpenModelica</w:t>
      </w:r>
    </w:p>
    <w:p>
      <w:pPr>
        <w:pStyle w:val="BodyText"/>
      </w:pPr>
      <w:r>
        <w:t xml:space="preserve">Затем установим параметры симуляции - 100 единиц модельного времени (рис. 16).</w:t>
      </w:r>
    </w:p>
    <w:p>
      <w:pPr>
        <w:pStyle w:val="CaptionedFigure"/>
      </w:pPr>
      <w:r>
        <w:drawing>
          <wp:inline>
            <wp:extent cx="3733800" cy="2766841"/>
            <wp:effectExtent b="0" l="0" r="0" t="0"/>
            <wp:docPr descr="Установка симуляции OpenModelica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симуляции OpenModelica</w:t>
      </w:r>
    </w:p>
    <w:p>
      <w:pPr>
        <w:pStyle w:val="BodyText"/>
      </w:pPr>
      <w:r>
        <w:t xml:space="preserve">Получим динамику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(красная линия) 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(синяя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17, 10):</w:t>
      </w:r>
    </w:p>
    <w:p>
      <w:pPr>
        <w:pStyle w:val="CaptionedFigure"/>
      </w:pPr>
      <w:r>
        <w:drawing>
          <wp:inline>
            <wp:extent cx="3733800" cy="1337406"/>
            <wp:effectExtent b="0" l="0" r="0" t="0"/>
            <wp:docPr descr="Динамика изменения размера TCP окна W(t) и размера очереди Q(t)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Динамика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aptionedFigure"/>
      </w:pPr>
      <w:r>
        <w:drawing>
          <wp:inline>
            <wp:extent cx="3733800" cy="1494516"/>
            <wp:effectExtent b="0" l="0" r="0" t="0"/>
            <wp:docPr descr="Фазовый портрет (W, Q)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Фазовый портрет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</w:p>
    <w:p>
      <w:pPr>
        <w:pStyle w:val="BodyText"/>
      </w:pPr>
      <w:r>
        <w:t xml:space="preserve">Изменим в OpenModelica скорость обработки пакетов C до 0.9 (рис. 19).</w:t>
      </w:r>
    </w:p>
    <w:p>
      <w:pPr>
        <w:pStyle w:val="CaptionedFigure"/>
      </w:pPr>
      <w:r>
        <w:drawing>
          <wp:inline>
            <wp:extent cx="3733800" cy="2433530"/>
            <wp:effectExtent b="0" l="0" r="0" t="0"/>
            <wp:docPr descr="Изменение параметра C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параметра C</w:t>
      </w:r>
    </w:p>
    <w:p>
      <w:pPr>
        <w:pStyle w:val="BodyText"/>
      </w:pPr>
      <w:r>
        <w:t xml:space="preserve">Точно так же увидим, что автоколебания стали более выраженными (рис. 20, 21).</w:t>
      </w:r>
    </w:p>
    <w:p>
      <w:pPr>
        <w:pStyle w:val="CaptionedFigure"/>
      </w:pPr>
      <w:r>
        <w:drawing>
          <wp:inline>
            <wp:extent cx="3733800" cy="1583584"/>
            <wp:effectExtent b="0" l="0" r="0" t="0"/>
            <wp:docPr descr="Динамика изменения размера TCP окна W(t) и размера очереди Q(t) при С = 0.9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Динамика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при С = 0.9</w:t>
      </w:r>
    </w:p>
    <w:p>
      <w:pPr>
        <w:pStyle w:val="CaptionedFigure"/>
      </w:pPr>
      <w:r>
        <w:drawing>
          <wp:inline>
            <wp:extent cx="3733800" cy="1443901"/>
            <wp:effectExtent b="0" l="0" r="0" t="0"/>
            <wp:docPr descr="Фазовый портрет (W, Q) при С = 0.9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Фазовый портрет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 </w:t>
      </w:r>
      <w:r>
        <w:t xml:space="preserve">при С = 0.9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реализовала модель TCP/AQM с помощью xcos и OpenModelica.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Start w:id="92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8. Модель TCP/AQM [Электронный ресурс].</w:t>
      </w:r>
    </w:p>
    <w:bookmarkEnd w:id="92"/>
    <w:bookmarkStart w:id="93" w:name="ref-xco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93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64" Target="media/rId64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Дворкина Ева Владимировна</dc:creator>
  <dc:language>ru-RU</dc:language>
  <cp:keywords/>
  <dcterms:created xsi:type="dcterms:W3CDTF">2025-03-11T00:00:51Z</dcterms:created>
  <dcterms:modified xsi:type="dcterms:W3CDTF">2025-03-11T00:00:51Z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