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реализовать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</w:t>
      </w:r>
      <w:r>
        <w:t xml:space="preserve"> </w:t>
      </w:r>
      <w:r>
        <w:t xml:space="preserve">эквивалентны машине Тьюринга и составляют универсальную алгоритмическую</w:t>
      </w:r>
      <w:r>
        <w:t xml:space="preserve"> </w:t>
      </w:r>
      <w:r>
        <w:t xml:space="preserve">систему, позволяющую описать произвольный объект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CPN Tools позволяет визуализировать модель с помощью графа сети Петри и при-</w:t>
      </w:r>
      <w:r>
        <w:t xml:space="preserve"> </w:t>
      </w:r>
      <w:r>
        <w:t xml:space="preserve">менить язык программирования CPN ML (Colored Petri Net Markup Language) для</w:t>
      </w:r>
      <w:r>
        <w:t xml:space="preserve"> </w:t>
      </w:r>
      <w:r>
        <w:t xml:space="preserve">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2"/>
        </w:numPr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2"/>
        </w:numPr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t xml:space="preserve">Основные функции CPN Tools:</w:t>
      </w:r>
    </w:p>
    <w:p>
      <w:pPr>
        <w:numPr>
          <w:ilvl w:val="0"/>
          <w:numId w:val="1003"/>
        </w:numPr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</w:pPr>
      <w:r>
        <w:t xml:space="preserve">построение и анализ пространства состояний модели.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задача-об-обедающих-мудрецах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Задача об обедающих мудрецах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4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numPr>
          <w:ilvl w:val="0"/>
          <w:numId w:val="1004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3278149"/>
            <wp:effectExtent b="0" l="0" r="0" t="0"/>
            <wp:docPr descr="Граф сети задачи об обедающих мудрецах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5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5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282157" cy="2005532"/>
            <wp:effectExtent b="0" l="0" r="0" t="0"/>
            <wp:docPr descr="Задание деклараций задачи об обедающих мудрецах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20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3045513"/>
            <wp:effectExtent b="0" l="0" r="0" t="0"/>
            <wp:docPr descr="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r>
        <w:drawing>
          <wp:inline>
            <wp:extent cx="3733800" cy="2009605"/>
            <wp:effectExtent b="0" l="0" r="0" t="0"/>
            <wp:docPr descr="Запуск модели задачи об обедающих мудрецах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End w:id="35"/>
    <w:bookmarkStart w:id="39" w:name="упражн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Сформируем граф пространства состояний, всего их 11 (рис. 5):</w:t>
      </w:r>
    </w:p>
    <w:p>
      <w:pPr>
        <w:pStyle w:val="CaptionedFigure"/>
      </w:pPr>
      <w:r>
        <w:drawing>
          <wp:inline>
            <wp:extent cx="3733800" cy="2175989"/>
            <wp:effectExtent b="0" l="0" r="0" t="0"/>
            <wp:docPr descr="Пространство состояний для модели задачи об обедающих мудрецах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задачи об обедающих мудрецах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увидеть:</w:t>
      </w:r>
    </w:p>
    <w:p>
      <w:pPr>
        <w:numPr>
          <w:ilvl w:val="0"/>
          <w:numId w:val="1006"/>
        </w:numPr>
      </w:pPr>
      <w:r>
        <w:t xml:space="preserve">есть 11 состояний и 30 переходов между ними.</w:t>
      </w:r>
    </w:p>
    <w:p>
      <w:pPr>
        <w:numPr>
          <w:ilvl w:val="0"/>
          <w:numId w:val="1006"/>
        </w:numPr>
      </w:pPr>
      <w:r>
        <w:t xml:space="preserve">Затем 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пирожки).</w:t>
      </w:r>
    </w:p>
    <w:p>
      <w:pPr>
        <w:numPr>
          <w:ilvl w:val="0"/>
          <w:numId w:val="1006"/>
        </w:numPr>
      </w:pPr>
      <w:r>
        <w:t xml:space="preserve">Также указаны границы в виде мультимножеств.</w:t>
      </w:r>
    </w:p>
    <w:p>
      <w:pPr>
        <w:numPr>
          <w:ilvl w:val="0"/>
          <w:numId w:val="1006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6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6"/>
        </w:numPr>
      </w:pPr>
      <w:r>
        <w:t xml:space="preserve">В конце 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Mon Mar 3 04:21:10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реализовла модель задачи об обедающих мудрецах в CPN Tools.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2" w:name="ref-cpn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2"/>
    <w:bookmarkStart w:id="43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10. Задача об обедающих мудрецах [Электронный ресурс].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Дворкина Ева Владимировна</dc:creator>
  <dc:language>ru-RU</dc:language>
  <cp:keywords/>
  <dcterms:created xsi:type="dcterms:W3CDTF">2025-03-13T12:42:36Z</dcterms:created>
  <dcterms:modified xsi:type="dcterms:W3CDTF">2025-03-13T12:42:36Z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об обедающих мудрецах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