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42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Пакет GPSS(General Purpose Simulation System — система моделирования общего назначения) предназначен для имитационного моделирования дискретных систем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Имитационная модель в GPSS представляет собой последовательность текстовых строк, каждая из которых определяет правила создания, перемещения, задержки и удаления транзактов.</w:t>
      </w:r>
    </w:p>
    <w:p>
      <w:pPr>
        <w:pStyle w:val="BodyText"/>
      </w:pPr>
      <w:r>
        <w:rPr>
          <w:i/>
          <w:iCs/>
        </w:rPr>
        <w:t xml:space="preserve">Транзакт</w:t>
      </w:r>
      <w:r>
        <w:t xml:space="preserve"> </w:t>
      </w:r>
      <w:r>
        <w:t xml:space="preserve">— динамический объект, отождествляемый с заявкой на обслуживание, который перемещается между элементами системы.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Использованы материалы из</w:t>
      </w:r>
      <w:r>
        <w:t xml:space="preserve"> </w:t>
      </w:r>
      <w:r>
        <w:t xml:space="preserve">[2]</w:t>
      </w:r>
      <w:r>
        <w:t xml:space="preserve">.</w:t>
      </w:r>
    </w:p>
    <w:bookmarkStart w:id="35" w:name="Xb516a3146786bc3f8ee1a71dd1a2b522cd128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</w:pPr>
      <w:r>
        <w:t xml:space="preserve">оператор оформляет заказ;</w:t>
      </w:r>
    </w:p>
    <w:p>
      <w:pPr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r>
        <w:drawing>
          <wp:inline>
            <wp:extent cx="3603811" cy="2128477"/>
            <wp:effectExtent b="0" l="0" r="0" t="0"/>
            <wp:docPr descr="Модель оформления заказов клиентов одним операторо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3243738"/>
            <wp:effectExtent b="0" l="0" r="0" t="0"/>
            <wp:docPr descr="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r>
        <w:drawing>
          <wp:inline>
            <wp:extent cx="3733800" cy="1890111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733800" cy="3142771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5"/>
    <w:bookmarkStart w:id="54" w:name="X465a88959967afd60072016bbed87fa0eb59b1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 (рис. 5).</w:t>
      </w:r>
    </w:p>
    <w:p>
      <w:pPr>
        <w:pStyle w:val="CaptionedFigure"/>
      </w:pPr>
      <w:r>
        <w:drawing>
          <wp:inline>
            <wp:extent cx="3281082" cy="1982480"/>
            <wp:effectExtent b="0" l="0" r="0" t="0"/>
            <wp:docPr descr="Построение гистограммы распределения заявок в очеред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Для запуска разработанного кода на счёт и построения гистограммы необходимо последовательно выполнить:</w:t>
      </w:r>
    </w:p>
    <w:p>
      <w:pPr>
        <w:numPr>
          <w:ilvl w:val="0"/>
          <w:numId w:val="1009"/>
        </w:numPr>
      </w:pPr>
      <w:r>
        <w:t xml:space="preserve">Command CreateSimulation;</w:t>
      </w:r>
    </w:p>
    <w:p>
      <w:pPr>
        <w:numPr>
          <w:ilvl w:val="0"/>
          <w:numId w:val="1009"/>
        </w:numPr>
      </w:pPr>
      <w:r>
        <w:t xml:space="preserve">Command START (рис. 6),</w:t>
      </w:r>
    </w:p>
    <w:p>
      <w:pPr>
        <w:numPr>
          <w:ilvl w:val="0"/>
          <w:numId w:val="1009"/>
        </w:numPr>
      </w:pPr>
      <w:r>
        <w:t xml:space="preserve">в появившемся окне задать, например, START 100;</w:t>
      </w:r>
    </w:p>
    <w:p>
      <w:pPr>
        <w:numPr>
          <w:ilvl w:val="0"/>
          <w:numId w:val="1009"/>
        </w:numPr>
      </w:pPr>
      <w:r>
        <w:t xml:space="preserve">Window - Simulation Window - Table Window.</w:t>
      </w:r>
    </w:p>
    <w:p>
      <w:pPr>
        <w:pStyle w:val="FirstParagraph"/>
      </w:pPr>
      <w:r>
        <w:t xml:space="preserve">Выбираем для построения диаграммы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(рис. 7),</w:t>
      </w:r>
    </w:p>
    <w:p>
      <w:pPr>
        <w:pStyle w:val="CaptionedFigure"/>
      </w:pPr>
      <w:r>
        <w:drawing>
          <wp:inline>
            <wp:extent cx="2666359" cy="1406178"/>
            <wp:effectExtent b="0" l="0" r="0" t="0"/>
            <wp:docPr descr="Окно ввода START Command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ввода START Command</w:t>
      </w:r>
    </w:p>
    <w:p>
      <w:pPr>
        <w:pStyle w:val="CaptionedFigure"/>
      </w:pPr>
      <w:r>
        <w:drawing>
          <wp:inline>
            <wp:extent cx="2543415" cy="1782695"/>
            <wp:effectExtent b="0" l="0" r="0" t="0"/>
            <wp:docPr descr="Окно Open Table Window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Open Table Window</w:t>
      </w:r>
    </w:p>
    <w:p>
      <w:pPr>
        <w:pStyle w:val="BodyText"/>
      </w:pPr>
      <w:r>
        <w:t xml:space="preserve">Получим отчет симуляции и проанализируем его (рис. 8, 9).</w:t>
      </w:r>
    </w:p>
    <w:p>
      <w:pPr>
        <w:pStyle w:val="CaptionedFigure"/>
      </w:pPr>
      <w:r>
        <w:drawing>
          <wp:inline>
            <wp:extent cx="3733800" cy="3404018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1742440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9" name="Picture"/>
            <a:graphic>
              <a:graphicData uri="http://schemas.openxmlformats.org/drawingml/2006/picture">
                <pic:pic>
                  <pic:nvPicPr>
                    <pic:cNvPr descr="image/7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0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0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10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10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0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10).</w:t>
      </w:r>
    </w:p>
    <w:p>
      <w:pPr>
        <w:pStyle w:val="CaptionedFigure"/>
      </w:pPr>
      <w:r>
        <w:drawing>
          <wp:inline>
            <wp:extent cx="3733800" cy="1256787"/>
            <wp:effectExtent b="0" l="0" r="0" t="0"/>
            <wp:docPr descr="Гистограмма распределения заявок в очереди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54"/>
    <w:bookmarkStart w:id="67" w:name="Xab70f7f71dda3505594ba065091fb052a4cefc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</w:p>
    <w:p>
      <w:pPr>
        <w:pStyle w:val="BodyText"/>
      </w:pPr>
      <w:r>
        <w:t xml:space="preserve">Код и отчет результатов моделирования следующие (рис. 11, 12).</w:t>
      </w:r>
    </w:p>
    <w:p>
      <w:pPr>
        <w:pStyle w:val="CaptionedFigure"/>
      </w:pPr>
      <w:r>
        <w:drawing>
          <wp:inline>
            <wp:extent cx="3733800" cy="2664468"/>
            <wp:effectExtent b="0" l="0" r="0" t="0"/>
            <wp:docPr descr="Модель обслуживания двух типов заказов от клиентов в интернет-магазине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417758"/>
            <wp:effectExtent b="0" l="0" r="0" t="0"/>
            <wp:docPr descr="Отчёт по модели оформления заказов двух типов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13).</w:t>
      </w:r>
    </w:p>
    <w:p>
      <w:pPr>
        <w:pStyle w:val="CaptionedFigure"/>
      </w:pPr>
      <w:r>
        <w:drawing>
          <wp:inline>
            <wp:extent cx="3733800" cy="2267489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14).</w:t>
      </w:r>
    </w:p>
    <w:p>
      <w:pPr>
        <w:pStyle w:val="CaptionedFigure"/>
      </w:pPr>
      <w:r>
        <w:drawing>
          <wp:inline>
            <wp:extent cx="3733800" cy="2912281"/>
            <wp:effectExtent b="0" l="0" r="0" t="0"/>
            <wp:docPr descr="Отчёт по модели оформления заказов двух типов заказов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7"/>
    <w:bookmarkStart w:id="80" w:name="Xa54268e2994a40c2cb4c22f66d9471ebd08a80c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15).</w:t>
      </w:r>
    </w:p>
    <w:p>
      <w:pPr>
        <w:pStyle w:val="CaptionedFigure"/>
      </w:pPr>
      <w:r>
        <w:drawing>
          <wp:inline>
            <wp:extent cx="2489626" cy="2274473"/>
            <wp:effectExtent b="0" l="0" r="0" t="0"/>
            <wp:docPr descr="Модель оформления заказов несколькими операторами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26" cy="227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16).</w:t>
      </w:r>
    </w:p>
    <w:p>
      <w:pPr>
        <w:pStyle w:val="CaptionedFigure"/>
      </w:pPr>
      <w:r>
        <w:drawing>
          <wp:inline>
            <wp:extent cx="3733800" cy="2945269"/>
            <wp:effectExtent b="0" l="0" r="0" t="0"/>
            <wp:docPr descr="Отчет по модели оформления заказов несколькими операторами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17).</w:t>
      </w:r>
    </w:p>
    <w:p>
      <w:pPr>
        <w:pStyle w:val="CaptionedFigure"/>
      </w:pPr>
      <w:r>
        <w:drawing>
          <wp:inline>
            <wp:extent cx="3733800" cy="2148696"/>
            <wp:effectExtent b="0" l="0" r="0" t="0"/>
            <wp:docPr descr="Модель оформления заказов несколькими операторами с учетом отказов клиентов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18).</w:t>
      </w:r>
    </w:p>
    <w:p>
      <w:pPr>
        <w:pStyle w:val="CaptionedFigure"/>
      </w:pPr>
      <w:r>
        <w:drawing>
          <wp:inline>
            <wp:extent cx="3733800" cy="3391336"/>
            <wp:effectExtent b="0" l="0" r="0" t="0"/>
            <wp:docPr descr="Отчет по модели оформления заказов несколькими операторами с учетом отказов клиентов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numPr>
          <w:ilvl w:val="0"/>
          <w:numId w:val="1025"/>
        </w:numPr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5"/>
        </w:numPr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5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5"/>
        </w:numPr>
      </w:pPr>
      <w:r>
        <w:t xml:space="preserve">модель оформления заказов несколькими операторами.</w:t>
      </w:r>
    </w:p>
    <w:bookmarkEnd w:id="82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83" w:name="ref-gps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83"/>
    <w:bookmarkStart w:id="84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14. Модели обработки заказов [Электронный ресурс].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Дворкина Ева Владимировна</dc:creator>
  <dc:language>ru-RU</dc:language>
  <cp:keywords/>
  <dcterms:created xsi:type="dcterms:W3CDTF">2025-05-10T12:46:11Z</dcterms:created>
  <dcterms:modified xsi:type="dcterms:W3CDTF">2025-05-10T12:46:11Z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 обработки заказов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