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Дворкина</w:t>
      </w:r>
      <w:r>
        <w:t xml:space="preserve"> </w:t>
      </w:r>
      <w:r>
        <w:t xml:space="preserve">Ева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Pr>
      <w:r>
        <w:t xml:space="preserve">Модель обслуживания механиков на складе</w:t>
      </w:r>
    </w:p>
    <w:p>
      <w:pPr>
        <w:numPr>
          <w:ilvl w:val="0"/>
          <w:numId w:val="1001"/>
        </w:numPr>
      </w:pPr>
      <w:r>
        <w:t xml:space="preserve">Модель обслуживания в порту судов двух типов</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Пакет GPSS(General Purpose Simulation System — система моделирования общего назначения) предназначен для имитационного моделирования дискретных систем</w:t>
      </w:r>
      <w:r>
        <w:t xml:space="preserve"> </w:t>
      </w:r>
      <w:r>
        <w:t xml:space="preserve">[1]</w:t>
      </w:r>
      <w:r>
        <w:t xml:space="preserve">.</w:t>
      </w:r>
    </w:p>
    <w:p>
      <w:pPr>
        <w:pStyle w:val="BodyText"/>
      </w:pPr>
      <w:r>
        <w:t xml:space="preserve">Имитационная модель в GPSS представляет собой последовательность текстовых строк, каждая из которых определяет правила создания, перемещения, задержки и удаления транзактов.</w:t>
      </w:r>
    </w:p>
    <w:p>
      <w:pPr>
        <w:pStyle w:val="BodyText"/>
      </w:pPr>
      <w:r>
        <w:rPr>
          <w:i/>
          <w:iCs/>
        </w:rPr>
        <w:t xml:space="preserve">Транзакт</w:t>
      </w:r>
      <w:r>
        <w:t xml:space="preserve"> </w:t>
      </w:r>
      <w:r>
        <w:t xml:space="preserve">— динамический объект, отождествляемый с заявкой на обслуживание, который перемещается между элементами системы.</w:t>
      </w:r>
    </w:p>
    <w:bookmarkEnd w:id="22"/>
    <w:bookmarkStart w:id="4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Использованы материалы из</w:t>
      </w:r>
      <w:r>
        <w:t xml:space="preserve"> </w:t>
      </w:r>
      <w:r>
        <w:t xml:space="preserve">[2]</w:t>
      </w:r>
      <w:r>
        <w:t xml:space="preserve">.</w:t>
      </w:r>
    </w:p>
    <w:bookmarkStart w:id="29" w:name="модель-обслуживания-механиков-на-складе"/>
    <w:p>
      <w:pPr>
        <w:pStyle w:val="Heading2"/>
      </w:pPr>
      <w:r>
        <w:rPr>
          <w:rStyle w:val="SectionNumber"/>
        </w:rPr>
        <w:t xml:space="preserve">4.1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 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p>
    <w:p>
      <w:pPr>
        <w:pStyle w:val="BodyText"/>
      </w:pP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r>
        <w:drawing>
          <wp:inline>
            <wp:extent cx="3119717" cy="3311818"/>
            <wp:effectExtent b="0" l="0" r="0" t="0"/>
            <wp:docPr descr="Модель обслуживания механиков с приоритетам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119717" cy="3311818"/>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r>
        <w:drawing>
          <wp:inline>
            <wp:extent cx="3733800" cy="3908594"/>
            <wp:effectExtent b="0" l="0" r="0" t="0"/>
            <wp:docPr descr="Отчёт по модели обслуживания механиков с приоритетам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908594"/>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4"/>
        </w:numPr>
      </w:pPr>
      <w:r>
        <w:rPr>
          <w:rStyle w:val="VerbatimChar"/>
        </w:rPr>
        <w:t xml:space="preserve">PRI</w:t>
      </w:r>
      <w:r>
        <w:t xml:space="preserve">=1 – следующая заявка с приоритетом 1, то есть первого типа;</w:t>
      </w:r>
    </w:p>
    <w:p>
      <w:pPr>
        <w:numPr>
          <w:ilvl w:val="0"/>
          <w:numId w:val="1004"/>
        </w:numPr>
      </w:pPr>
      <w:r>
        <w:rPr>
          <w:rStyle w:val="VerbatimChar"/>
        </w:rPr>
        <w:t xml:space="preserve">BDT</w:t>
      </w:r>
      <w:r>
        <w:t xml:space="preserve">=28815,063 – время назначенного события, связанного с данным транзактом;</w:t>
      </w:r>
    </w:p>
    <w:p>
      <w:pPr>
        <w:numPr>
          <w:ilvl w:val="0"/>
          <w:numId w:val="1004"/>
        </w:numPr>
      </w:pPr>
      <w:r>
        <w:rPr>
          <w:rStyle w:val="VerbatimChar"/>
        </w:rPr>
        <w:t xml:space="preserve">ASSEM</w:t>
      </w:r>
      <w:r>
        <w:t xml:space="preserve">=141 – номер семейства транзактов;</w:t>
      </w:r>
    </w:p>
    <w:p>
      <w:pPr>
        <w:numPr>
          <w:ilvl w:val="0"/>
          <w:numId w:val="1004"/>
        </w:numPr>
      </w:pPr>
      <w:r>
        <w:rPr>
          <w:rStyle w:val="VerbatimChar"/>
        </w:rPr>
        <w:t xml:space="preserve">CURRENT</w:t>
      </w:r>
      <w:r>
        <w:t xml:space="preserve">=5 – номер блока, в котором находится транзакт;</w:t>
      </w:r>
    </w:p>
    <w:p>
      <w:pPr>
        <w:numPr>
          <w:ilvl w:val="0"/>
          <w:numId w:val="1004"/>
        </w:numPr>
      </w:pPr>
      <w:r>
        <w:rPr>
          <w:rStyle w:val="VerbatimChar"/>
        </w:rPr>
        <w:t xml:space="preserve">NEXT</w:t>
      </w:r>
      <w:r>
        <w:t xml:space="preserve">=6 – номер блока, в который должен войти транзакт.</w:t>
      </w:r>
    </w:p>
    <w:bookmarkEnd w:id="29"/>
    <w:bookmarkStart w:id="39" w:name="Xf2c53700e2ed52c994f143e6374ea902f84194b"/>
    <w:p>
      <w:pPr>
        <w:pStyle w:val="Heading2"/>
      </w:pPr>
      <w:r>
        <w:rPr>
          <w:rStyle w:val="SectionNumber"/>
        </w:rPr>
        <w:t xml:space="preserve">4.2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r>
        <w:drawing>
          <wp:inline>
            <wp:extent cx="3733800" cy="3974123"/>
            <wp:effectExtent b="0" l="0" r="0" t="0"/>
            <wp:docPr descr="Модель обслуживания в порту судов двух типов"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733800" cy="3974123"/>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r>
        <w:drawing>
          <wp:inline>
            <wp:extent cx="3733800" cy="3285066"/>
            <wp:effectExtent b="0" l="0" r="0" t="0"/>
            <wp:docPr descr="Отчёт по модели обслуживания в порту судов двух типов"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3733800" cy="3285066"/>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p>
      <w:pPr>
        <w:pStyle w:val="CaptionedFigure"/>
      </w:pPr>
      <w:r>
        <w:drawing>
          <wp:inline>
            <wp:extent cx="3733800" cy="1570252"/>
            <wp:effectExtent b="0" l="0" r="0" t="0"/>
            <wp:docPr descr="Отчёт по модели обслуживания в порту судов двух типов" title="" id="37" name="Picture"/>
            <a:graphic>
              <a:graphicData uri="http://schemas.openxmlformats.org/drawingml/2006/picture">
                <pic:pic>
                  <pic:nvPicPr>
                    <pic:cNvPr descr="image/5.PNG" id="38" name="Picture"/>
                    <pic:cNvPicPr>
                      <a:picLocks noChangeArrowheads="1" noChangeAspect="1"/>
                    </pic:cNvPicPr>
                  </pic:nvPicPr>
                  <pic:blipFill>
                    <a:blip r:embed="rId36"/>
                    <a:stretch>
                      <a:fillRect/>
                    </a:stretch>
                  </pic:blipFill>
                  <pic:spPr bwMode="auto">
                    <a:xfrm>
                      <a:off x="0" y="0"/>
                      <a:ext cx="3733800" cy="1570252"/>
                    </a:xfrm>
                    <a:prstGeom prst="rect">
                      <a:avLst/>
                    </a:prstGeom>
                    <a:noFill/>
                    <a:ln w="9525">
                      <a:noFill/>
                      <a:headEnd/>
                      <a:tailEnd/>
                    </a:ln>
                  </pic:spPr>
                </pic:pic>
              </a:graphicData>
            </a:graphic>
          </wp:inline>
        </w:drawing>
      </w:r>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9"/>
    <w:bookmarkEnd w:id="40"/>
    <w:bookmarkStart w:id="41" w:name="выводы"/>
    <w:p>
      <w:pPr>
        <w:pStyle w:val="Heading1"/>
      </w:pPr>
      <w:r>
        <w:rPr>
          <w:rStyle w:val="SectionNumber"/>
        </w:rPr>
        <w:t xml:space="preserve">5</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7"/>
        </w:numPr>
      </w:pPr>
      <w:r>
        <w:t xml:space="preserve">Модель обслуживания механиков на складе;</w:t>
      </w:r>
    </w:p>
    <w:p>
      <w:pPr>
        <w:numPr>
          <w:ilvl w:val="0"/>
          <w:numId w:val="1007"/>
        </w:numPr>
      </w:pPr>
      <w:r>
        <w:t xml:space="preserve">Модель обслуживания в порту судов двух типов.</w:t>
      </w:r>
    </w:p>
    <w:bookmarkEnd w:id="41"/>
    <w:bookmarkStart w:id="45" w:name="список-литературы"/>
    <w:p>
      <w:pPr>
        <w:pStyle w:val="Heading1"/>
      </w:pPr>
      <w:r>
        <w:t xml:space="preserve">Список литературы</w:t>
      </w:r>
    </w:p>
    <w:bookmarkStart w:id="44" w:name="refs"/>
    <w:bookmarkStart w:id="42" w:name="ref-gpss:bash"/>
    <w:p>
      <w:pPr>
        <w:pStyle w:val="Bibliography"/>
      </w:pPr>
      <w:r>
        <w:t xml:space="preserve">1.</w:t>
      </w:r>
      <w:r>
        <w:t xml:space="preserve"> </w:t>
      </w:r>
      <w:r>
        <w:t xml:space="preserve">	</w:t>
      </w:r>
      <w:r>
        <w:t xml:space="preserve">Королькова А.В., Кулябов Д.С. Имитационное моделирование в GPSS [Электронный ресурс].</w:t>
      </w:r>
    </w:p>
    <w:bookmarkEnd w:id="42"/>
    <w:bookmarkStart w:id="43" w:name="ref-l:bash"/>
    <w:p>
      <w:pPr>
        <w:pStyle w:val="Bibliography"/>
      </w:pPr>
      <w:r>
        <w:t xml:space="preserve">2.</w:t>
      </w:r>
      <w:r>
        <w:t xml:space="preserve"> </w:t>
      </w:r>
      <w:r>
        <w:t xml:space="preserve">	</w:t>
      </w:r>
      <w:r>
        <w:t xml:space="preserve">Королькова А.В., Кулябов Д.С. Лабораторная работа 15. Модели обслуживания с приоритетами [Электронный ресурс].</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Дворкина Ева Владимировна</dc:creator>
  <dc:language>ru-RU</dc:language>
  <cp:keywords/>
  <dcterms:created xsi:type="dcterms:W3CDTF">2025-05-10T13:22:53Z</dcterms:created>
  <dcterms:modified xsi:type="dcterms:W3CDTF">2025-05-10T13:22:53Z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Модели обслуживания с приоритетами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