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62.png" ContentType="image/png"/>
  <Override PartName="/word/media/rId65.png" ContentType="image/png"/>
  <Override PartName="/word/media/rId38.png" ContentType="image/png"/>
  <Override PartName="/word/media/rId41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Пакет GPSS(General Purpose Simulation System — система моделирования общего назначения) предназначен для имитационного моделирования дискретных систем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Имитационная модель в GPSS представляет собой последовательность текстовых строк, каждая из которых определяет правила создания, перемещения, задержки и удаления транзактов.</w:t>
      </w:r>
    </w:p>
    <w:p>
      <w:pPr>
        <w:pStyle w:val="BodyText"/>
      </w:pPr>
      <w:r>
        <w:rPr>
          <w:i/>
          <w:iCs/>
        </w:rPr>
        <w:t xml:space="preserve">Транзакт</w:t>
      </w:r>
      <w:r>
        <w:t xml:space="preserve"> </w:t>
      </w:r>
      <w:r>
        <w:t xml:space="preserve">— динамический объект, отождествляемый с заявкой на обслуживание, который перемещается между элементами системы.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Использованы материалы из</w:t>
      </w:r>
      <w:r>
        <w:t xml:space="preserve"> </w:t>
      </w:r>
      <w:r>
        <w:t xml:space="preserve">[2]</w:t>
      </w:r>
      <w:r>
        <w:t xml:space="preserve">.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3"/>
    <w:bookmarkStart w:id="37" w:name="построение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r>
        <w:drawing>
          <wp:inline>
            <wp:extent cx="3733800" cy="1814691"/>
            <wp:effectExtent b="0" l="0" r="0" t="0"/>
            <wp:docPr descr="Модель первой стратегии обслуживан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r>
        <w:drawing>
          <wp:inline>
            <wp:extent cx="3733800" cy="3625006"/>
            <wp:effectExtent b="0" l="0" r="0" t="0"/>
            <wp:docPr descr="Отчёт по модели первой стратегии обслужи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r>
        <w:drawing>
          <wp:inline>
            <wp:extent cx="3733800" cy="1285345"/>
            <wp:effectExtent b="0" l="0" r="0" t="0"/>
            <wp:docPr descr="Модель второй стратегии обслужи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CaptionedFigure"/>
      </w:pPr>
      <w:r>
        <w:drawing>
          <wp:inline>
            <wp:extent cx="3733800" cy="3444280"/>
            <wp:effectExtent b="0" l="0" r="0" t="0"/>
            <wp:docPr descr="Отчет по модели второй стратегии обслужива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 1).</w:t>
      </w:r>
    </w:p>
    <w:bookmarkStart w:id="36" w:name="tbl:strategy"/>
    <w:p>
      <w:pPr>
        <w:pStyle w:val="TableCaption"/>
      </w:pPr>
      <w:r>
        <w:t xml:space="preserve">Таблица 1: Сравнение стратегий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Сравнение стратегий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bookmarkEnd w:id="36"/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7"/>
    <w:bookmarkStart w:id="74" w:name="Xf93fd02b9c527d9f12f26d897c7ed4444cb9e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r>
        <w:drawing>
          <wp:inline>
            <wp:extent cx="3733800" cy="1568115"/>
            <wp:effectExtent b="0" l="0" r="0" t="0"/>
            <wp:docPr descr="Модель двух стратегий обслуживания с 1 пропускным пунктом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r>
        <w:drawing>
          <wp:inline>
            <wp:extent cx="3733800" cy="3645271"/>
            <wp:effectExtent b="0" l="0" r="0" t="0"/>
            <wp:docPr descr="Отчёт по модели двух стратегий обслуживания с 1 пропускным пунктом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8, 9).</w:t>
      </w:r>
    </w:p>
    <w:p>
      <w:pPr>
        <w:pStyle w:val="CaptionedFigure"/>
      </w:pPr>
      <w:r>
        <w:drawing>
          <wp:inline>
            <wp:extent cx="3733800" cy="2327514"/>
            <wp:effectExtent b="0" l="0" r="0" t="0"/>
            <wp:docPr descr="Модель первой стратегии обслуживания с 3 пропускными пунктами" title="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3444147"/>
            <wp:effectExtent b="0" l="0" r="0" t="0"/>
            <wp:docPr descr="Отчёт по модели первой стратегии обслуживания с 3 пропускными пунктами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1222200"/>
            <wp:effectExtent b="0" l="0" r="0" t="0"/>
            <wp:docPr descr="Отчёт по модели первой стратегии обслуживания с 3 пропускными пунктами" title="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10, 7, 12).</w:t>
      </w:r>
    </w:p>
    <w:p>
      <w:pPr>
        <w:pStyle w:val="CaptionedFigure"/>
      </w:pPr>
      <w:r>
        <w:drawing>
          <wp:inline>
            <wp:extent cx="3733800" cy="2474919"/>
            <wp:effectExtent b="0" l="0" r="0" t="0"/>
            <wp:docPr descr="Модель первой стратегии обслуживания с 4 пропускными пунктами" title="" id="54" name="Picture"/>
            <a:graphic>
              <a:graphicData uri="http://schemas.openxmlformats.org/drawingml/2006/picture">
                <pic:pic>
                  <pic:nvPicPr>
                    <pic:cNvPr descr="image/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3724682"/>
            <wp:effectExtent b="0" l="0" r="0" t="0"/>
            <wp:docPr descr="Отчёт по модели первой стратегии обслуживания с 4 пропускными пунктами" title="" id="57" name="Picture"/>
            <a:graphic>
              <a:graphicData uri="http://schemas.openxmlformats.org/drawingml/2006/picture">
                <pic:pic>
                  <pic:nvPicPr>
                    <pic:cNvPr descr="image/1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Отчёт по модели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1332879"/>
            <wp:effectExtent b="0" l="0" r="0" t="0"/>
            <wp:docPr descr="Отчёт по модели первой стратегии обслуживания с 4 пропускными пунктами" title="" id="60" name="Picture"/>
            <a:graphic>
              <a:graphicData uri="http://schemas.openxmlformats.org/drawingml/2006/picture">
                <pic:pic>
                  <pic:nvPicPr>
                    <pic:cNvPr descr="image/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13, 14).</w:t>
      </w:r>
    </w:p>
    <w:p>
      <w:pPr>
        <w:pStyle w:val="CaptionedFigure"/>
      </w:pPr>
      <w:r>
        <w:drawing>
          <wp:inline>
            <wp:extent cx="3733800" cy="1331581"/>
            <wp:effectExtent b="0" l="0" r="0" t="0"/>
            <wp:docPr descr="Модель второй стратегии обслуживания с 3 пропускными пунктами" title="" id="63" name="Picture"/>
            <a:graphic>
              <a:graphicData uri="http://schemas.openxmlformats.org/drawingml/2006/picture">
                <pic:pic>
                  <pic:nvPicPr>
                    <pic:cNvPr descr="image/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3192536"/>
            <wp:effectExtent b="0" l="0" r="0" t="0"/>
            <wp:docPr descr="Отчёт по модели второй стратегии обслуживания с 3 пропускными пунктами" title="" id="66" name="Picture"/>
            <a:graphic>
              <a:graphicData uri="http://schemas.openxmlformats.org/drawingml/2006/picture">
                <pic:pic>
                  <pic:nvPicPr>
                    <pic:cNvPr descr="image/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15, 16).</w:t>
      </w:r>
    </w:p>
    <w:p>
      <w:pPr>
        <w:pStyle w:val="CaptionedFigure"/>
      </w:pPr>
      <w:r>
        <w:drawing>
          <wp:inline>
            <wp:extent cx="3733800" cy="1475421"/>
            <wp:effectExtent b="0" l="0" r="0" t="0"/>
            <wp:docPr descr="Модель второй стратегии обслуживания с 4 пропускными пунктами" title="" id="69" name="Picture"/>
            <a:graphic>
              <a:graphicData uri="http://schemas.openxmlformats.org/drawingml/2006/picture">
                <pic:pic>
                  <pic:nvPicPr>
                    <pic:cNvPr descr="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3848686"/>
            <wp:effectExtent b="0" l="0" r="0" t="0"/>
            <wp:docPr descr="Отчёт по модели второй стратегии обслуживания с 4 пропускными пунктами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случае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6"/>
        </w:numPr>
      </w:pPr>
      <w:r>
        <w:t xml:space="preserve">модель с двумя очередями;</w:t>
      </w:r>
    </w:p>
    <w:p>
      <w:pPr>
        <w:numPr>
          <w:ilvl w:val="0"/>
          <w:numId w:val="1006"/>
        </w:numPr>
      </w:pPr>
      <w:r>
        <w:t xml:space="preserve">модель с одной очередью;</w:t>
      </w:r>
    </w:p>
    <w:p>
      <w:pPr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76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7" w:name="ref-gps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77"/>
    <w:bookmarkStart w:id="78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16. Задачи оптимизации. Модель двух стратегий обслуживания [Электронный ресурс].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1" Target="media/rId7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Дворкина Ева Владимировна</dc:creator>
  <dc:language>ru-RU</dc:language>
  <cp:keywords/>
  <dcterms:created xsi:type="dcterms:W3CDTF">2025-05-10T17:43:12Z</dcterms:created>
  <dcterms:modified xsi:type="dcterms:W3CDTF">2025-05-10T17:43:12Z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Задачи оптимизации. Модель двух стратегий обслуживания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