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微软雅黑" w:hAnsi="微软雅黑" w:eastAsia="微软雅黑"/>
          <w:b/>
          <w:color w:val="1F4E79"/>
          <w:sz w:val="44"/>
        </w:rPr>
        <w:t>300769 德方纳米</w:t>
      </w:r>
    </w:p>
    <w:p>
      <w:pPr>
        <w:jc w:val="center"/>
      </w:pPr>
      <w:r>
        <w:rPr>
          <w:rFonts w:ascii="微软雅黑" w:hAnsi="微软雅黑" w:eastAsia="微软雅黑"/>
          <w:color w:val="595959"/>
          <w:sz w:val="28"/>
        </w:rPr>
        <w:t>基于交易手册方法论的全链分析报告</w:t>
      </w:r>
    </w:p>
    <w:p>
      <w:pPr>
        <w:spacing w:before="400"/>
        <w:jc w:val="center"/>
      </w:pPr>
      <w:r>
        <w:rPr>
          <w:rFonts w:ascii="微软雅黑" w:hAnsi="微软雅黑" w:eastAsia="微软雅黑"/>
          <w:color w:val="808080"/>
          <w:sz w:val="20"/>
        </w:rPr>
        <w:t>分析日期：2026年4月1日  |  版本：1.0</w:t>
      </w:r>
    </w:p>
    <w:p>
      <w:pPr>
        <w:jc w:val="center"/>
      </w:pPr>
      <w:r>
        <w:rPr>
          <w:rFonts w:ascii="微软雅黑" w:hAnsi="微软雅黑" w:eastAsia="微软雅黑"/>
          <w:color w:val="1F4E79"/>
          <w:sz w:val="18"/>
        </w:rPr>
        <w:t>事实调查 × 政策市分类 × 主力行为识别 × 情绪筹码 × 盈亏比分析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分析框架总览</w:t>
      </w:r>
    </w:p>
    <w:p>
      <w:r>
        <w:rPr>
          <w:rFonts w:ascii="微软雅黑" w:hAnsi="微软雅黑" w:eastAsia="微软雅黑"/>
          <w:b w:val="0"/>
          <w:sz w:val="21"/>
        </w:rPr>
        <w:t>本报告严格遵循《A股不对称战场》交易手册的方法论体系，对300769德方纳米进行系统化分析。分析路径如下：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0"/>
        </w:rPr>
        <w:t>第一步：事实调查（第四章）— 公司背景与信息三层拆解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0"/>
        </w:rPr>
        <w:t>第二步：政策市分类框架（第三章）— 行业类型与政策环境判断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0"/>
        </w:rPr>
        <w:t>第三步：主力行为识别（第五章）— 资金流向与建仓/派发信号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0"/>
        </w:rPr>
        <w:t>第四步：情绪与筹码分析（第六章）— 三维验证体系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0"/>
        </w:rPr>
        <w:t>第五步：反共识+盈亏比分析（第二章）— 核心法则检验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0"/>
        </w:rPr>
        <w:t>第六步：今日走势推演 — 三种路径概率评估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0"/>
        </w:rPr>
        <w:t>第七步：操盘决策清单（第十一章）— 最终决策矩阵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第一步：事实调查（手册第四章）</w:t>
      </w:r>
    </w:p>
    <w:p>
      <w:pPr>
        <w:pStyle w:val="Heading2"/>
      </w:pPr>
      <w:r>
        <w:rPr>
          <w:rFonts w:ascii="微软雅黑" w:hAnsi="微软雅黑" w:eastAsia="微软雅黑"/>
        </w:rPr>
        <w:t>1.1 公司基本信息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4703"/>
        <w:gridCol w:w="4703"/>
      </w:tblGrid>
      <w:tr>
        <w:tc>
          <w:tcPr>
            <w:tcW w:type="dxa" w:w="2551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236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</w:t>
            </w:r>
          </w:p>
        </w:tc>
      </w:tr>
      <w:tr>
        <w:tc>
          <w:tcPr>
            <w:tcW w:type="dxa" w:w="2551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公司全称</w:t>
            </w:r>
          </w:p>
        </w:tc>
        <w:tc>
          <w:tcPr>
            <w:tcW w:type="dxa" w:w="6236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深圳市德方纳米科技股份有限公司</w:t>
            </w:r>
          </w:p>
        </w:tc>
      </w:tr>
      <w:tr>
        <w:tc>
          <w:tcPr>
            <w:tcW w:type="dxa" w:w="2551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股票代码</w:t>
            </w:r>
          </w:p>
        </w:tc>
        <w:tc>
          <w:tcPr>
            <w:tcW w:type="dxa" w:w="6236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300769.SZ（创业板）</w:t>
            </w:r>
          </w:p>
        </w:tc>
      </w:tr>
      <w:tr>
        <w:tc>
          <w:tcPr>
            <w:tcW w:type="dxa" w:w="2551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主营业务</w:t>
            </w:r>
          </w:p>
        </w:tc>
        <w:tc>
          <w:tcPr>
            <w:tcW w:type="dxa" w:w="6236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锂离子电池正极材料（磷酸铁锂）研发、生产、销售</w:t>
            </w:r>
          </w:p>
        </w:tc>
      </w:tr>
      <w:tr>
        <w:tc>
          <w:tcPr>
            <w:tcW w:type="dxa" w:w="2551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上市时间</w:t>
            </w:r>
          </w:p>
        </w:tc>
        <w:tc>
          <w:tcPr>
            <w:tcW w:type="dxa" w:w="6236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2019年4月15日</w:t>
            </w:r>
          </w:p>
        </w:tc>
      </w:tr>
      <w:tr>
        <w:tc>
          <w:tcPr>
            <w:tcW w:type="dxa" w:w="2551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注册资本</w:t>
            </w:r>
          </w:p>
        </w:tc>
        <w:tc>
          <w:tcPr>
            <w:tcW w:type="dxa" w:w="6236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28,018.80万元</w:t>
            </w:r>
          </w:p>
        </w:tc>
      </w:tr>
      <w:tr>
        <w:tc>
          <w:tcPr>
            <w:tcW w:type="dxa" w:w="2551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总股本</w:t>
            </w:r>
          </w:p>
        </w:tc>
        <w:tc>
          <w:tcPr>
            <w:tcW w:type="dxa" w:w="6236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28,018.80万股</w:t>
            </w:r>
          </w:p>
        </w:tc>
      </w:tr>
      <w:tr>
        <w:tc>
          <w:tcPr>
            <w:tcW w:type="dxa" w:w="2551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流通股</w:t>
            </w:r>
          </w:p>
        </w:tc>
        <w:tc>
          <w:tcPr>
            <w:tcW w:type="dxa" w:w="6236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25,175.75万股</w:t>
            </w:r>
          </w:p>
        </w:tc>
      </w:tr>
      <w:tr>
        <w:tc>
          <w:tcPr>
            <w:tcW w:type="dxa" w:w="2551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所属行业</w:t>
            </w:r>
          </w:p>
        </w:tc>
        <w:tc>
          <w:tcPr>
            <w:tcW w:type="dxa" w:w="6236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新能源材料 / 锂电池正极材料</w:t>
            </w:r>
          </w:p>
        </w:tc>
      </w:tr>
      <w:tr>
        <w:tc>
          <w:tcPr>
            <w:tcW w:type="dxa" w:w="2551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主要客户</w:t>
            </w:r>
          </w:p>
        </w:tc>
        <w:tc>
          <w:tcPr>
            <w:tcW w:type="dxa" w:w="6236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宁德时代、比亚迪等头部电池厂商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1.2 最新财务数据（2025年三季报）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3135"/>
        <w:gridCol w:w="3135"/>
        <w:gridCol w:w="3135"/>
      </w:tblGrid>
      <w:tr>
        <w:tc>
          <w:tcPr>
            <w:tcW w:type="dxa" w:w="2551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财务指标</w:t>
            </w:r>
          </w:p>
        </w:tc>
        <w:tc>
          <w:tcPr>
            <w:tcW w:type="dxa" w:w="1984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4252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状态说明</w:t>
            </w:r>
          </w:p>
        </w:tc>
      </w:tr>
      <w:tr>
        <w:tc>
          <w:tcPr>
            <w:tcW w:type="dxa" w:w="2551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每股收益(TTM)</w:t>
            </w:r>
          </w:p>
        </w:tc>
        <w:tc>
          <w:tcPr>
            <w:tcW w:type="dxa" w:w="198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-1.94元</w:t>
            </w:r>
          </w:p>
        </w:tc>
        <w:tc>
          <w:tcPr>
            <w:tcW w:type="dxa" w:w="425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亏损状态</w:t>
            </w:r>
          </w:p>
        </w:tc>
      </w:tr>
      <w:tr>
        <w:tc>
          <w:tcPr>
            <w:tcW w:type="dxa" w:w="2551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每股净资产</w:t>
            </w:r>
          </w:p>
        </w:tc>
        <w:tc>
          <w:tcPr>
            <w:tcW w:type="dxa" w:w="1984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18.56元</w:t>
            </w:r>
          </w:p>
        </w:tc>
        <w:tc>
          <w:tcPr>
            <w:tcW w:type="dxa" w:w="425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资产基础尚可</w:t>
            </w:r>
          </w:p>
        </w:tc>
      </w:tr>
      <w:tr>
        <w:tc>
          <w:tcPr>
            <w:tcW w:type="dxa" w:w="2551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净资产收益率</w:t>
            </w:r>
          </w:p>
        </w:tc>
        <w:tc>
          <w:tcPr>
            <w:tcW w:type="dxa" w:w="198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-10.46%</w:t>
            </w:r>
          </w:p>
        </w:tc>
        <w:tc>
          <w:tcPr>
            <w:tcW w:type="dxa" w:w="425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资产回报为负</w:t>
            </w:r>
          </w:p>
        </w:tc>
      </w:tr>
      <w:tr>
        <w:tc>
          <w:tcPr>
            <w:tcW w:type="dxa" w:w="2551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每股经营现金流</w:t>
            </w:r>
          </w:p>
        </w:tc>
        <w:tc>
          <w:tcPr>
            <w:tcW w:type="dxa" w:w="1984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-3.72元</w:t>
            </w:r>
          </w:p>
        </w:tc>
        <w:tc>
          <w:tcPr>
            <w:tcW w:type="dxa" w:w="425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经营现金流出状态</w:t>
            </w:r>
          </w:p>
        </w:tc>
      </w:tr>
      <w:tr>
        <w:tc>
          <w:tcPr>
            <w:tcW w:type="dxa" w:w="2551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资产负债率</w:t>
            </w:r>
          </w:p>
        </w:tc>
        <w:tc>
          <w:tcPr>
            <w:tcW w:type="dxa" w:w="198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约55%</w:t>
            </w:r>
          </w:p>
        </w:tc>
        <w:tc>
          <w:tcPr>
            <w:tcW w:type="dxa" w:w="425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杠杆适中</w:t>
            </w:r>
          </w:p>
        </w:tc>
      </w:tr>
      <w:tr>
        <w:tc>
          <w:tcPr>
            <w:tcW w:type="dxa" w:w="2551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市净率(PB)</w:t>
            </w:r>
          </w:p>
        </w:tc>
        <w:tc>
          <w:tcPr>
            <w:tcW w:type="dxa" w:w="1984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约2.3-2.4倍</w:t>
            </w:r>
          </w:p>
        </w:tc>
        <w:tc>
          <w:tcPr>
            <w:tcW w:type="dxa" w:w="425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相对净资产溢价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1.3 公告语义三层拆解法</w:t>
      </w:r>
    </w:p>
    <w:p>
      <w:r>
        <w:rPr>
          <w:rFonts w:ascii="微软雅黑" w:hAnsi="微软雅黑" w:eastAsia="微软雅黑"/>
          <w:b/>
          <w:sz w:val="21"/>
        </w:rPr>
        <w:t>按手册第四章方法，对德方纳米当前可获取的公开信息进行三层拆解：</w:t>
      </w:r>
    </w:p>
    <w:p>
      <w:pPr>
        <w:pStyle w:val="Heading3"/>
      </w:pPr>
      <w:r>
        <w:rPr>
          <w:rFonts w:ascii="微软雅黑" w:hAnsi="微软雅黑" w:eastAsia="微软雅黑"/>
        </w:rPr>
        <w:t>第一层：公司说了什么？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0"/>
        </w:rPr>
        <w:t>磷酸铁锂正极材料为主营业务，受新能源车产业链驱动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0"/>
        </w:rPr>
        <w:t>2025年前三季度持续亏损，每股收益-1.94元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0"/>
        </w:rPr>
        <w:t>公司近期为子公司提供担保（3月多次公告）</w:t>
      </w:r>
    </w:p>
    <w:p>
      <w:pPr>
        <w:pStyle w:val="Heading3"/>
      </w:pPr>
      <w:r>
        <w:rPr>
          <w:rFonts w:ascii="微软雅黑" w:hAnsi="微软雅黑" w:eastAsia="微软雅黑"/>
        </w:rPr>
        <w:t>第二层：公司没说什么？（关键缺省）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0"/>
        </w:rPr>
        <w:t>未披露最新订单情况及客户结构变化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0"/>
        </w:rPr>
        <w:t>未披露磷酸铁锂产能利用率及库存水平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0"/>
        </w:rPr>
        <w:t>未披露2026年一季度业绩指引或经营展望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0"/>
        </w:rPr>
        <w:t>未披露技术路线迭代（如磷酸锰铁锂）进展</w:t>
      </w:r>
    </w:p>
    <w:p>
      <w:pPr>
        <w:pStyle w:val="Heading3"/>
      </w:pPr>
      <w:r>
        <w:rPr>
          <w:rFonts w:ascii="微软雅黑" w:hAnsi="微软雅黑" w:eastAsia="微软雅黑"/>
        </w:rPr>
        <w:t>第三层：市场可能怎么误读？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0"/>
        </w:rPr>
        <w:t>散户看到「新能源产业链」→ 误以为是好赛道 → 实际处于产能过剩+价格战阶段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0"/>
        </w:rPr>
        <w:t>散户看到「假跌破后收回」→ 以为主力必然要拉 → 需验证是否只是短期试盘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第二步：政策市分类框架（手册第三章）</w:t>
      </w:r>
    </w:p>
    <w:p>
      <w:pPr>
        <w:pStyle w:val="Heading2"/>
      </w:pPr>
      <w:r>
        <w:rPr>
          <w:rFonts w:ascii="微软雅黑" w:hAnsi="微软雅黑" w:eastAsia="微软雅黑"/>
        </w:rPr>
        <w:t>2.1 行业类型判断流程</w:t>
      </w:r>
    </w:p>
    <w:p>
      <w:r>
        <w:rPr>
          <w:rFonts w:ascii="微软雅黑" w:hAnsi="微软雅黑" w:eastAsia="微软雅黑"/>
          <w:b/>
          <w:sz w:val="21"/>
        </w:rPr>
        <w:t>按手册第三章的判断流程逐项检验：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3135"/>
        <w:gridCol w:w="3135"/>
        <w:gridCol w:w="3135"/>
      </w:tblGrid>
      <w:tr>
        <w:tc>
          <w:tcPr>
            <w:tcW w:type="dxa" w:w="226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判断问题</w:t>
            </w:r>
          </w:p>
        </w:tc>
        <w:tc>
          <w:tcPr>
            <w:tcW w:type="dxa" w:w="1417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结论</w:t>
            </w:r>
          </w:p>
        </w:tc>
        <w:tc>
          <w:tcPr>
            <w:tcW w:type="dxa" w:w="5102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依据</w:t>
            </w:r>
          </w:p>
        </w:tc>
      </w:tr>
      <w:tr>
        <w:tc>
          <w:tcPr>
            <w:tcW w:type="dxa" w:w="2268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涉及民生/三农吗？</w:t>
            </w:r>
          </w:p>
        </w:tc>
        <w:tc>
          <w:tcPr>
            <w:tcW w:type="dxa" w:w="1417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510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新能源车非民生管制行业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政策允许涨价吗？</w:t>
            </w:r>
          </w:p>
        </w:tc>
        <w:tc>
          <w:tcPr>
            <w:tcW w:type="dxa" w:w="1417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有条件允许</w:t>
            </w:r>
          </w:p>
        </w:tc>
        <w:tc>
          <w:tcPr>
            <w:tcW w:type="dxa" w:w="510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国家战略产业，但补贴退坡+产能过剩</w:t>
            </w:r>
          </w:p>
        </w:tc>
      </w:tr>
      <w:tr>
        <w:tc>
          <w:tcPr>
            <w:tcW w:type="dxa" w:w="2268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行业分类</w:t>
            </w:r>
          </w:p>
        </w:tc>
        <w:tc>
          <w:tcPr>
            <w:tcW w:type="dxa" w:w="1417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市场定价型+周期底部</w:t>
            </w:r>
          </w:p>
        </w:tc>
        <w:tc>
          <w:tcPr>
            <w:tcW w:type="dxa" w:w="510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价格由供需决定，当前供过于求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政策催化？</w:t>
            </w:r>
          </w:p>
        </w:tc>
        <w:tc>
          <w:tcPr>
            <w:tcW w:type="dxa" w:w="1417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无专项政策</w:t>
            </w:r>
          </w:p>
        </w:tc>
        <w:tc>
          <w:tcPr>
            <w:tcW w:type="dxa" w:w="510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央行宽松为宏观利好，但行业无专项催化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2.2 宏观政策环境</w:t>
      </w:r>
    </w:p>
    <w:p>
      <w:r>
        <w:rPr>
          <w:rFonts w:ascii="微软雅黑" w:hAnsi="微软雅黑" w:eastAsia="微软雅黑"/>
          <w:b/>
          <w:sz w:val="21"/>
        </w:rPr>
        <w:t>2026年Q1央行货币政策例会核心信号：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0"/>
        </w:rPr>
        <w:t>「继续实施适度宽松的货币政策」→ 利好成长股估值修复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0"/>
        </w:rPr>
        <w:t>「加大逆周期和跨周期调节力度」→ 政府态度偏呵护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0"/>
        </w:rPr>
        <w:t>「促进经济稳定增长和物价合理回升」→ 宽松持续性有保障</w:t>
      </w:r>
    </w:p>
    <w:p>
      <w:pPr>
        <w:pStyle w:val="Heading2"/>
      </w:pPr>
      <w:r>
        <w:rPr>
          <w:rFonts w:ascii="微软雅黑" w:hAnsi="微软雅黑" w:eastAsia="微软雅黑"/>
        </w:rPr>
        <w:t>2.3 政策面综合判断</w:t>
      </w:r>
    </w:p>
    <w:p>
      <w:r>
        <w:rPr>
          <w:rFonts w:ascii="微软雅黑" w:hAnsi="微软雅黑" w:eastAsia="微软雅黑"/>
          <w:b/>
          <w:color w:val="1F4E79"/>
          <w:sz w:val="22"/>
        </w:rPr>
        <w:t>结论：中性偏正。</w:t>
      </w:r>
    </w:p>
    <w:p>
      <w:r>
        <w:rPr>
          <w:rFonts w:ascii="微软雅黑" w:hAnsi="微软雅黑" w:eastAsia="微软雅黑"/>
          <w:b w:val="0"/>
          <w:sz w:val="21"/>
        </w:rPr>
        <w:t>宏观环境友好，有利于估值修复；但锂电池行业无专项政策催化，短期缺乏基本面引爆点。属于「可以做，但不能急」的状态。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第三步：主力行为识别（手册第五章）</w:t>
      </w:r>
    </w:p>
    <w:p>
      <w:pPr>
        <w:pStyle w:val="Heading2"/>
      </w:pPr>
      <w:r>
        <w:rPr>
          <w:rFonts w:ascii="微软雅黑" w:hAnsi="微软雅黑" w:eastAsia="微软雅黑"/>
        </w:rPr>
        <w:t>3.1 3月31日盘面行为分析</w:t>
      </w:r>
    </w:p>
    <w:p>
      <w:r>
        <w:rPr>
          <w:rFonts w:ascii="微软雅黑" w:hAnsi="微软雅黑" w:eastAsia="微软雅黑"/>
          <w:b/>
          <w:sz w:val="21"/>
        </w:rPr>
        <w:t>交易手册案例三记录了3月31日的盘面行为：</w:t>
      </w:r>
    </w:p>
    <w:p>
      <w:pPr>
        <w:ind w:left="454"/>
      </w:pPr>
      <w:r>
        <w:rPr>
          <w:rFonts w:ascii="微软雅黑" w:hAnsi="微软雅黑" w:eastAsia="微软雅黑"/>
          <w:i/>
          <w:color w:val="595959"/>
          <w:sz w:val="21"/>
        </w:rPr>
        <w:t>「43.92元击穿44元后3分钟内收回（假跌破），444手大单主动买入，判断为洗盘吸筹行为。」</w:t>
      </w:r>
    </w:p>
    <w:p>
      <w:pPr>
        <w:pStyle w:val="Heading2"/>
      </w:pPr>
      <w:r>
        <w:rPr>
          <w:rFonts w:ascii="微软雅黑" w:hAnsi="微软雅黑" w:eastAsia="微软雅黑"/>
        </w:rPr>
        <w:t>3.2 主力建仓痕迹验证（手册5.2节）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3135"/>
        <w:gridCol w:w="3135"/>
        <w:gridCol w:w="3135"/>
      </w:tblGrid>
      <w:tr>
        <w:tc>
          <w:tcPr>
            <w:tcW w:type="dxa" w:w="1984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手册指标</w:t>
            </w:r>
          </w:p>
        </w:tc>
        <w:tc>
          <w:tcPr>
            <w:tcW w:type="dxa" w:w="3402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3月31日表现</w:t>
            </w:r>
          </w:p>
        </w:tc>
        <w:tc>
          <w:tcPr>
            <w:tcW w:type="dxa" w:w="311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判断</w:t>
            </w:r>
          </w:p>
        </w:tc>
      </w:tr>
      <w:tr>
        <w:tc>
          <w:tcPr>
            <w:tcW w:type="dxa" w:w="1984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低位温和放量</w:t>
            </w:r>
          </w:p>
        </w:tc>
        <w:tc>
          <w:tcPr>
            <w:tcW w:type="dxa" w:w="340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假跌破后快速收回，伴随放量</w:t>
            </w:r>
          </w:p>
        </w:tc>
        <w:tc>
          <w:tcPr>
            <w:tcW w:type="dxa" w:w="3118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符合洗盘特征</w:t>
            </w:r>
          </w:p>
        </w:tc>
      </w:tr>
      <w:tr>
        <w:tc>
          <w:tcPr>
            <w:tcW w:type="dxa" w:w="198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利空不跌</w:t>
            </w:r>
          </w:p>
        </w:tc>
        <w:tc>
          <w:tcPr>
            <w:tcW w:type="dxa" w:w="340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指数偏弱时个股未深跌</w:t>
            </w:r>
          </w:p>
        </w:tc>
        <w:tc>
          <w:tcPr>
            <w:tcW w:type="dxa" w:w="311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⚠️ 待进一步验证</w:t>
            </w:r>
          </w:p>
        </w:tc>
      </w:tr>
      <w:tr>
        <w:tc>
          <w:tcPr>
            <w:tcW w:type="dxa" w:w="1984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大单净流入</w:t>
            </w:r>
          </w:p>
        </w:tc>
        <w:tc>
          <w:tcPr>
            <w:tcW w:type="dxa" w:w="340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444手主动买入（约200万元）</w:t>
            </w:r>
          </w:p>
        </w:tc>
        <w:tc>
          <w:tcPr>
            <w:tcW w:type="dxa" w:w="3118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⚠️ 量级偏小，仅为试盘信号</w:t>
            </w:r>
          </w:p>
        </w:tc>
      </w:tr>
      <w:tr>
        <w:tc>
          <w:tcPr>
            <w:tcW w:type="dxa" w:w="198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筹码集中度</w:t>
            </w:r>
          </w:p>
        </w:tc>
        <w:tc>
          <w:tcPr>
            <w:tcW w:type="dxa" w:w="340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需查看最新股东人数变化</w:t>
            </w:r>
          </w:p>
        </w:tc>
        <w:tc>
          <w:tcPr>
            <w:tcW w:type="dxa" w:w="311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❌ 数据不足，无法确认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3.3 主力行为初步结论</w:t>
      </w:r>
    </w:p>
    <w:p>
      <w:r>
        <w:rPr>
          <w:rFonts w:ascii="微软雅黑" w:hAnsi="微软雅黑" w:eastAsia="微软雅黑"/>
          <w:b/>
          <w:color w:val="C0504D"/>
          <w:sz w:val="22"/>
        </w:rPr>
        <w:t>判断：信号存在但未确认。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0"/>
        </w:rPr>
        <w:t>3月31日假跌破44元 → 手册定义的典型洗盘手法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0"/>
        </w:rPr>
        <w:t>但444手大单量级偏小（约200万）→ 可能是小主力试盘，或大主力的试探性动作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0"/>
        </w:rPr>
        <w:t>不能仅凭单日行为下结论 → 需连续3-5日资金流向确认是建仓还是试盘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第四步：情绪与筹码分析（手册第六章）</w:t>
      </w:r>
    </w:p>
    <w:p>
      <w:pPr>
        <w:pStyle w:val="Heading2"/>
      </w:pPr>
      <w:r>
        <w:rPr>
          <w:rFonts w:ascii="微软雅黑" w:hAnsi="微软雅黑" w:eastAsia="微软雅黑"/>
        </w:rPr>
        <w:t>4.1 三维验证体系（手册6.3节）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3135"/>
        <w:gridCol w:w="3135"/>
        <w:gridCol w:w="3135"/>
      </w:tblGrid>
      <w:tr>
        <w:tc>
          <w:tcPr>
            <w:tcW w:type="dxa" w:w="1417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969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当前状态</w:t>
            </w:r>
          </w:p>
        </w:tc>
        <w:tc>
          <w:tcPr>
            <w:tcW w:type="dxa" w:w="311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手册判断</w:t>
            </w:r>
          </w:p>
        </w:tc>
      </w:tr>
      <w:tr>
        <w:tc>
          <w:tcPr>
            <w:tcW w:type="dxa" w:w="1417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① 情绪面</w:t>
            </w:r>
          </w:p>
        </w:tc>
        <w:tc>
          <w:tcPr>
            <w:tcW w:type="dxa" w:w="3969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散户注意力被「美股暴涨」吸引，对德方纳米关注度低；该股连续下跌+亏损，散户普遍回避</w:t>
            </w:r>
          </w:p>
        </w:tc>
        <w:tc>
          <w:tcPr>
            <w:tcW w:type="dxa" w:w="3118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符合「恐惧/冷淡」条件 — 反面指标达标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② 资金面</w:t>
            </w:r>
          </w:p>
        </w:tc>
        <w:tc>
          <w:tcPr>
            <w:tcW w:type="dxa" w:w="3969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3月31日两市融资余额减少81.57亿，杠杆资金整体撤退</w:t>
            </w:r>
          </w:p>
        </w:tc>
        <w:tc>
          <w:tcPr>
            <w:tcW w:type="dxa" w:w="311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⚠️ 杠杆资金撤退对创业板高弹性标的有压力</w:t>
            </w:r>
          </w:p>
        </w:tc>
      </w:tr>
      <w:tr>
        <w:tc>
          <w:tcPr>
            <w:tcW w:type="dxa" w:w="1417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③ 筹码面</w:t>
            </w:r>
          </w:p>
        </w:tc>
        <w:tc>
          <w:tcPr>
            <w:tcW w:type="dxa" w:w="3969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当前价约43-45元，每股净资产18.56元，PB约2.3倍；亏损状态PE无参考意义</w:t>
            </w:r>
          </w:p>
        </w:tc>
        <w:tc>
          <w:tcPr>
            <w:tcW w:type="dxa" w:w="3118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⚠️ 筹码分布需结合K线图具体分析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4.2 情绪反向指标检验（手册法则1+3）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3135"/>
        <w:gridCol w:w="3135"/>
        <w:gridCol w:w="3135"/>
      </w:tblGrid>
      <w:tr>
        <w:tc>
          <w:tcPr>
            <w:tcW w:type="dxa" w:w="2835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1417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252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手册对应</w:t>
            </w:r>
          </w:p>
        </w:tc>
      </w:tr>
      <w:tr>
        <w:tc>
          <w:tcPr>
            <w:tcW w:type="dxa" w:w="2835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散户对德方纳米恐惧吗？</w:t>
            </w:r>
          </w:p>
        </w:tc>
        <w:tc>
          <w:tcPr>
            <w:tcW w:type="dxa" w:w="1417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是</w:t>
            </w:r>
          </w:p>
        </w:tc>
        <w:tc>
          <w:tcPr>
            <w:tcW w:type="dxa" w:w="425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法则4：机会出现在恐惧时</w:t>
            </w:r>
          </w:p>
        </w:tc>
      </w:tr>
      <w:tr>
        <w:tc>
          <w:tcPr>
            <w:tcW w:type="dxa" w:w="2835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散户对该股不耐烦吗？</w:t>
            </w:r>
          </w:p>
        </w:tc>
        <w:tc>
          <w:tcPr>
            <w:tcW w:type="dxa" w:w="1417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是</w:t>
            </w:r>
          </w:p>
        </w:tc>
        <w:tc>
          <w:tcPr>
            <w:tcW w:type="dxa" w:w="425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套牢者想割肉，空仓者不敢碰</w:t>
            </w:r>
          </w:p>
        </w:tc>
      </w:tr>
      <w:tr>
        <w:tc>
          <w:tcPr>
            <w:tcW w:type="dxa" w:w="2835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大盘共识利好该股吗？</w:t>
            </w:r>
          </w:p>
        </w:tc>
        <w:tc>
          <w:tcPr>
            <w:tcW w:type="dxa" w:w="1417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❌ 否</w:t>
            </w:r>
          </w:p>
        </w:tc>
        <w:tc>
          <w:tcPr>
            <w:tcW w:type="dxa" w:w="425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大盘共识追「美股映射」，不追锂电池</w:t>
            </w:r>
          </w:p>
        </w:tc>
      </w:tr>
      <w:tr>
        <w:tc>
          <w:tcPr>
            <w:tcW w:type="dxa" w:w="2835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当前是否反共识机会？</w:t>
            </w:r>
          </w:p>
        </w:tc>
        <w:tc>
          <w:tcPr>
            <w:tcW w:type="dxa" w:w="1417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是</w:t>
            </w:r>
          </w:p>
        </w:tc>
        <w:tc>
          <w:tcPr>
            <w:tcW w:type="dxa" w:w="425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所有人追美股映射时，锂电池无人关注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4.3 情绪面综合判断</w:t>
      </w:r>
    </w:p>
    <w:p>
      <w:r>
        <w:rPr>
          <w:rFonts w:ascii="微软雅黑" w:hAnsi="微软雅黑" w:eastAsia="微软雅黑"/>
          <w:b/>
          <w:color w:val="1F4E79"/>
          <w:sz w:val="22"/>
        </w:rPr>
        <w:t>结论：情绪面达标。</w:t>
      </w:r>
    </w:p>
    <w:p>
      <w:r>
        <w:rPr>
          <w:rFonts w:ascii="微软雅黑" w:hAnsi="微软雅黑" w:eastAsia="微软雅黑"/>
          <w:b w:val="0"/>
          <w:sz w:val="21"/>
        </w:rPr>
        <w:t>德方纳米当前处于散户恐惧+冷淡状态，完全符合手册法则4的「恐惧时建仓」条件。这是该股最具吸引力的分析维度。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第五步：反共识+盈亏比分析（手册第二章）</w:t>
      </w:r>
    </w:p>
    <w:p>
      <w:pPr>
        <w:pStyle w:val="Heading2"/>
      </w:pPr>
      <w:r>
        <w:rPr>
          <w:rFonts w:ascii="微软雅黑" w:hAnsi="微软雅黑" w:eastAsia="微软雅黑"/>
        </w:rPr>
        <w:t>5.1 盈亏比估算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587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1020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建仓价</w:t>
            </w:r>
          </w:p>
        </w:tc>
        <w:tc>
          <w:tcPr>
            <w:tcW w:type="dxa" w:w="1020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止损位</w:t>
            </w:r>
          </w:p>
        </w:tc>
        <w:tc>
          <w:tcPr>
            <w:tcW w:type="dxa" w:w="1247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下跌空间</w:t>
            </w:r>
          </w:p>
        </w:tc>
        <w:tc>
          <w:tcPr>
            <w:tcW w:type="dxa" w:w="1020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目标位</w:t>
            </w:r>
          </w:p>
        </w:tc>
        <w:tc>
          <w:tcPr>
            <w:tcW w:type="dxa" w:w="1247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上涨空间</w:t>
            </w:r>
          </w:p>
        </w:tc>
        <w:tc>
          <w:tcPr>
            <w:tcW w:type="dxa" w:w="1361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盈亏比</w:t>
            </w:r>
          </w:p>
        </w:tc>
      </w:tr>
      <w:tr>
        <w:tc>
          <w:tcPr>
            <w:tcW w:type="dxa" w:w="1587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当前价建仓</w:t>
            </w:r>
          </w:p>
        </w:tc>
        <w:tc>
          <w:tcPr>
            <w:tcW w:type="dxa" w:w="102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44元</w:t>
            </w:r>
          </w:p>
        </w:tc>
        <w:tc>
          <w:tcPr>
            <w:tcW w:type="dxa" w:w="102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40元</w:t>
            </w:r>
          </w:p>
        </w:tc>
        <w:tc>
          <w:tcPr>
            <w:tcW w:type="dxa" w:w="1247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9.1%</w:t>
            </w:r>
          </w:p>
        </w:tc>
        <w:tc>
          <w:tcPr>
            <w:tcW w:type="dxa" w:w="102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50元</w:t>
            </w:r>
          </w:p>
        </w:tc>
        <w:tc>
          <w:tcPr>
            <w:tcW w:type="dxa" w:w="1247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13.6%</w:t>
            </w:r>
          </w:p>
        </w:tc>
        <w:tc>
          <w:tcPr>
            <w:tcW w:type="dxa" w:w="1361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1.5:1 ❌</w:t>
            </w:r>
          </w:p>
        </w:tc>
      </w:tr>
      <w:tr>
        <w:tc>
          <w:tcPr>
            <w:tcW w:type="dxa" w:w="1587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回调建仓</w:t>
            </w:r>
          </w:p>
        </w:tc>
        <w:tc>
          <w:tcPr>
            <w:tcW w:type="dxa" w:w="102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42元</w:t>
            </w:r>
          </w:p>
        </w:tc>
        <w:tc>
          <w:tcPr>
            <w:tcW w:type="dxa" w:w="102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38元</w:t>
            </w:r>
          </w:p>
        </w:tc>
        <w:tc>
          <w:tcPr>
            <w:tcW w:type="dxa" w:w="1247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9.5%</w:t>
            </w:r>
          </w:p>
        </w:tc>
        <w:tc>
          <w:tcPr>
            <w:tcW w:type="dxa" w:w="102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50元</w:t>
            </w:r>
          </w:p>
        </w:tc>
        <w:tc>
          <w:tcPr>
            <w:tcW w:type="dxa" w:w="1247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19.0%</w:t>
            </w:r>
          </w:p>
        </w:tc>
        <w:tc>
          <w:tcPr>
            <w:tcW w:type="dxa" w:w="1361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2.0:1 ⚠️</w:t>
            </w:r>
          </w:p>
        </w:tc>
      </w:tr>
      <w:tr>
        <w:tc>
          <w:tcPr>
            <w:tcW w:type="dxa" w:w="1587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深度回调建仓</w:t>
            </w:r>
          </w:p>
        </w:tc>
        <w:tc>
          <w:tcPr>
            <w:tcW w:type="dxa" w:w="102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40元</w:t>
            </w:r>
          </w:p>
        </w:tc>
        <w:tc>
          <w:tcPr>
            <w:tcW w:type="dxa" w:w="102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36元</w:t>
            </w:r>
          </w:p>
        </w:tc>
        <w:tc>
          <w:tcPr>
            <w:tcW w:type="dxa" w:w="1247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10.0%</w:t>
            </w:r>
          </w:p>
        </w:tc>
        <w:tc>
          <w:tcPr>
            <w:tcW w:type="dxa" w:w="102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50元</w:t>
            </w:r>
          </w:p>
        </w:tc>
        <w:tc>
          <w:tcPr>
            <w:tcW w:type="dxa" w:w="1247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25.0%</w:t>
            </w:r>
          </w:p>
        </w:tc>
        <w:tc>
          <w:tcPr>
            <w:tcW w:type="dxa" w:w="1361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2.5:1 ✅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5.2 盈亏比结论</w:t>
      </w:r>
    </w:p>
    <w:p>
      <w:r>
        <w:rPr>
          <w:rFonts w:ascii="微软雅黑" w:hAnsi="微软雅黑" w:eastAsia="微软雅黑"/>
          <w:b/>
        </w:rPr>
        <w:t>当前价44元建仓：盈亏比不达标（1.5:1 &lt; 2:1）。</w:t>
      </w:r>
    </w:p>
    <w:p>
      <w:r>
        <w:rPr>
          <w:rFonts w:ascii="微软雅黑" w:hAnsi="微软雅黑" w:eastAsia="微软雅黑"/>
          <w:b/>
          <w:color w:val="1F4E79"/>
        </w:rPr>
        <w:t>等40-42元建仓：盈亏比达标（2.0-2.5:1）。</w:t>
      </w:r>
    </w:p>
    <w:p>
      <w:r>
        <w:rPr>
          <w:rFonts w:ascii="微软雅黑" w:hAnsi="微软雅黑" w:eastAsia="微软雅黑"/>
          <w:b w:val="0"/>
          <w:sz w:val="21"/>
        </w:rPr>
        <w:t>手册法则5：「高盈亏比只存在于恐惧不耐烦之中。」当前情绪面已满足恐惧条件，但价格尚未到达高盈亏比区间。耐心等待。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第六步：4月1日走势推演</w:t>
      </w:r>
    </w:p>
    <w:p>
      <w:pPr>
        <w:pStyle w:val="Heading2"/>
      </w:pPr>
      <w:r>
        <w:rPr>
          <w:rFonts w:ascii="微软雅黑" w:hAnsi="微软雅黑" w:eastAsia="微软雅黑"/>
        </w:rPr>
        <w:t>6.1 大盘环境对德方纳米的影响路径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美股暴涨 → 散户追「美股映射」标的（AI、半导体、科技）→ 资金从非热点板块流出 → 德方纳米不属于「美股映射」阵营 → 可能被抽血</w:t>
      </w:r>
    </w:p>
    <w:p>
      <w:pPr>
        <w:pStyle w:val="Heading2"/>
      </w:pPr>
      <w:r>
        <w:rPr>
          <w:rFonts w:ascii="微软雅黑" w:hAnsi="微软雅黑" w:eastAsia="微软雅黑"/>
        </w:rPr>
        <w:t>6.2 三种走势概率评估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走势</w:t>
            </w:r>
          </w:p>
        </w:tc>
        <w:tc>
          <w:tcPr>
            <w:tcW w:type="dxa" w:w="850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概率</w:t>
            </w:r>
          </w:p>
        </w:tc>
        <w:tc>
          <w:tcPr>
            <w:tcW w:type="dxa" w:w="3402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路径描述</w:t>
            </w:r>
          </w:p>
        </w:tc>
        <w:tc>
          <w:tcPr>
            <w:tcW w:type="dxa" w:w="311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手册解读</w:t>
            </w:r>
          </w:p>
        </w:tc>
      </w:tr>
      <w:tr>
        <w:tc>
          <w:tcPr>
            <w:tcW w:type="dxa" w:w="1417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 高开低走</w:t>
            </w:r>
          </w:p>
        </w:tc>
        <w:tc>
          <w:tcPr>
            <w:tcW w:type="dxa" w:w="85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45%</w:t>
            </w:r>
          </w:p>
        </w:tc>
        <w:tc>
          <w:tcPr>
            <w:tcW w:type="dxa" w:w="340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大盘高开，资金追科技/半导体；德方纳米小幅高开后走弱，回落至43-44元</w:t>
            </w:r>
          </w:p>
        </w:tc>
        <w:tc>
          <w:tcPr>
            <w:tcW w:type="dxa" w:w="3118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洗盘延续，主力借机收集筹码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 跟随上行</w:t>
            </w:r>
          </w:p>
        </w:tc>
        <w:tc>
          <w:tcPr>
            <w:tcW w:type="dxa" w:w="85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30%</w:t>
            </w:r>
          </w:p>
        </w:tc>
        <w:tc>
          <w:tcPr>
            <w:tcW w:type="dxa" w:w="340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大盘高开高走且持续性强，创业板整体上行；德方纳米跟涨至46-47元</w:t>
            </w:r>
          </w:p>
        </w:tc>
        <w:tc>
          <w:tcPr>
            <w:tcW w:type="dxa" w:w="311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被动跟涨，量能不足则不具持续性</w:t>
            </w:r>
          </w:p>
        </w:tc>
      </w:tr>
      <w:tr>
        <w:tc>
          <w:tcPr>
            <w:tcW w:type="dxa" w:w="1417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 假跌破洗盘</w:t>
            </w:r>
          </w:p>
        </w:tc>
        <w:tc>
          <w:tcPr>
            <w:tcW w:type="dxa" w:w="85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25%</w:t>
            </w:r>
          </w:p>
        </w:tc>
        <w:tc>
          <w:tcPr>
            <w:tcW w:type="dxa" w:w="340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主力借大盘高开制造「该涨不涨」的失望情绪，盘中再次试探43-44元支撑</w:t>
            </w:r>
          </w:p>
        </w:tc>
        <w:tc>
          <w:tcPr>
            <w:tcW w:type="dxa" w:w="3118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若再次假跌破后快速收回 → 强化买入信号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6.3 走势判断核心逻辑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0"/>
        </w:rPr>
        <w:t>走势A概率最大：因为今天市场注意力在「美股映射」，不在锂电池，被动抽血是正常反应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0"/>
        </w:rPr>
        <w:t>走势C最值得关注：如果出现「该涨不涨」的假跌破，是手册法则4定义的最佳建仓信号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0"/>
        </w:rPr>
        <w:t>走势B最危险：被动跟涨最容易让人追高，追高后一旦量能萎缩就会被套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第七步：操盘决策清单（手册第十一章）</w:t>
      </w:r>
    </w:p>
    <w:p>
      <w:pPr>
        <w:pStyle w:val="Heading2"/>
      </w:pPr>
      <w:r>
        <w:rPr>
          <w:rFonts w:ascii="微软雅黑" w:hAnsi="微软雅黑" w:eastAsia="微软雅黑"/>
        </w:rPr>
        <w:t>7.1 决策矩阵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3135"/>
        <w:gridCol w:w="3135"/>
        <w:gridCol w:w="3135"/>
      </w:tblGrid>
      <w:tr>
        <w:tc>
          <w:tcPr>
            <w:tcW w:type="dxa" w:w="226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手册检查项</w:t>
            </w:r>
          </w:p>
        </w:tc>
        <w:tc>
          <w:tcPr>
            <w:tcW w:type="dxa" w:w="1134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5386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详细说明</w:t>
            </w:r>
          </w:p>
        </w:tc>
      </w:tr>
      <w:tr>
        <w:tc>
          <w:tcPr>
            <w:tcW w:type="dxa" w:w="2268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政策允许上涨？</w:t>
            </w:r>
          </w:p>
        </w:tc>
        <w:tc>
          <w:tcPr>
            <w:tcW w:type="dxa" w:w="113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  <w:tc>
          <w:tcPr>
            <w:tcW w:type="dxa" w:w="5386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宏观宽松，行业无政策打压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情绪恐惧/不耐烦？</w:t>
            </w:r>
          </w:p>
        </w:tc>
        <w:tc>
          <w:tcPr>
            <w:tcW w:type="dxa" w:w="1134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  <w:tc>
          <w:tcPr>
            <w:tcW w:type="dxa" w:w="5386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散户对该股冷淡+恐惧</w:t>
            </w:r>
          </w:p>
        </w:tc>
      </w:tr>
      <w:tr>
        <w:tc>
          <w:tcPr>
            <w:tcW w:type="dxa" w:w="2268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盈亏比 &gt; 2:1？</w:t>
            </w:r>
          </w:p>
        </w:tc>
        <w:tc>
          <w:tcPr>
            <w:tcW w:type="dxa" w:w="113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❌ 未达标</w:t>
            </w:r>
          </w:p>
        </w:tc>
        <w:tc>
          <w:tcPr>
            <w:tcW w:type="dxa" w:w="5386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当前价44元盈亏比仅1.5:1；40-42元才达标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有明确止损位？</w:t>
            </w:r>
          </w:p>
        </w:tc>
        <w:tc>
          <w:tcPr>
            <w:tcW w:type="dxa" w:w="1134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  <w:tc>
          <w:tcPr>
            <w:tcW w:type="dxa" w:w="5386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40元跌破→38元硬止损</w:t>
            </w:r>
          </w:p>
        </w:tc>
      </w:tr>
      <w:tr>
        <w:tc>
          <w:tcPr>
            <w:tcW w:type="dxa" w:w="2268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消息经验证？</w:t>
            </w:r>
          </w:p>
        </w:tc>
        <w:tc>
          <w:tcPr>
            <w:tcW w:type="dxa" w:w="113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⚠️ 中性</w:t>
            </w:r>
          </w:p>
        </w:tc>
        <w:tc>
          <w:tcPr>
            <w:tcW w:type="dxa" w:w="5386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无重大催化，非利好非利空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主力建仓痕迹？</w:t>
            </w:r>
          </w:p>
        </w:tc>
        <w:tc>
          <w:tcPr>
            <w:tcW w:type="dxa" w:w="1134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⚠️ 待确认</w:t>
            </w:r>
          </w:p>
        </w:tc>
        <w:tc>
          <w:tcPr>
            <w:tcW w:type="dxa" w:w="5386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3月31日有信号但需连续性验证</w:t>
            </w:r>
          </w:p>
        </w:tc>
      </w:tr>
      <w:tr>
        <w:tc>
          <w:tcPr>
            <w:tcW w:type="dxa" w:w="2268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在10-50元机会窗口？</w:t>
            </w:r>
          </w:p>
        </w:tc>
        <w:tc>
          <w:tcPr>
            <w:tcW w:type="dxa" w:w="113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通过</w:t>
            </w:r>
          </w:p>
        </w:tc>
        <w:tc>
          <w:tcPr>
            <w:tcW w:type="dxa" w:w="5386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44元在手册定义的核心区间内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7.2 综合评分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1984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得分（10分制）</w:t>
            </w:r>
          </w:p>
        </w:tc>
        <w:tc>
          <w:tcPr>
            <w:tcW w:type="dxa" w:w="1417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权重</w:t>
            </w:r>
          </w:p>
        </w:tc>
        <w:tc>
          <w:tcPr>
            <w:tcW w:type="dxa" w:w="311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加权得分</w:t>
            </w:r>
          </w:p>
        </w:tc>
      </w:tr>
      <w:tr>
        <w:tc>
          <w:tcPr>
            <w:tcW w:type="dxa" w:w="1984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政策环境</w:t>
            </w:r>
          </w:p>
        </w:tc>
        <w:tc>
          <w:tcPr>
            <w:tcW w:type="dxa" w:w="198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417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  <w:tc>
          <w:tcPr>
            <w:tcW w:type="dxa" w:w="3118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1.05</w:t>
            </w:r>
          </w:p>
        </w:tc>
      </w:tr>
      <w:tr>
        <w:tc>
          <w:tcPr>
            <w:tcW w:type="dxa" w:w="198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情绪面</w:t>
            </w:r>
          </w:p>
        </w:tc>
        <w:tc>
          <w:tcPr>
            <w:tcW w:type="dxa" w:w="1984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417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25%</w:t>
            </w:r>
          </w:p>
        </w:tc>
        <w:tc>
          <w:tcPr>
            <w:tcW w:type="dxa" w:w="311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2.00</w:t>
            </w:r>
          </w:p>
        </w:tc>
      </w:tr>
      <w:tr>
        <w:tc>
          <w:tcPr>
            <w:tcW w:type="dxa" w:w="1984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盈亏比</w:t>
            </w:r>
          </w:p>
        </w:tc>
        <w:tc>
          <w:tcPr>
            <w:tcW w:type="dxa" w:w="198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417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25%</w:t>
            </w:r>
          </w:p>
        </w:tc>
        <w:tc>
          <w:tcPr>
            <w:tcW w:type="dxa" w:w="3118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1.25</w:t>
            </w:r>
          </w:p>
        </w:tc>
      </w:tr>
      <w:tr>
        <w:tc>
          <w:tcPr>
            <w:tcW w:type="dxa" w:w="198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主力行为</w:t>
            </w:r>
          </w:p>
        </w:tc>
        <w:tc>
          <w:tcPr>
            <w:tcW w:type="dxa" w:w="1984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417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  <w:tc>
          <w:tcPr>
            <w:tcW w:type="dxa" w:w="311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1.20</w:t>
            </w:r>
          </w:p>
        </w:tc>
      </w:tr>
      <w:tr>
        <w:tc>
          <w:tcPr>
            <w:tcW w:type="dxa" w:w="1984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消息催化</w:t>
            </w:r>
          </w:p>
        </w:tc>
        <w:tc>
          <w:tcPr>
            <w:tcW w:type="dxa" w:w="198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417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  <w:tc>
          <w:tcPr>
            <w:tcW w:type="dxa" w:w="3118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0.60</w:t>
            </w:r>
          </w:p>
        </w:tc>
      </w:tr>
      <w:tr>
        <w:tc>
          <w:tcPr>
            <w:tcW w:type="dxa" w:w="198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综合得分</w:t>
            </w:r>
          </w:p>
        </w:tc>
        <w:tc>
          <w:tcPr>
            <w:tcW w:type="dxa" w:w="1984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6.1 / 10</w:t>
            </w:r>
          </w:p>
        </w:tc>
        <w:tc>
          <w:tcPr>
            <w:tcW w:type="dxa" w:w="1417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311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未达建仓标准（7分）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7.3 最终操作策略</w:t>
      </w:r>
    </w:p>
    <w:p>
      <w:r>
        <w:rPr>
          <w:rFonts w:ascii="微软雅黑" w:hAnsi="微软雅黑" w:eastAsia="微软雅黑"/>
          <w:b/>
          <w:color w:val="C0504D"/>
          <w:sz w:val="26"/>
        </w:rPr>
        <w:t>结论：今日不建仓。关注但不动手。</w:t>
      </w:r>
    </w:p>
    <w:p/>
    <w:p>
      <w:pPr>
        <w:pStyle w:val="Heading3"/>
      </w:pPr>
      <w:r>
        <w:rPr>
          <w:rFonts w:ascii="微软雅黑" w:hAnsi="微软雅黑" w:eastAsia="微软雅黑"/>
        </w:rPr>
        <w:t>具体操作计划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2351"/>
        <w:gridCol w:w="2351"/>
        <w:gridCol w:w="2351"/>
        <w:gridCol w:w="2351"/>
      </w:tblGrid>
      <w:tr>
        <w:tc>
          <w:tcPr>
            <w:tcW w:type="dxa" w:w="311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情景</w:t>
            </w:r>
          </w:p>
        </w:tc>
        <w:tc>
          <w:tcPr>
            <w:tcW w:type="dxa" w:w="1984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1417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仓位</w:t>
            </w:r>
          </w:p>
        </w:tc>
        <w:tc>
          <w:tcPr>
            <w:tcW w:type="dxa" w:w="1984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止损</w:t>
            </w:r>
          </w:p>
        </w:tc>
      </w:tr>
      <w:tr>
        <w:tc>
          <w:tcPr>
            <w:tcW w:type="dxa" w:w="3118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今日高开至46元以上</w:t>
            </w:r>
          </w:p>
        </w:tc>
        <w:tc>
          <w:tcPr>
            <w:tcW w:type="dxa" w:w="198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不追，观望</w:t>
            </w:r>
          </w:p>
        </w:tc>
        <w:tc>
          <w:tcPr>
            <w:tcW w:type="dxa" w:w="1417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98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11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盘中回落至43-44元假跌破后快速收回</w:t>
            </w:r>
          </w:p>
        </w:tc>
        <w:tc>
          <w:tcPr>
            <w:tcW w:type="dxa" w:w="1984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小仓位试仓</w:t>
            </w:r>
          </w:p>
        </w:tc>
        <w:tc>
          <w:tcPr>
            <w:tcW w:type="dxa" w:w="1417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1-2手</w:t>
            </w:r>
          </w:p>
        </w:tc>
        <w:tc>
          <w:tcPr>
            <w:tcW w:type="dxa" w:w="1984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40元硬止损</w:t>
            </w:r>
          </w:p>
        </w:tc>
      </w:tr>
      <w:tr>
        <w:tc>
          <w:tcPr>
            <w:tcW w:type="dxa" w:w="3118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回调至40-42元区间</w:t>
            </w:r>
          </w:p>
        </w:tc>
        <w:tc>
          <w:tcPr>
            <w:tcW w:type="dxa" w:w="198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标准建仓</w:t>
            </w:r>
          </w:p>
        </w:tc>
        <w:tc>
          <w:tcPr>
            <w:tcW w:type="dxa" w:w="1417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1/3仓位</w:t>
            </w:r>
          </w:p>
        </w:tc>
        <w:tc>
          <w:tcPr>
            <w:tcW w:type="dxa" w:w="198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38元硬止损</w:t>
            </w:r>
          </w:p>
        </w:tc>
      </w:tr>
      <w:tr>
        <w:tc>
          <w:tcPr>
            <w:tcW w:type="dxa" w:w="311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跌破38元</w:t>
            </w:r>
          </w:p>
        </w:tc>
        <w:tc>
          <w:tcPr>
            <w:tcW w:type="dxa" w:w="1984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无条件止损</w:t>
            </w:r>
          </w:p>
        </w:tc>
        <w:tc>
          <w:tcPr>
            <w:tcW w:type="dxa" w:w="1417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清仓</w:t>
            </w:r>
          </w:p>
        </w:tc>
        <w:tc>
          <w:tcPr>
            <w:tcW w:type="dxa" w:w="1984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已触发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7.4 手册金句总结</w:t>
      </w:r>
    </w:p>
    <w:p>
      <w:pPr>
        <w:ind w:left="454" w:right="454"/>
      </w:pPr>
      <w:r>
        <w:rPr>
          <w:rFonts w:ascii="微软雅黑" w:hAnsi="微软雅黑" w:eastAsia="微软雅黑"/>
          <w:i/>
          <w:color w:val="1F4E79"/>
          <w:sz w:val="22"/>
        </w:rPr>
        <w:t>「不在别人兴奋的时候找机会。今天所有人的目光都不在德方纳米上——这恰恰是值得盯着它的理由，但动手要等价格到位。」</w:t>
      </w:r>
    </w:p>
    <w:p/>
    <w:p>
      <w:r>
        <w:rPr>
          <w:rFonts w:ascii="微软雅黑" w:hAnsi="微软雅黑" w:eastAsia="微软雅黑"/>
          <w:b w:val="0"/>
          <w:sz w:val="21"/>
        </w:rPr>
        <w:t>—— 基于《A股不对称战场》交易手册方法论，2026年4月1日</w:t>
      </w:r>
    </w:p>
    <w:p/>
    <w:p>
      <w:pPr>
        <w:jc w:val="center"/>
      </w:pPr>
      <w:r>
        <w:rPr>
          <w:rFonts w:ascii="微软雅黑" w:hAnsi="微软雅黑" w:eastAsia="微软雅黑"/>
          <w:color w:val="808080"/>
          <w:sz w:val="16"/>
        </w:rPr>
        <w:t>⚠️ 分析仅供参考，不构成投资建议。投资有风险，入市需谨慎。</w:t>
      </w:r>
    </w:p>
    <w:sectPr w:rsidR="00FC693F" w:rsidRPr="0006063C" w:rsidSect="00034616">
      <w:pgSz w:w="12240" w:h="15840"/>
      <w:pgMar w:top="1134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