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1B4F72"/>
          <w:sz w:val="48"/>
        </w:rPr>
        <w:t>600399 洛阳钼业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8"/>
        </w:rPr>
        <w:t>持仓分析与操作策略报告</w:t>
      </w:r>
    </w:p>
    <w:p>
      <w:pPr>
        <w:spacing w:before="400"/>
        <w:jc w:val="center"/>
      </w:pPr>
      <w:r>
        <w:rPr>
          <w:rFonts w:ascii="微软雅黑" w:hAnsi="微软雅黑" w:eastAsia="微软雅黑"/>
          <w:color w:val="1B4F72"/>
          <w:sz w:val="22"/>
        </w:rPr>
        <w:t>基于《A股不对称战场》交易手册方法论</w:t>
      </w:r>
    </w:p>
    <w:p>
      <w:pPr>
        <w:spacing w:before="600"/>
        <w:jc w:val="center"/>
      </w:pPr>
      <w:r>
        <w:rPr>
          <w:rFonts w:ascii="微软雅黑" w:hAnsi="微软雅黑" w:eastAsia="微软雅黑"/>
          <w:color w:val="808080"/>
          <w:sz w:val="20"/>
        </w:rPr>
        <w:t>分析日期：2026年4月1日  |  上午收盘数据  |  版本：1.0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一、持仓概况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4703"/>
        <w:gridCol w:w="4703"/>
      </w:tblGrid>
      <w:tr>
        <w:tc>
          <w:tcPr>
            <w:tcW w:type="dxa" w:w="2268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股票代码</w:t>
            </w:r>
          </w:p>
        </w:tc>
        <w:tc>
          <w:tcPr>
            <w:tcW w:type="dxa" w:w="6520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600399.SH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股票名称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洛阳钼业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所属板块</w:t>
            </w:r>
          </w:p>
        </w:tc>
        <w:tc>
          <w:tcPr>
            <w:tcW w:type="dxa" w:w="6520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有色金属（铜、钴、钼、钨）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持仓数量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1200股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成本价</w:t>
            </w:r>
          </w:p>
        </w:tc>
        <w:tc>
          <w:tcPr>
            <w:tcW w:type="dxa" w:w="6520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24.00元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约17.98元（上午收盘+4.84%）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持仓市值</w:t>
            </w:r>
          </w:p>
        </w:tc>
        <w:tc>
          <w:tcPr>
            <w:tcW w:type="dxa" w:w="6520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约21,576元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浮亏幅度</w:t>
            </w:r>
          </w:p>
        </w:tc>
        <w:tc>
          <w:tcPr>
            <w:tcW w:type="dxa" w:w="6520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-25.1%</w:t>
            </w:r>
          </w:p>
        </w:tc>
      </w:tr>
      <w:tr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浮亏金额</w:t>
            </w:r>
          </w:p>
        </w:tc>
        <w:tc>
          <w:tcPr>
            <w:tcW w:type="dxa" w:w="6520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约-7,224元</w:t>
            </w:r>
          </w:p>
        </w:tc>
      </w:tr>
    </w:tbl>
    <w:p/>
    <w:p>
      <w:r>
        <w:rPr>
          <w:rFonts w:ascii="微软雅黑" w:hAnsi="微软雅黑" w:eastAsia="微软雅黑"/>
          <w:b/>
          <w:color w:val="C00000"/>
          <w:sz w:val="21"/>
        </w:rPr>
        <w:t>核心判断：深套25%，但资金面无压力、可承受波动。策略不是割肉或补仓，而是有计划地等反弹减仓。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二、事实调查（手册第四章）</w:t>
      </w:r>
    </w:p>
    <w:p>
      <w:pPr>
        <w:pStyle w:val="Heading2"/>
      </w:pPr>
      <w:r>
        <w:rPr>
          <w:rFonts w:ascii="微软雅黑" w:hAnsi="微软雅黑" w:eastAsia="微软雅黑"/>
        </w:rPr>
        <w:t>2.1 公司基本面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主营业务：铜、钴、钼、钨等稀有金属的采掘、加工、贸易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核心资产：刚果（金）Tenke铜钴矿（全球最大铜钴矿之一）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行业地位：全球最大钼生产商之一，全球前十大铜矿企业</w:t>
      </w:r>
    </w:p>
    <w:p>
      <w:pPr>
        <w:pStyle w:val="Heading2"/>
      </w:pPr>
      <w:r>
        <w:rPr>
          <w:rFonts w:ascii="微软雅黑" w:hAnsi="微软雅黑" w:eastAsia="微软雅黑"/>
        </w:rPr>
        <w:t>2.2 当前行业环境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铜价处于上行周期，LME铜逼近历史高位，新能源+AI数据中心拉动铜需求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钴价回暖，新能源车动力电池需求持续增长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今日有色板块+0.95%，港股资源股走强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风险：刚果（金）矿业政策变动风险，地缘不确定性</w:t>
      </w:r>
    </w:p>
    <w:p/>
    <w:p>
      <w:r>
        <w:rPr>
          <w:rFonts w:ascii="微软雅黑" w:hAnsi="微软雅黑" w:eastAsia="微软雅黑"/>
          <w:b/>
          <w:color w:val="006400"/>
          <w:sz w:val="21"/>
        </w:rPr>
        <w:t>结论：中长期逻辑没有崩坏。铜周期+新能源需求是真实的基本面支撑。24元买入的逻辑可能是时机错了，但方向不一定错。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三、盘口分析（手册第五章）</w:t>
      </w:r>
    </w:p>
    <w:p>
      <w:pPr>
        <w:pStyle w:val="Heading2"/>
      </w:pPr>
      <w:r>
        <w:rPr>
          <w:rFonts w:ascii="微软雅黑" w:hAnsi="微软雅黑" w:eastAsia="微软雅黑"/>
        </w:rPr>
        <w:t>3.1 上午收盘盘口数据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417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268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386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当前价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17.98元（+4.84%）</w:t>
            </w:r>
          </w:p>
        </w:tc>
        <w:tc>
          <w:tcPr>
            <w:tcW w:type="dxa" w:w="538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表面强势，跑赢板块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均卖价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18.42元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卖方挂价高出现价2.4%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均买价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17.51元</w:t>
            </w:r>
          </w:p>
        </w:tc>
        <w:tc>
          <w:tcPr>
            <w:tcW w:type="dxa" w:w="538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买方挂价低于现价2.6%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委卖量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49.55万手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卖压极大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委买量</w:t>
            </w:r>
          </w:p>
        </w:tc>
        <w:tc>
          <w:tcPr>
            <w:tcW w:type="dxa" w:w="226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16.60万手</w:t>
            </w:r>
          </w:p>
        </w:tc>
        <w:tc>
          <w:tcPr>
            <w:tcW w:type="dxa" w:w="5386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买盘约为卖盘的1/3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卖:买比</w:t>
            </w:r>
          </w:p>
        </w:tc>
        <w:tc>
          <w:tcPr>
            <w:tcW w:type="dxa" w:w="2268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3:1</w:t>
            </w:r>
          </w:p>
        </w:tc>
        <w:tc>
          <w:tcPr>
            <w:tcW w:type="dxa" w:w="5386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空方占优，危险信号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卖盘压力结构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701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价位</w:t>
            </w:r>
          </w:p>
        </w:tc>
        <w:tc>
          <w:tcPr>
            <w:tcW w:type="dxa" w:w="1701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手数</w:t>
            </w:r>
          </w:p>
        </w:tc>
        <w:tc>
          <w:tcPr>
            <w:tcW w:type="dxa" w:w="5102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17.99-18.01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约3000手</w:t>
            </w:r>
          </w:p>
        </w:tc>
        <w:tc>
          <w:tcPr>
            <w:tcW w:type="dxa" w:w="51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贴近现价，轻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18.02-18.04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约1.4万手</w:t>
            </w:r>
          </w:p>
        </w:tc>
        <w:tc>
          <w:tcPr>
            <w:tcW w:type="dxa" w:w="51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密集压单区</w:t>
            </w:r>
          </w:p>
        </w:tc>
      </w:tr>
      <w:tr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18.05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1.63万手</w:t>
            </w:r>
          </w:p>
        </w:tc>
        <w:tc>
          <w:tcPr>
            <w:tcW w:type="dxa" w:w="51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巨量压单，核心阻力位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18.06-18.08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约1.7万手</w:t>
            </w:r>
          </w:p>
        </w:tc>
        <w:tc>
          <w:tcPr>
            <w:tcW w:type="dxa" w:w="510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持续高压</w:t>
            </w:r>
          </w:p>
        </w:tc>
      </w:tr>
      <w:tr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18.00-18.08合计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约5万手</w:t>
            </w:r>
          </w:p>
        </w:tc>
        <w:tc>
          <w:tcPr>
            <w:tcW w:type="dxa" w:w="510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上方压力极重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逐笔成交分析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早盘推升阶段：红色（主动买入）为主，价格从低走高至+4.84%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中段出货阶段：绿色（主动卖出）极度密集，连续多笔中大单抛售，这是有组织的出货行为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近午盘承接阶段：红色重现但手数偏小（几十手级别），无千手大单，说明承接的是散户而非主力</w:t>
      </w:r>
    </w:p>
    <w:p/>
    <w:p>
      <w:r>
        <w:rPr>
          <w:rFonts w:ascii="微软雅黑" w:hAnsi="微软雅黑" w:eastAsia="微软雅黑"/>
          <w:b/>
          <w:color w:val="C00000"/>
          <w:sz w:val="21"/>
        </w:rPr>
        <w:t>逐笔结论：今日+4.84%的涨幅是主力借板块情绪拉高出货。绿色（主动卖出）的密度和连续性说明这是同一资金在有计划地抛售。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四、情绪与筹码分析（手册第六章）</w:t>
      </w:r>
    </w:p>
    <w:p>
      <w:pPr>
        <w:pStyle w:val="Heading2"/>
      </w:pPr>
      <w:r>
        <w:rPr>
          <w:rFonts w:ascii="微软雅黑" w:hAnsi="微软雅黑" w:eastAsia="微软雅黑"/>
        </w:rPr>
        <w:t>4.1 三维验证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134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402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4252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手册判断</w:t>
            </w:r>
          </w:p>
        </w:tc>
      </w:tr>
      <w:tr>
        <w:tc>
          <w:tcPr>
            <w:tcW w:type="dxa" w:w="113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情绪面</w:t>
            </w:r>
          </w:p>
        </w:tc>
        <w:tc>
          <w:tcPr>
            <w:tcW w:type="dxa" w:w="3402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今日+4.84%散户看到上涨以为企稳</w:t>
            </w:r>
          </w:p>
        </w:tc>
        <w:tc>
          <w:tcPr>
            <w:tcW w:type="dxa" w:w="425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主力营造的稳定假象，散户入场接盘</w:t>
            </w:r>
          </w:p>
        </w:tc>
      </w:tr>
      <w:tr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资金面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卖盘49.55万手 vs 买盘16.60万手，3:1</w:t>
            </w:r>
          </w:p>
        </w:tc>
        <w:tc>
          <w:tcPr>
            <w:tcW w:type="dxa" w:w="425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空方碾压，主力在卖不在买</w:t>
            </w:r>
          </w:p>
        </w:tc>
      </w:tr>
      <w:tr>
        <w:tc>
          <w:tcPr>
            <w:tcW w:type="dxa" w:w="113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筹码面</w:t>
            </w:r>
          </w:p>
        </w:tc>
        <w:tc>
          <w:tcPr>
            <w:tcW w:type="dxa" w:w="3402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24元成本深套25%，大量套牢盘在上方</w:t>
            </w:r>
          </w:p>
        </w:tc>
        <w:tc>
          <w:tcPr>
            <w:tcW w:type="dxa" w:w="425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上方套牢盘沉重，反弹阻力大</w:t>
            </w:r>
          </w:p>
        </w:tc>
      </w:tr>
    </w:tbl>
    <w:p/>
    <w:p>
      <w:r>
        <w:rPr>
          <w:rFonts w:ascii="微软雅黑" w:hAnsi="微软雅黑" w:eastAsia="微软雅黑"/>
          <w:b/>
          <w:color w:val="C00000"/>
          <w:sz w:val="21"/>
        </w:rPr>
        <w:t>三维结论：情绪亢奋+资金出货+筹码套牢重重 = 手册定义的「主力派发」阶段。不是底部。</w:t>
      </w:r>
    </w:p>
    <w:p/>
    <w:p>
      <w:pPr>
        <w:pStyle w:val="Heading2"/>
      </w:pPr>
      <w:r>
        <w:rPr>
          <w:rFonts w:ascii="微软雅黑" w:hAnsi="微软雅黑" w:eastAsia="微软雅黑"/>
        </w:rPr>
        <w:t>4.2 当前是否处于「恐惧+不耐烦」时期？（手册法则4）</w:t>
      </w:r>
    </w:p>
    <w:p>
      <w:r>
        <w:rPr>
          <w:rFonts w:ascii="微软雅黑" w:hAnsi="微软雅黑" w:eastAsia="微软雅黑"/>
          <w:b/>
          <w:sz w:val="21"/>
        </w:rPr>
        <w:t>这是手册法则4的核心问题：「机会出现在恐惧和不耐烦的时候」。需要分两层判断：</w:t>
      </w:r>
    </w:p>
    <w:p>
      <w:pPr>
        <w:pStyle w:val="Heading3"/>
      </w:pPr>
      <w:r>
        <w:rPr>
          <w:rFonts w:ascii="微软雅黑" w:hAnsi="微软雅黑" w:eastAsia="微软雅黑"/>
        </w:rPr>
        <w:t>持仓者个人状态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资金面无压力，能承受再跌25%的波动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有明确的反弹减仓和止损计划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没有被迫清仓的紧迫感</w:t>
      </w:r>
    </w:p>
    <w:p>
      <w:r>
        <w:rPr>
          <w:rFonts w:ascii="微软雅黑" w:hAnsi="微软雅黑" w:eastAsia="微软雅黑"/>
          <w:b/>
          <w:color w:val="006400"/>
          <w:sz w:val="21"/>
        </w:rPr>
        <w:t>结论：持仓者个人不是恐惧/不耐烦状态，这是冷静、有准备的状态。手册所说的「恐惧时建仓」指的是市场整体的恐惧，不是被迫的恐惧。</w:t>
      </w:r>
    </w:p>
    <w:p>
      <w:pPr>
        <w:pStyle w:val="Heading3"/>
      </w:pPr>
      <w:r>
        <w:rPr>
          <w:rFonts w:ascii="微软雅黑" w:hAnsi="微软雅黑" w:eastAsia="微软雅黑"/>
        </w:rPr>
        <w:t>市场对洛阳钼业的恐惧程度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今日洛阳钼业+4.84%，有色板块+0.95%，大幅跑赢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主力在拉高出货，散户在追涨接盘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市场对这只股票今天不恐惧，反而有人在追涨</w:t>
      </w:r>
    </w:p>
    <w:p>
      <w:pPr>
        <w:pStyle w:val="Heading3"/>
      </w:pPr>
      <w:r>
        <w:rPr>
          <w:rFonts w:ascii="微软雅黑" w:hAnsi="微软雅黑" w:eastAsia="微软雅黑"/>
        </w:rPr>
        <w:t>真正的「恐惧+不耐烦」应该是什么样的？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连续大跌3-5天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散户恐慌割肉，成交放量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媒体一片看空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主力在低位悄悄吸筹</w:t>
      </w:r>
    </w:p>
    <w:p/>
    <w:p>
      <w:r>
        <w:rPr>
          <w:rFonts w:ascii="微软雅黑" w:hAnsi="微软雅黑" w:eastAsia="微软雅黑"/>
          <w:b/>
          <w:color w:val="C00000"/>
          <w:sz w:val="21"/>
        </w:rPr>
        <w:t>今天都不符合。今天是主力拉高出货，散户追涨接盘。所以：现在不是加仓摊低成本的时机。</w:t>
      </w:r>
    </w:p>
    <w:p>
      <w:pPr>
        <w:pStyle w:val="Heading3"/>
      </w:pPr>
      <w:r>
        <w:rPr>
          <w:rFonts w:ascii="微软雅黑" w:hAnsi="微软雅黑" w:eastAsia="微软雅黑"/>
        </w:rPr>
        <w:t>对持仓者的启示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当前状态是对的：冷静、有计划、能等待——这正是手册说的小资金最大优势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已经设好20元反弹减仓、17元破位止损的计划，按计划执行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真正的「恐惧+不耐烦」时机如果出现，才是用便宜筹码摊低成本的时候，但现在不是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不补仓：盘口没有见底信号，补仓只是摊低成本的幻觉，如果继续跌只是亏更多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五、反弹路径与退出条件（手册第九章+第十一章）</w:t>
      </w:r>
    </w:p>
    <w:p>
      <w:pPr>
        <w:pStyle w:val="Heading2"/>
      </w:pPr>
      <w:r>
        <w:rPr>
          <w:rFonts w:ascii="微软雅黑" w:hAnsi="微软雅黑" w:eastAsia="微软雅黑"/>
        </w:rPr>
        <w:t>5.1 关键支撑与压力位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3135"/>
        <w:gridCol w:w="3135"/>
        <w:gridCol w:w="3135"/>
      </w:tblGrid>
      <w:tr>
        <w:tc>
          <w:tcPr>
            <w:tcW w:type="dxa" w:w="1417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价位</w:t>
            </w:r>
          </w:p>
        </w:tc>
        <w:tc>
          <w:tcPr>
            <w:tcW w:type="dxa" w:w="2551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819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操作意义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18.05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今日核心阻力位（1.63万手压单）</w:t>
            </w:r>
          </w:p>
        </w:tc>
        <w:tc>
          <w:tcPr>
            <w:tcW w:type="dxa" w:w="4819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突破则短线走强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17.90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今日主力防守位（4931手托单）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跌破则加速下行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17.00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心理整数关口+重要支撑</w:t>
            </w:r>
          </w:p>
        </w:tc>
        <w:tc>
          <w:tcPr>
            <w:tcW w:type="dxa" w:w="4819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跌破减仓至600股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15.00</w:t>
            </w:r>
          </w:p>
        </w:tc>
        <w:tc>
          <w:tcPr>
            <w:tcW w:type="dxa" w:w="255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前期重要底部区域</w:t>
            </w:r>
          </w:p>
        </w:tc>
        <w:tc>
          <w:tcPr>
            <w:tcW w:type="dxa" w:w="4819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跌破减仓至600股</w:t>
            </w:r>
          </w:p>
        </w:tc>
      </w:tr>
      <w:tr>
        <w:tc>
          <w:tcPr>
            <w:tcW w:type="dxa" w:w="141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13.00</w:t>
            </w:r>
          </w:p>
        </w:tc>
        <w:tc>
          <w:tcPr>
            <w:tcW w:type="dxa" w:w="255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长期底部支撑</w:t>
            </w:r>
          </w:p>
        </w:tc>
        <w:tc>
          <w:tcPr>
            <w:tcW w:type="dxa" w:w="4819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跌破全部清仓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反弹减仓计划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cantSplit w:val="true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触发价格</w:t>
            </w:r>
          </w:p>
        </w:tc>
        <w:tc>
          <w:tcPr>
            <w:tcW w:type="dxa" w:w="1984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701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仓位变化</w:t>
            </w:r>
          </w:p>
        </w:tc>
        <w:tc>
          <w:tcPr>
            <w:tcW w:type="dxa" w:w="3685"/>
            <w:shd w:fill="1B4F7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反弹至20-21元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卖400股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1200-&gt;800股</w:t>
            </w:r>
          </w:p>
        </w:tc>
        <w:tc>
          <w:tcPr>
            <w:tcW w:type="dxa" w:w="3685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回血约15%，降低持仓风险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反弹至22-23元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卖400股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800-&gt;400股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接近成本区，锁住回血</w:t>
            </w:r>
          </w:p>
        </w:tc>
      </w:tr>
      <w:tr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反弹至23元以上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移动止盈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400股</w:t>
            </w:r>
          </w:p>
        </w:tc>
        <w:tc>
          <w:tcPr>
            <w:tcW w:type="dxa" w:w="3685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让最后仓位利润奔跑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跌破17.00元</w:t>
            </w:r>
          </w:p>
        </w:tc>
        <w:tc>
          <w:tcPr>
            <w:tcW w:type="dxa" w:w="198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卖600股</w:t>
            </w:r>
          </w:p>
        </w:tc>
        <w:tc>
          <w:tcPr>
            <w:tcW w:type="dxa" w:w="1701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1200-&gt;600股</w:t>
            </w:r>
          </w:p>
        </w:tc>
        <w:tc>
          <w:tcPr>
            <w:tcW w:type="dxa" w:w="3685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破位信号，保住资金</w:t>
            </w:r>
          </w:p>
        </w:tc>
      </w:tr>
      <w:tr>
        <w:tc>
          <w:tcPr>
            <w:tcW w:type="dxa" w:w="1701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跌破15.00元</w:t>
            </w:r>
          </w:p>
        </w:tc>
        <w:tc>
          <w:tcPr>
            <w:tcW w:type="dxa" w:w="1984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卖600股</w:t>
            </w:r>
          </w:p>
        </w:tc>
        <w:tc>
          <w:tcPr>
            <w:tcW w:type="dxa" w:w="1701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600-&gt;0</w:t>
            </w:r>
          </w:p>
        </w:tc>
        <w:tc>
          <w:tcPr>
            <w:tcW w:type="dxa" w:w="3685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长期破位，承认错误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今日操作</w:t>
      </w:r>
    </w:p>
    <w:p>
      <w:r>
        <w:rPr>
          <w:rFonts w:ascii="微软雅黑" w:hAnsi="微软雅黑" w:eastAsia="微软雅黑"/>
          <w:b/>
          <w:color w:val="C00000"/>
          <w:sz w:val="26"/>
        </w:rPr>
        <w:t>今天不操作。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盘口显示主力在出货，+4.84%是拉高出货不是见底反弹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深套25%时卖只是确认亏损，等反弹到20元以上再减仓才有意义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不补仓——盘口没有见底信号，补仓只是摊低成本的幻觉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六、决策依据总结</w:t>
      </w:r>
    </w:p>
    <w:p>
      <w:pPr>
        <w:pStyle w:val="Heading2"/>
      </w:pPr>
      <w:r>
        <w:rPr>
          <w:rFonts w:ascii="微软雅黑" w:hAnsi="微软雅黑" w:eastAsia="微软雅黑"/>
        </w:rPr>
        <w:t>6.1 为什么不割肉？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中长期逻辑未崩坏：铜周期+新能源需求是真实的产业支撑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今日+4.84%跑赢有色板块(+0.95%)，说明市场认可其行业地位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资金面无压力，能承受波动，不需要被迫清仓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手册案例一（鹭燕医药）：深套50%最终等了3年解套，洛阳钼业基本面更强</w:t>
      </w:r>
    </w:p>
    <w:p>
      <w:pPr>
        <w:pStyle w:val="Heading2"/>
      </w:pPr>
      <w:r>
        <w:rPr>
          <w:rFonts w:ascii="微软雅黑" w:hAnsi="微软雅黑" w:eastAsia="微软雅黑"/>
        </w:rPr>
        <w:t>6.2 为什么不补仓？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逐笔成交绿色密集，主力在出货不是在建仓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卖盘是买盘3倍，没有见底信号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市场对洛阳钼业今天不恐惧——不是「恐惧+不耐烦」的建仓时机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手册法则：不在看起来稳定时入场，今天的上涨就是主力营造的稳定假象</w:t>
      </w:r>
    </w:p>
    <w:p>
      <w:pPr>
        <w:pStyle w:val="Heading2"/>
      </w:pPr>
      <w:r>
        <w:rPr>
          <w:rFonts w:ascii="微软雅黑" w:hAnsi="微软雅黑" w:eastAsia="微软雅黑"/>
        </w:rPr>
        <w:t>6.3 为什么设反弹减仓而不是死扛到底？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手册法则8：散户看清趋势时要离场。成本24元，上方套牢盘沉重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反弹到20-23元区间是套牢盘密集区，会遇到强阻力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分批减仓就是在阻力位让别人替你接盘，降低风险敞口</w:t>
      </w:r>
    </w:p>
    <w:p>
      <w:pPr>
        <w:pStyle w:val="Heading2"/>
      </w:pPr>
      <w:r>
        <w:rPr>
          <w:rFonts w:ascii="微软雅黑" w:hAnsi="微软雅黑" w:eastAsia="微软雅黑"/>
        </w:rPr>
        <w:t>6.4 恐惧与不耐烦的时机何时出现？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当洛阳钼业连续大跌3-5天，散户恐慌割肉时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当媒体一片看空、成交放量、主力低位吸筹时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那才是用便宜筹码摊低成本的最佳时机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当前不具备这些条件，耐心等待，不急于行动</w:t>
      </w:r>
    </w:p>
    <w:p/>
    <w:p>
      <w:pPr>
        <w:ind w:left="454" w:right="454"/>
      </w:pPr>
      <w:r>
        <w:rPr>
          <w:rFonts w:ascii="微软雅黑" w:hAnsi="微软雅黑" w:eastAsia="微软雅黑"/>
          <w:i/>
          <w:color w:val="1B4F72"/>
          <w:sz w:val="21"/>
        </w:rPr>
        <w:t>「持有不是死拿不动，而是持续验证持有理由是否成立。退出不是因为涨够了，而是因为上涨的理由消失了。」——《A股不对称战场》交易手册</w:t>
      </w:r>
    </w:p>
    <w:p/>
    <w:p>
      <w:r>
        <w:rPr>
          <w:rFonts w:ascii="微软雅黑" w:hAnsi="微软雅黑" w:eastAsia="微软雅黑"/>
          <w:b w:val="0"/>
          <w:color w:val="808080"/>
          <w:sz w:val="21"/>
        </w:rPr>
        <w:t>—— 基于《A股不对称战场》交易手册方法论，2026年4月1日</w:t>
      </w:r>
    </w:p>
    <w:p/>
    <w:p>
      <w:r>
        <w:rPr>
          <w:rFonts w:ascii="微软雅黑" w:hAnsi="微软雅黑" w:eastAsia="微软雅黑"/>
          <w:b w:val="0"/>
          <w:color w:val="C00000"/>
          <w:sz w:val="21"/>
        </w:rPr>
        <w:t>⚠️ 分析仅供参考，不构成投资建议。投资有风险，入市需谨慎。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