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56"/>
        </w:rPr>
        <w:t>霍尔木兹海峡危机</w:t>
      </w:r>
    </w:p>
    <w:p>
      <w:pPr>
        <w:jc w:val="center"/>
      </w:pPr>
      <w:r>
        <w:rPr>
          <w:b/>
          <w:color w:val="8B0000"/>
          <w:sz w:val="44"/>
        </w:rPr>
        <w:t>对中国石油化工/煤化工行业影响</w:t>
      </w:r>
    </w:p>
    <w:p>
      <w:pPr>
        <w:jc w:val="center"/>
      </w:pPr>
      <w:r>
        <w:rPr>
          <w:color w:val="646464"/>
          <w:sz w:val="32"/>
        </w:rPr>
        <w:t>——暨2026年4月投资展望</w:t>
      </w:r>
    </w:p>
    <w:p>
      <w:pPr>
        <w:jc w:val="center"/>
      </w:pPr>
      <w:r>
        <w:rPr>
          <w:color w:val="646464"/>
          <w:sz w:val="24"/>
        </w:rPr>
        <w:t>2026年3月29日</w:t>
      </w:r>
    </w:p>
    <w:p>
      <w:r>
        <w:br w:type="page"/>
      </w:r>
    </w:p>
    <w:p>
      <w:pPr>
        <w:pStyle w:val="Heading1"/>
      </w:pPr>
      <w:r>
        <w:t>一、报告摘要</w:t>
      </w:r>
    </w:p>
    <w:p>
      <w:r>
        <w:t>2026年2月28日，美以联合打击伊朗，伊朗革命卫队随即宣布霍尔木兹海峡禁航。截至3月中旬，通过海峡的油轮从日均24艘骤降至约4艘，全球原油日供应量骤降约800万桶（占全球8-10%），布伦特原油一度逼近120美元/桶。国际能源署称全球石油市场面临"史上最严重供应梗阻"。</w:t>
        <w:br/>
        <w:br/>
        <w:t>本报告分析这一危机对中国石油化工及煤化工行业的影响，并对2026年4月相关板块投资前景做出展望。</w:t>
      </w:r>
    </w:p>
    <w:p>
      <w:r>
        <w:rPr>
          <w:b/>
        </w:rPr>
        <w:t>核心结论：</w:t>
      </w:r>
      <w:r>
        <w:t>中国煤化工企业是此轮危机中罕见的"确定性受益"标的。煤化工以国内煤炭为原料，完全不受海运断供影响，同时享受产品价格飙升带来的利润弹性。4月板块走势高度依赖霍尔木兹海峡何时恢复通航。</w:t>
      </w:r>
    </w:p>
    <w:p>
      <w:pPr>
        <w:pStyle w:val="Heading1"/>
      </w:pPr>
      <w:r>
        <w:t>二、当前局势背景</w:t>
      </w:r>
    </w:p>
    <w:p>
      <w:pPr>
        <w:pStyle w:val="Heading2"/>
      </w:pPr>
      <w:r>
        <w:t>2.1 事件时间线</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日期</w:t>
            </w:r>
          </w:p>
        </w:tc>
        <w:tc>
          <w:tcPr>
            <w:tcW w:type="dxa" w:w="4320"/>
          </w:tcPr>
          <w:p>
            <w:r>
              <w:rPr>
                <w:b/>
              </w:rPr>
              <w:t>事件</w:t>
            </w:r>
          </w:p>
        </w:tc>
      </w:tr>
      <w:tr>
        <w:tc>
          <w:tcPr>
            <w:tcW w:type="dxa" w:w="4320"/>
          </w:tcPr>
          <w:p>
            <w:r>
              <w:t>2026年2月28日</w:t>
            </w:r>
          </w:p>
        </w:tc>
        <w:tc>
          <w:tcPr>
            <w:tcW w:type="dxa" w:w="4320"/>
          </w:tcPr>
          <w:p>
            <w:r>
              <w:t>美以联合军事打击伊朗</w:t>
            </w:r>
          </w:p>
        </w:tc>
      </w:tr>
      <w:tr>
        <w:tc>
          <w:tcPr>
            <w:tcW w:type="dxa" w:w="4320"/>
          </w:tcPr>
          <w:p>
            <w:r>
              <w:t>2028日当晚</w:t>
            </w:r>
          </w:p>
        </w:tc>
        <w:tc>
          <w:tcPr>
            <w:tcW w:type="dxa" w:w="4320"/>
          </w:tcPr>
          <w:p>
            <w:r>
              <w:t>伊朗革命卫队宣布霍尔木兹海峡全面禁航</w:t>
            </w:r>
          </w:p>
        </w:tc>
      </w:tr>
      <w:tr>
        <w:tc>
          <w:tcPr>
            <w:tcW w:type="dxa" w:w="4320"/>
          </w:tcPr>
          <w:p>
            <w:r>
              <w:t>3月3日</w:t>
            </w:r>
          </w:p>
        </w:tc>
        <w:tc>
          <w:tcPr>
            <w:tcW w:type="dxa" w:w="4320"/>
          </w:tcPr>
          <w:p>
            <w:r>
              <w:t>革命卫队称十余艘油轮遭炮弹击毁，海峡进入"战争状态"</w:t>
            </w:r>
          </w:p>
        </w:tc>
      </w:tr>
      <w:tr>
        <w:tc>
          <w:tcPr>
            <w:tcW w:type="dxa" w:w="4320"/>
          </w:tcPr>
          <w:p>
            <w:r>
              <w:t>3月4日</w:t>
            </w:r>
          </w:p>
        </w:tc>
        <w:tc>
          <w:tcPr>
            <w:tcW w:type="dxa" w:w="4320"/>
          </w:tcPr>
          <w:p>
            <w:r>
              <w:t>布伦特原油突破84美元/桶，WTI突破76美元/桶</w:t>
            </w:r>
          </w:p>
        </w:tc>
      </w:tr>
      <w:tr>
        <w:tc>
          <w:tcPr>
            <w:tcW w:type="dxa" w:w="4320"/>
          </w:tcPr>
          <w:p>
            <w:r>
              <w:t>3月11日</w:t>
            </w:r>
          </w:p>
        </w:tc>
        <w:tc>
          <w:tcPr>
            <w:tcW w:type="dxa" w:w="4320"/>
          </w:tcPr>
          <w:p>
            <w:r>
              <w:t>IEA成员国一致同意释放4亿桶战略石油储备</w:t>
            </w:r>
          </w:p>
        </w:tc>
      </w:tr>
      <w:tr>
        <w:tc>
          <w:tcPr>
            <w:tcW w:type="dxa" w:w="4320"/>
          </w:tcPr>
          <w:p>
            <w:r>
              <w:t>3月12日</w:t>
            </w:r>
          </w:p>
        </w:tc>
        <w:tc>
          <w:tcPr>
            <w:tcW w:type="dxa" w:w="4320"/>
          </w:tcPr>
          <w:p>
            <w:r>
              <w:t>IEA月度报告：全球石油市场面临"史上最严重供应梗阻"</w:t>
            </w:r>
          </w:p>
        </w:tc>
      </w:tr>
      <w:tr>
        <w:tc>
          <w:tcPr>
            <w:tcW w:type="dxa" w:w="4320"/>
          </w:tcPr>
          <w:p>
            <w:r>
              <w:t>3月27日</w:t>
            </w:r>
          </w:p>
        </w:tc>
        <w:tc>
          <w:tcPr>
            <w:tcW w:type="dxa" w:w="4320"/>
          </w:tcPr>
          <w:p>
            <w:r>
              <w:t>IRGC宣布海峡对美、以色列及其盟友港口船只全面关闭</w:t>
            </w:r>
          </w:p>
        </w:tc>
      </w:tr>
    </w:tbl>
    <w:p>
      <w:pPr>
        <w:pStyle w:val="Heading2"/>
      </w:pPr>
      <w:r>
        <w:t>2.2 关键影响数据</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指标</w:t>
            </w:r>
          </w:p>
        </w:tc>
        <w:tc>
          <w:tcPr>
            <w:tcW w:type="dxa" w:w="2160"/>
          </w:tcPr>
          <w:p>
            <w:pPr>
              <w:jc w:val="center"/>
            </w:pPr>
            <w:r>
              <w:rPr>
                <w:b/>
                <w:sz w:val="20"/>
              </w:rPr>
              <w:t>危机前</w:t>
            </w:r>
          </w:p>
        </w:tc>
        <w:tc>
          <w:tcPr>
            <w:tcW w:type="dxa" w:w="2160"/>
          </w:tcPr>
          <w:p>
            <w:pPr>
              <w:jc w:val="center"/>
            </w:pPr>
            <w:r>
              <w:rPr>
                <w:b/>
                <w:sz w:val="20"/>
              </w:rPr>
              <w:t>危机后</w:t>
            </w:r>
          </w:p>
        </w:tc>
        <w:tc>
          <w:tcPr>
            <w:tcW w:type="dxa" w:w="2160"/>
          </w:tcPr>
          <w:p>
            <w:pPr>
              <w:jc w:val="center"/>
            </w:pPr>
            <w:r>
              <w:rPr>
                <w:b/>
                <w:sz w:val="20"/>
              </w:rPr>
              <w:t>变化</w:t>
            </w:r>
          </w:p>
        </w:tc>
      </w:tr>
      <w:tr>
        <w:tc>
          <w:tcPr>
            <w:tcW w:type="dxa" w:w="2160"/>
          </w:tcPr>
          <w:p>
            <w:pPr>
              <w:jc w:val="center"/>
            </w:pPr>
            <w:r>
              <w:rPr>
                <w:sz w:val="20"/>
              </w:rPr>
              <w:t>日均通过海峡油轮数</w:t>
            </w:r>
          </w:p>
        </w:tc>
        <w:tc>
          <w:tcPr>
            <w:tcW w:type="dxa" w:w="2160"/>
          </w:tcPr>
          <w:p>
            <w:pPr>
              <w:jc w:val="center"/>
            </w:pPr>
            <w:r>
              <w:rPr>
                <w:sz w:val="20"/>
              </w:rPr>
              <w:t>24艘</w:t>
            </w:r>
          </w:p>
        </w:tc>
        <w:tc>
          <w:tcPr>
            <w:tcW w:type="dxa" w:w="2160"/>
          </w:tcPr>
          <w:p>
            <w:pPr>
              <w:jc w:val="center"/>
            </w:pPr>
            <w:r>
              <w:rPr>
                <w:sz w:val="20"/>
              </w:rPr>
              <w:t>约4艘</w:t>
            </w:r>
          </w:p>
        </w:tc>
        <w:tc>
          <w:tcPr>
            <w:tcW w:type="dxa" w:w="2160"/>
          </w:tcPr>
          <w:p>
            <w:pPr>
              <w:jc w:val="center"/>
            </w:pPr>
            <w:r>
              <w:rPr>
                <w:sz w:val="20"/>
              </w:rPr>
              <w:t>↓83%</w:t>
            </w:r>
          </w:p>
        </w:tc>
      </w:tr>
      <w:tr>
        <w:tc>
          <w:tcPr>
            <w:tcW w:type="dxa" w:w="2160"/>
          </w:tcPr>
          <w:p>
            <w:pPr>
              <w:jc w:val="center"/>
            </w:pPr>
            <w:r>
              <w:rPr>
                <w:sz w:val="20"/>
              </w:rPr>
              <w:t>全球原油日供应量</w:t>
            </w:r>
          </w:p>
        </w:tc>
        <w:tc>
          <w:tcPr>
            <w:tcW w:type="dxa" w:w="2160"/>
          </w:tcPr>
          <w:p>
            <w:pPr>
              <w:jc w:val="center"/>
            </w:pPr>
            <w:r>
              <w:rPr>
                <w:sz w:val="20"/>
              </w:rPr>
              <w:t>约1.02亿桶</w:t>
            </w:r>
          </w:p>
        </w:tc>
        <w:tc>
          <w:tcPr>
            <w:tcW w:type="dxa" w:w="2160"/>
          </w:tcPr>
          <w:p>
            <w:pPr>
              <w:jc w:val="center"/>
            </w:pPr>
            <w:r>
              <w:rPr>
                <w:sz w:val="20"/>
              </w:rPr>
              <w:t>约9400万桶</w:t>
            </w:r>
          </w:p>
        </w:tc>
        <w:tc>
          <w:tcPr>
            <w:tcW w:type="dxa" w:w="2160"/>
          </w:tcPr>
          <w:p>
            <w:pPr>
              <w:jc w:val="center"/>
            </w:pPr>
            <w:r>
              <w:rPr>
                <w:sz w:val="20"/>
              </w:rPr>
              <w:t>↓800万桶（-8%）</w:t>
            </w:r>
          </w:p>
        </w:tc>
      </w:tr>
      <w:tr>
        <w:tc>
          <w:tcPr>
            <w:tcW w:type="dxa" w:w="2160"/>
          </w:tcPr>
          <w:p>
            <w:pPr>
              <w:jc w:val="center"/>
            </w:pPr>
            <w:r>
              <w:rPr>
                <w:sz w:val="20"/>
              </w:rPr>
              <w:t>布伦特原油价格</w:t>
            </w:r>
          </w:p>
        </w:tc>
        <w:tc>
          <w:tcPr>
            <w:tcW w:type="dxa" w:w="2160"/>
          </w:tcPr>
          <w:p>
            <w:pPr>
              <w:jc w:val="center"/>
            </w:pPr>
            <w:r>
              <w:rPr>
                <w:sz w:val="20"/>
              </w:rPr>
              <w:t>~75美元/桶</w:t>
            </w:r>
          </w:p>
        </w:tc>
        <w:tc>
          <w:tcPr>
            <w:tcW w:type="dxa" w:w="2160"/>
          </w:tcPr>
          <w:p>
            <w:pPr>
              <w:jc w:val="center"/>
            </w:pPr>
            <w:r>
              <w:rPr>
                <w:sz w:val="20"/>
              </w:rPr>
              <w:t>~120美元/桶</w:t>
            </w:r>
          </w:p>
        </w:tc>
        <w:tc>
          <w:tcPr>
            <w:tcW w:type="dxa" w:w="2160"/>
          </w:tcPr>
          <w:p>
            <w:pPr>
              <w:jc w:val="center"/>
            </w:pPr>
            <w:r>
              <w:rPr>
                <w:sz w:val="20"/>
              </w:rPr>
              <w:t>↑60%</w:t>
            </w:r>
          </w:p>
        </w:tc>
      </w:tr>
      <w:tr>
        <w:tc>
          <w:tcPr>
            <w:tcW w:type="dxa" w:w="2160"/>
          </w:tcPr>
          <w:p>
            <w:pPr>
              <w:jc w:val="center"/>
            </w:pPr>
            <w:r>
              <w:rPr>
                <w:sz w:val="20"/>
              </w:rPr>
              <w:t>中东炼油停运产能</w:t>
            </w:r>
          </w:p>
        </w:tc>
        <w:tc>
          <w:tcPr>
            <w:tcW w:type="dxa" w:w="2160"/>
          </w:tcPr>
          <w:p>
            <w:pPr>
              <w:jc w:val="center"/>
            </w:pPr>
            <w:r>
              <w:rPr>
                <w:sz w:val="20"/>
              </w:rPr>
              <w:t>—</w:t>
            </w:r>
          </w:p>
        </w:tc>
        <w:tc>
          <w:tcPr>
            <w:tcW w:type="dxa" w:w="2160"/>
          </w:tcPr>
          <w:p>
            <w:pPr>
              <w:jc w:val="center"/>
            </w:pPr>
            <w:r>
              <w:rPr>
                <w:sz w:val="20"/>
              </w:rPr>
              <w:t>300万桶/日以上</w:t>
            </w:r>
          </w:p>
        </w:tc>
        <w:tc>
          <w:tcPr>
            <w:tcW w:type="dxa" w:w="2160"/>
          </w:tcPr>
          <w:p>
            <w:pPr>
              <w:jc w:val="center"/>
            </w:pPr>
            <w:r>
              <w:rPr>
                <w:sz w:val="20"/>
              </w:rPr>
              <w:t>显著</w:t>
            </w:r>
          </w:p>
        </w:tc>
      </w:tr>
      <w:tr>
        <w:tc>
          <w:tcPr>
            <w:tcW w:type="dxa" w:w="2160"/>
          </w:tcPr>
          <w:p>
            <w:pPr>
              <w:jc w:val="center"/>
            </w:pPr>
            <w:r>
              <w:rPr>
                <w:sz w:val="20"/>
              </w:rPr>
              <w:t>海湾国家日减产</w:t>
            </w:r>
          </w:p>
        </w:tc>
        <w:tc>
          <w:tcPr>
            <w:tcW w:type="dxa" w:w="2160"/>
          </w:tcPr>
          <w:p>
            <w:pPr>
              <w:jc w:val="center"/>
            </w:pPr>
            <w:r>
              <w:rPr>
                <w:sz w:val="20"/>
              </w:rPr>
              <w:t>—</w:t>
            </w:r>
          </w:p>
        </w:tc>
        <w:tc>
          <w:tcPr>
            <w:tcW w:type="dxa" w:w="2160"/>
          </w:tcPr>
          <w:p>
            <w:pPr>
              <w:jc w:val="center"/>
            </w:pPr>
            <w:r>
              <w:rPr>
                <w:sz w:val="20"/>
              </w:rPr>
              <w:t>1000万桶+</w:t>
            </w:r>
          </w:p>
        </w:tc>
        <w:tc>
          <w:tcPr>
            <w:tcW w:type="dxa" w:w="2160"/>
          </w:tcPr>
          <w:p>
            <w:pPr>
              <w:jc w:val="center"/>
            </w:pPr>
            <w:r>
              <w:rPr>
                <w:sz w:val="20"/>
              </w:rPr>
              <w:t>—</w:t>
            </w:r>
          </w:p>
        </w:tc>
      </w:tr>
      <w:tr>
        <w:tc>
          <w:tcPr>
            <w:tcW w:type="dxa" w:w="2160"/>
          </w:tcPr>
          <w:p>
            <w:pPr>
              <w:jc w:val="center"/>
            </w:pPr>
            <w:r>
              <w:rPr>
                <w:sz w:val="20"/>
              </w:rPr>
              <w:t>IEA释放战略储备</w:t>
            </w:r>
          </w:p>
        </w:tc>
        <w:tc>
          <w:tcPr>
            <w:tcW w:type="dxa" w:w="2160"/>
          </w:tcPr>
          <w:p>
            <w:pPr>
              <w:jc w:val="center"/>
            </w:pPr>
            <w:r>
              <w:rPr>
                <w:sz w:val="20"/>
              </w:rPr>
              <w:t>—</w:t>
            </w:r>
          </w:p>
        </w:tc>
        <w:tc>
          <w:tcPr>
            <w:tcW w:type="dxa" w:w="2160"/>
          </w:tcPr>
          <w:p>
            <w:pPr>
              <w:jc w:val="center"/>
            </w:pPr>
            <w:r>
              <w:rPr>
                <w:sz w:val="20"/>
              </w:rPr>
              <w:t>4亿桶</w:t>
            </w:r>
          </w:p>
        </w:tc>
        <w:tc>
          <w:tcPr>
            <w:tcW w:type="dxa" w:w="2160"/>
          </w:tcPr>
          <w:p>
            <w:pPr>
              <w:jc w:val="center"/>
            </w:pPr>
            <w:r>
              <w:rPr>
                <w:sz w:val="20"/>
              </w:rPr>
              <w:t>权宜之计</w:t>
            </w:r>
          </w:p>
        </w:tc>
      </w:tr>
    </w:tbl>
    <w:p>
      <w:pPr>
        <w:pStyle w:val="Heading1"/>
      </w:pPr>
      <w:r>
        <w:t>三、影响传导逻辑</w:t>
      </w:r>
    </w:p>
    <w:p>
      <w:r>
        <w:rPr>
          <w:b w:val="0"/>
        </w:rPr>
        <w:t>此次危机对中国石化行业的影响可通过以下逻辑链传导：</w:t>
      </w:r>
    </w:p>
    <w:p>
      <w:r>
        <w:t>第1步：霍尔木兹海峡封锁 → 波斯湾原油/LPG/石化原料断供</w:t>
      </w:r>
    </w:p>
    <w:p>
      <w:r>
        <w:t>第2步：→ 日本、韩国、越南、泰国等高度依赖中东原油的国家石化装置因原料不足被迫降负荷甚至停车</w:t>
      </w:r>
    </w:p>
    <w:p>
      <w:r>
        <w:t>第3步：→ 亚洲石化产品供给出现巨大缺口，产品价格飙升</w:t>
      </w:r>
    </w:p>
    <w:p>
      <w:r>
        <w:t>第4步：→ 中国煤化工企业（原料为国内煤炭，完全自给）成本不变但产品涨价 → 利润空间暴增</w:t>
      </w:r>
    </w:p>
    <w:p>
      <w:r>
        <w:rPr>
          <w:b/>
          <w:color w:val="8B0000"/>
        </w:rPr>
        <w:t>第5步：→ 中国拥有原料库存的炼化企业及国内油气开采企业同步受益</w:t>
      </w:r>
    </w:p>
    <w:p>
      <w:pPr>
        <w:pStyle w:val="Heading1"/>
      </w:pPr>
      <w:r>
        <w:t>四、受益公司分层分析</w:t>
      </w:r>
    </w:p>
    <w:p>
      <w:pPr>
        <w:pStyle w:val="Heading2"/>
      </w:pPr>
      <w:r>
        <w:t>4.1 第一梯队：煤化工（最大受益者）</w:t>
      </w:r>
    </w:p>
    <w:p>
      <w:r>
        <w:t>煤化工以国内煤炭为原料，完全不受国际原油海运断供影响。当全球油制化工品成本随油价暴涨时，煤制化工品的成本几乎不变，利润空间大幅扩张。同时，日韩东南亚石化产能因缺油降负荷，订单将进一步转向中国煤化工企业。</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公司</w:t>
            </w:r>
          </w:p>
        </w:tc>
        <w:tc>
          <w:tcPr>
            <w:tcW w:type="dxa" w:w="2160"/>
          </w:tcPr>
          <w:p>
            <w:r>
              <w:rPr>
                <w:b/>
                <w:sz w:val="20"/>
              </w:rPr>
              <w:t>代码</w:t>
            </w:r>
          </w:p>
        </w:tc>
        <w:tc>
          <w:tcPr>
            <w:tcW w:type="dxa" w:w="2160"/>
          </w:tcPr>
          <w:p>
            <w:r>
              <w:rPr>
                <w:b/>
                <w:sz w:val="20"/>
              </w:rPr>
              <w:t>核心优势</w:t>
            </w:r>
          </w:p>
        </w:tc>
        <w:tc>
          <w:tcPr>
            <w:tcW w:type="dxa" w:w="2160"/>
          </w:tcPr>
          <w:p>
            <w:r>
              <w:rPr>
                <w:b/>
                <w:sz w:val="20"/>
              </w:rPr>
              <w:t>主要产品</w:t>
            </w:r>
          </w:p>
        </w:tc>
      </w:tr>
      <w:tr>
        <w:tc>
          <w:tcPr>
            <w:tcW w:type="dxa" w:w="2160"/>
          </w:tcPr>
          <w:p>
            <w:r>
              <w:rPr>
                <w:sz w:val="20"/>
              </w:rPr>
              <w:t>宝丰能源</w:t>
            </w:r>
          </w:p>
        </w:tc>
        <w:tc>
          <w:tcPr>
            <w:tcW w:type="dxa" w:w="2160"/>
          </w:tcPr>
          <w:p>
            <w:r>
              <w:rPr>
                <w:sz w:val="20"/>
              </w:rPr>
              <w:t>600989.SH</w:t>
            </w:r>
          </w:p>
        </w:tc>
        <w:tc>
          <w:tcPr>
            <w:tcW w:type="dxa" w:w="2160"/>
          </w:tcPr>
          <w:p>
            <w:r>
              <w:rPr>
                <w:sz w:val="20"/>
              </w:rPr>
              <w:t>煤制烯烃龙头，产能领先，成本控制优秀</w:t>
            </w:r>
          </w:p>
        </w:tc>
        <w:tc>
          <w:tcPr>
            <w:tcW w:type="dxa" w:w="2160"/>
          </w:tcPr>
          <w:p>
            <w:r>
              <w:rPr>
                <w:sz w:val="20"/>
              </w:rPr>
              <w:t>聚乙烯、聚丙烯、焦炭</w:t>
            </w:r>
          </w:p>
        </w:tc>
      </w:tr>
      <w:tr>
        <w:tc>
          <w:tcPr>
            <w:tcW w:type="dxa" w:w="2160"/>
          </w:tcPr>
          <w:p>
            <w:r>
              <w:rPr>
                <w:sz w:val="20"/>
              </w:rPr>
              <w:t>中煤能源</w:t>
            </w:r>
          </w:p>
        </w:tc>
        <w:tc>
          <w:tcPr>
            <w:tcW w:type="dxa" w:w="2160"/>
          </w:tcPr>
          <w:p>
            <w:r>
              <w:rPr>
                <w:sz w:val="20"/>
              </w:rPr>
              <w:t>601898.SH</w:t>
            </w:r>
          </w:p>
        </w:tc>
        <w:tc>
          <w:tcPr>
            <w:tcW w:type="dxa" w:w="2160"/>
          </w:tcPr>
          <w:p>
            <w:r>
              <w:rPr>
                <w:sz w:val="20"/>
              </w:rPr>
              <w:t>煤炭+煤化工一体化，资源自给</w:t>
            </w:r>
          </w:p>
        </w:tc>
        <w:tc>
          <w:tcPr>
            <w:tcW w:type="dxa" w:w="2160"/>
          </w:tcPr>
          <w:p>
            <w:r>
              <w:rPr>
                <w:sz w:val="20"/>
              </w:rPr>
              <w:t>聚烯烃、甲醇、尿素</w:t>
            </w:r>
          </w:p>
        </w:tc>
      </w:tr>
      <w:tr>
        <w:tc>
          <w:tcPr>
            <w:tcW w:type="dxa" w:w="2160"/>
          </w:tcPr>
          <w:p>
            <w:r>
              <w:rPr>
                <w:sz w:val="20"/>
              </w:rPr>
              <w:t>华鲁恒升</w:t>
            </w:r>
          </w:p>
        </w:tc>
        <w:tc>
          <w:tcPr>
            <w:tcW w:type="dxa" w:w="2160"/>
          </w:tcPr>
          <w:p>
            <w:r>
              <w:rPr>
                <w:sz w:val="20"/>
              </w:rPr>
              <w:t>600426.SH</w:t>
            </w:r>
          </w:p>
        </w:tc>
        <w:tc>
          <w:tcPr>
            <w:tcW w:type="dxa" w:w="2160"/>
          </w:tcPr>
          <w:p>
            <w:r>
              <w:rPr>
                <w:sz w:val="20"/>
              </w:rPr>
              <w:t>煤化工多联产龙头，产品多元化</w:t>
            </w:r>
          </w:p>
        </w:tc>
        <w:tc>
          <w:tcPr>
            <w:tcW w:type="dxa" w:w="2160"/>
          </w:tcPr>
          <w:p>
            <w:r>
              <w:rPr>
                <w:sz w:val="20"/>
              </w:rPr>
              <w:t>DMF、醋酸、己二酸</w:t>
            </w:r>
          </w:p>
        </w:tc>
      </w:tr>
      <w:tr>
        <w:tc>
          <w:tcPr>
            <w:tcW w:type="dxa" w:w="2160"/>
          </w:tcPr>
          <w:p>
            <w:r>
              <w:rPr>
                <w:sz w:val="20"/>
              </w:rPr>
              <w:t>卫星化学</w:t>
            </w:r>
          </w:p>
        </w:tc>
        <w:tc>
          <w:tcPr>
            <w:tcW w:type="dxa" w:w="2160"/>
          </w:tcPr>
          <w:p>
            <w:r>
              <w:rPr>
                <w:sz w:val="20"/>
              </w:rPr>
              <w:t>002648.SZ</w:t>
            </w:r>
          </w:p>
        </w:tc>
        <w:tc>
          <w:tcPr>
            <w:tcW w:type="dxa" w:w="2160"/>
          </w:tcPr>
          <w:p>
            <w:r>
              <w:rPr>
                <w:sz w:val="20"/>
              </w:rPr>
              <w:t>C2/C3产业链完整</w:t>
            </w:r>
          </w:p>
        </w:tc>
        <w:tc>
          <w:tcPr>
            <w:tcW w:type="dxa" w:w="2160"/>
          </w:tcPr>
          <w:p>
            <w:r>
              <w:rPr>
                <w:sz w:val="20"/>
              </w:rPr>
              <w:t>丙烯酸、乙烯、聚乙烯</w:t>
            </w:r>
          </w:p>
        </w:tc>
      </w:tr>
      <w:tr>
        <w:tc>
          <w:tcPr>
            <w:tcW w:type="dxa" w:w="2160"/>
          </w:tcPr>
          <w:p>
            <w:r>
              <w:rPr>
                <w:sz w:val="20"/>
              </w:rPr>
              <w:t>宝泰隆</w:t>
            </w:r>
          </w:p>
        </w:tc>
        <w:tc>
          <w:tcPr>
            <w:tcW w:type="dxa" w:w="2160"/>
          </w:tcPr>
          <w:p>
            <w:r>
              <w:rPr>
                <w:sz w:val="20"/>
              </w:rPr>
              <w:t>601011.SH</w:t>
            </w:r>
          </w:p>
        </w:tc>
        <w:tc>
          <w:tcPr>
            <w:tcW w:type="dxa" w:w="2160"/>
          </w:tcPr>
          <w:p>
            <w:r>
              <w:rPr>
                <w:sz w:val="20"/>
              </w:rPr>
              <w:t>煤焦化深加工</w:t>
            </w:r>
          </w:p>
        </w:tc>
        <w:tc>
          <w:tcPr>
            <w:tcW w:type="dxa" w:w="2160"/>
          </w:tcPr>
          <w:p>
            <w:r>
              <w:rPr>
                <w:sz w:val="20"/>
              </w:rPr>
              <w:t>甲醇、煤焦油、针状焦</w:t>
            </w:r>
          </w:p>
        </w:tc>
      </w:tr>
    </w:tbl>
    <w:p>
      <w:pPr>
        <w:pStyle w:val="Heading2"/>
      </w:pPr>
      <w:r>
        <w:t>4.2 第二梯队：国内油气开采</w:t>
      </w:r>
    </w:p>
    <w:p>
      <w:r>
        <w:t>油价高企直接利好国内油气生产企业，其产品售价跟随国际油价上涨，而开采成本相对固定，利润弹性显著。同时，能源安全战略下国内油气资本开支有望增加。</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公司</w:t>
            </w:r>
          </w:p>
        </w:tc>
        <w:tc>
          <w:tcPr>
            <w:tcW w:type="dxa" w:w="2880"/>
          </w:tcPr>
          <w:p>
            <w:r>
              <w:rPr>
                <w:b/>
                <w:sz w:val="20"/>
              </w:rPr>
              <w:t>代码</w:t>
            </w:r>
          </w:p>
        </w:tc>
        <w:tc>
          <w:tcPr>
            <w:tcW w:type="dxa" w:w="2880"/>
          </w:tcPr>
          <w:p>
            <w:r>
              <w:rPr>
                <w:b/>
                <w:sz w:val="20"/>
              </w:rPr>
              <w:t>核心优势</w:t>
            </w:r>
          </w:p>
        </w:tc>
      </w:tr>
      <w:tr>
        <w:tc>
          <w:tcPr>
            <w:tcW w:type="dxa" w:w="2880"/>
          </w:tcPr>
          <w:p>
            <w:r>
              <w:rPr>
                <w:sz w:val="20"/>
              </w:rPr>
              <w:t>中国石油</w:t>
            </w:r>
          </w:p>
        </w:tc>
        <w:tc>
          <w:tcPr>
            <w:tcW w:type="dxa" w:w="2880"/>
          </w:tcPr>
          <w:p>
            <w:r>
              <w:rPr>
                <w:sz w:val="20"/>
              </w:rPr>
              <w:t>601857.SH</w:t>
            </w:r>
          </w:p>
        </w:tc>
        <w:tc>
          <w:tcPr>
            <w:tcW w:type="dxa" w:w="2880"/>
          </w:tcPr>
          <w:p>
            <w:r>
              <w:rPr>
                <w:sz w:val="20"/>
              </w:rPr>
              <w:t>国内最大油气生产商，油价直接受益，产量稳定增长</w:t>
            </w:r>
          </w:p>
        </w:tc>
      </w:tr>
      <w:tr>
        <w:tc>
          <w:tcPr>
            <w:tcW w:type="dxa" w:w="2880"/>
          </w:tcPr>
          <w:p>
            <w:r>
              <w:rPr>
                <w:sz w:val="20"/>
              </w:rPr>
              <w:t>中海油服</w:t>
            </w:r>
          </w:p>
        </w:tc>
        <w:tc>
          <w:tcPr>
            <w:tcW w:type="dxa" w:w="2880"/>
          </w:tcPr>
          <w:p>
            <w:r>
              <w:rPr>
                <w:sz w:val="20"/>
              </w:rPr>
              <w:t>601808.SH</w:t>
            </w:r>
          </w:p>
        </w:tc>
        <w:tc>
          <w:tcPr>
            <w:tcW w:type="dxa" w:w="2880"/>
          </w:tcPr>
          <w:p>
            <w:r>
              <w:rPr>
                <w:sz w:val="20"/>
              </w:rPr>
              <w:t>海上油气服务龙头，上游资本开支增加带动业绩</w:t>
            </w:r>
          </w:p>
        </w:tc>
      </w:tr>
      <w:tr>
        <w:tc>
          <w:tcPr>
            <w:tcW w:type="dxa" w:w="2880"/>
          </w:tcPr>
          <w:p>
            <w:r>
              <w:rPr>
                <w:sz w:val="20"/>
              </w:rPr>
              <w:t>海油工程</w:t>
            </w:r>
          </w:p>
        </w:tc>
        <w:tc>
          <w:tcPr>
            <w:tcW w:type="dxa" w:w="2880"/>
          </w:tcPr>
          <w:p>
            <w:r>
              <w:rPr>
                <w:sz w:val="20"/>
              </w:rPr>
              <w:t>600583.SH</w:t>
            </w:r>
          </w:p>
        </w:tc>
        <w:tc>
          <w:tcPr>
            <w:tcW w:type="dxa" w:w="2880"/>
          </w:tcPr>
          <w:p>
            <w:r>
              <w:rPr>
                <w:sz w:val="20"/>
              </w:rPr>
              <w:t>海上油气工程建设，受益于国内油气开发加速</w:t>
            </w:r>
          </w:p>
        </w:tc>
      </w:tr>
      <w:tr>
        <w:tc>
          <w:tcPr>
            <w:tcW w:type="dxa" w:w="2880"/>
          </w:tcPr>
          <w:p>
            <w:r>
              <w:rPr>
                <w:sz w:val="20"/>
              </w:rPr>
              <w:t>中国海油</w:t>
            </w:r>
          </w:p>
        </w:tc>
        <w:tc>
          <w:tcPr>
            <w:tcW w:type="dxa" w:w="2880"/>
          </w:tcPr>
          <w:p>
            <w:r>
              <w:rPr>
                <w:sz w:val="20"/>
              </w:rPr>
              <w:t>600938.SH</w:t>
            </w:r>
          </w:p>
        </w:tc>
        <w:tc>
          <w:tcPr>
            <w:tcW w:type="dxa" w:w="2880"/>
          </w:tcPr>
          <w:p>
            <w:r>
              <w:rPr>
                <w:sz w:val="20"/>
              </w:rPr>
              <w:t>纯上游油气生产商，油价弹性最大</w:t>
            </w:r>
          </w:p>
        </w:tc>
      </w:tr>
    </w:tbl>
    <w:p>
      <w:pPr>
        <w:pStyle w:val="Heading2"/>
      </w:pPr>
      <w:r>
        <w:t>4.3 第三梯队：炼化一体化（受益但有压制）</w:t>
      </w:r>
    </w:p>
    <w:p>
      <w:r>
        <w:t>大型炼化一体化企业受益于化工品涨价，但同时面临原料成本上升的压力。若企业前期有低价原油库存，则短期受益明显；若库存耗尽后原料需高价补充，利润将被压缩。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公司</w:t>
            </w:r>
          </w:p>
        </w:tc>
        <w:tc>
          <w:tcPr>
            <w:tcW w:type="dxa" w:w="2880"/>
          </w:tcPr>
          <w:p>
            <w:r>
              <w:rPr>
                <w:b/>
                <w:sz w:val="20"/>
              </w:rPr>
              <w:t>代码</w:t>
            </w:r>
          </w:p>
        </w:tc>
        <w:tc>
          <w:tcPr>
            <w:tcW w:type="dxa" w:w="2880"/>
          </w:tcPr>
          <w:p>
            <w:r>
              <w:rPr>
                <w:b/>
                <w:sz w:val="20"/>
              </w:rPr>
              <w:t>特征</w:t>
            </w:r>
          </w:p>
        </w:tc>
      </w:tr>
      <w:tr>
        <w:tc>
          <w:tcPr>
            <w:tcW w:type="dxa" w:w="2880"/>
          </w:tcPr>
          <w:p>
            <w:r>
              <w:rPr>
                <w:sz w:val="20"/>
              </w:rPr>
              <w:t>荣盛石化</w:t>
            </w:r>
          </w:p>
        </w:tc>
        <w:tc>
          <w:tcPr>
            <w:tcW w:type="dxa" w:w="2880"/>
          </w:tcPr>
          <w:p>
            <w:r>
              <w:rPr>
                <w:sz w:val="20"/>
              </w:rPr>
              <w:t>002493.SZ</w:t>
            </w:r>
          </w:p>
        </w:tc>
        <w:tc>
          <w:tcPr>
            <w:tcW w:type="dxa" w:w="2880"/>
          </w:tcPr>
          <w:p>
            <w:r>
              <w:rPr>
                <w:sz w:val="20"/>
              </w:rPr>
              <w:t>浙石化4000万吨/年大炼化，有部分原料库存优势</w:t>
            </w:r>
          </w:p>
        </w:tc>
      </w:tr>
      <w:tr>
        <w:tc>
          <w:tcPr>
            <w:tcW w:type="dxa" w:w="2880"/>
          </w:tcPr>
          <w:p>
            <w:r>
              <w:rPr>
                <w:sz w:val="20"/>
              </w:rPr>
              <w:t>恒力石化</w:t>
            </w:r>
          </w:p>
        </w:tc>
        <w:tc>
          <w:tcPr>
            <w:tcW w:type="dxa" w:w="2880"/>
          </w:tcPr>
          <w:p>
            <w:r>
              <w:rPr>
                <w:sz w:val="20"/>
              </w:rPr>
              <w:t>600346.SH</w:t>
            </w:r>
          </w:p>
        </w:tc>
        <w:tc>
          <w:tcPr>
            <w:tcW w:type="dxa" w:w="2880"/>
          </w:tcPr>
          <w:p>
            <w:r>
              <w:rPr>
                <w:sz w:val="20"/>
              </w:rPr>
              <w:t>2000万吨/年炼化一体化，产业链完整</w:t>
            </w:r>
          </w:p>
        </w:tc>
      </w:tr>
      <w:tr>
        <w:tc>
          <w:tcPr>
            <w:tcW w:type="dxa" w:w="2880"/>
          </w:tcPr>
          <w:p>
            <w:r>
              <w:rPr>
                <w:sz w:val="20"/>
              </w:rPr>
              <w:t>上海石化</w:t>
            </w:r>
          </w:p>
        </w:tc>
        <w:tc>
          <w:tcPr>
            <w:tcW w:type="dxa" w:w="2880"/>
          </w:tcPr>
          <w:p>
            <w:r>
              <w:rPr>
                <w:sz w:val="20"/>
              </w:rPr>
              <w:t>600688.SH</w:t>
            </w:r>
          </w:p>
        </w:tc>
        <w:tc>
          <w:tcPr>
            <w:tcW w:type="dxa" w:w="2880"/>
          </w:tcPr>
          <w:p>
            <w:r>
              <w:rPr>
                <w:sz w:val="20"/>
              </w:rPr>
              <w:t>老牌炼化企业，产能规模适中</w:t>
            </w:r>
          </w:p>
        </w:tc>
      </w:tr>
    </w:tbl>
    <w:p>
      <w:pPr>
        <w:pStyle w:val="Heading1"/>
      </w:pPr>
      <w:r>
        <w:t>五、煤制vs油制化工品成本对比</w:t>
      </w:r>
    </w:p>
    <w:p>
      <w:r>
        <w:t>以下对比清晰展示煤化工在当前局势下的成本优势：</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指标</w:t>
            </w:r>
          </w:p>
        </w:tc>
        <w:tc>
          <w:tcPr>
            <w:tcW w:type="dxa" w:w="2160"/>
          </w:tcPr>
          <w:p>
            <w:pPr>
              <w:jc w:val="center"/>
            </w:pPr>
            <w:r>
              <w:rPr>
                <w:b/>
                <w:sz w:val="18"/>
              </w:rPr>
              <w:t>油制路线（危机前）</w:t>
            </w:r>
          </w:p>
        </w:tc>
        <w:tc>
          <w:tcPr>
            <w:tcW w:type="dxa" w:w="2160"/>
          </w:tcPr>
          <w:p>
            <w:pPr>
              <w:jc w:val="center"/>
            </w:pPr>
            <w:r>
              <w:rPr>
                <w:b/>
                <w:sz w:val="18"/>
              </w:rPr>
              <w:t>油制路线（危机后）</w:t>
            </w:r>
          </w:p>
        </w:tc>
        <w:tc>
          <w:tcPr>
            <w:tcW w:type="dxa" w:w="2160"/>
          </w:tcPr>
          <w:p>
            <w:pPr>
              <w:jc w:val="center"/>
            </w:pPr>
            <w:r>
              <w:rPr>
                <w:b/>
                <w:sz w:val="18"/>
              </w:rPr>
              <w:t>煤制路线（当前）</w:t>
            </w:r>
          </w:p>
        </w:tc>
      </w:tr>
      <w:tr>
        <w:tc>
          <w:tcPr>
            <w:tcW w:type="dxa" w:w="2160"/>
          </w:tcPr>
          <w:p>
            <w:pPr>
              <w:jc w:val="center"/>
            </w:pPr>
            <w:r>
              <w:rPr>
                <w:sz w:val="18"/>
              </w:rPr>
              <w:t>原料成本</w:t>
            </w:r>
          </w:p>
        </w:tc>
        <w:tc>
          <w:tcPr>
            <w:tcW w:type="dxa" w:w="2160"/>
          </w:tcPr>
          <w:p>
            <w:pPr>
              <w:jc w:val="center"/>
            </w:pPr>
            <w:r>
              <w:rPr>
                <w:sz w:val="18"/>
              </w:rPr>
              <w:t>~75美元/桶原油</w:t>
            </w:r>
          </w:p>
        </w:tc>
        <w:tc>
          <w:tcPr>
            <w:tcW w:type="dxa" w:w="2160"/>
          </w:tcPr>
          <w:p>
            <w:pPr>
              <w:jc w:val="center"/>
            </w:pPr>
            <w:r>
              <w:rPr>
                <w:sz w:val="18"/>
              </w:rPr>
              <w:t>~120美元/桶原油</w:t>
            </w:r>
          </w:p>
        </w:tc>
        <w:tc>
          <w:tcPr>
            <w:tcW w:type="dxa" w:w="2160"/>
          </w:tcPr>
          <w:p>
            <w:pPr>
              <w:jc w:val="center"/>
            </w:pPr>
            <w:r>
              <w:rPr>
                <w:sz w:val="18"/>
              </w:rPr>
              <w:t>国产煤炭（基本稳定）</w:t>
            </w:r>
          </w:p>
        </w:tc>
      </w:tr>
      <w:tr>
        <w:tc>
          <w:tcPr>
            <w:tcW w:type="dxa" w:w="2160"/>
          </w:tcPr>
          <w:p>
            <w:pPr>
              <w:jc w:val="center"/>
            </w:pPr>
            <w:r>
              <w:rPr>
                <w:sz w:val="18"/>
              </w:rPr>
              <w:t>聚乙烯成本</w:t>
            </w:r>
          </w:p>
        </w:tc>
        <w:tc>
          <w:tcPr>
            <w:tcW w:type="dxa" w:w="2160"/>
          </w:tcPr>
          <w:p>
            <w:pPr>
              <w:jc w:val="center"/>
            </w:pPr>
            <w:r>
              <w:rPr>
                <w:sz w:val="18"/>
              </w:rPr>
              <w:t>约6000-6500元/吨</w:t>
            </w:r>
          </w:p>
        </w:tc>
        <w:tc>
          <w:tcPr>
            <w:tcW w:type="dxa" w:w="2160"/>
          </w:tcPr>
          <w:p>
            <w:pPr>
              <w:jc w:val="center"/>
            </w:pPr>
            <w:r>
              <w:rPr>
                <w:sz w:val="18"/>
              </w:rPr>
              <w:t>约8500-9500元/吨</w:t>
            </w:r>
          </w:p>
        </w:tc>
        <w:tc>
          <w:tcPr>
            <w:tcW w:type="dxa" w:w="2160"/>
          </w:tcPr>
          <w:p>
            <w:pPr>
              <w:jc w:val="center"/>
            </w:pPr>
            <w:r>
              <w:rPr>
                <w:sz w:val="18"/>
              </w:rPr>
              <w:t>约5000-6000元/吨</w:t>
            </w:r>
          </w:p>
        </w:tc>
      </w:tr>
      <w:tr>
        <w:tc>
          <w:tcPr>
            <w:tcW w:type="dxa" w:w="2160"/>
          </w:tcPr>
          <w:p>
            <w:pPr>
              <w:jc w:val="center"/>
            </w:pPr>
            <w:r>
              <w:rPr>
                <w:sz w:val="18"/>
              </w:rPr>
              <w:t>聚丙烯成本</w:t>
            </w:r>
          </w:p>
        </w:tc>
        <w:tc>
          <w:tcPr>
            <w:tcW w:type="dxa" w:w="2160"/>
          </w:tcPr>
          <w:p>
            <w:pPr>
              <w:jc w:val="center"/>
            </w:pPr>
            <w:r>
              <w:rPr>
                <w:sz w:val="18"/>
              </w:rPr>
              <w:t>约5800-6300元/吨</w:t>
            </w:r>
          </w:p>
        </w:tc>
        <w:tc>
          <w:tcPr>
            <w:tcW w:type="dxa" w:w="2160"/>
          </w:tcPr>
          <w:p>
            <w:pPr>
              <w:jc w:val="center"/>
            </w:pPr>
            <w:r>
              <w:rPr>
                <w:sz w:val="18"/>
              </w:rPr>
              <w:t>约8000-9000元/吨</w:t>
            </w:r>
          </w:p>
        </w:tc>
        <w:tc>
          <w:tcPr>
            <w:tcW w:type="dxa" w:w="2160"/>
          </w:tcPr>
          <w:p>
            <w:pPr>
              <w:jc w:val="center"/>
            </w:pPr>
            <w:r>
              <w:rPr>
                <w:sz w:val="18"/>
              </w:rPr>
              <w:t>约4800-5500元/吨</w:t>
            </w:r>
          </w:p>
        </w:tc>
      </w:tr>
      <w:tr>
        <w:tc>
          <w:tcPr>
            <w:tcW w:type="dxa" w:w="2160"/>
          </w:tcPr>
          <w:p>
            <w:pPr>
              <w:jc w:val="center"/>
            </w:pPr>
            <w:r>
              <w:rPr>
                <w:sz w:val="18"/>
              </w:rPr>
              <w:t>甲醇成本</w:t>
            </w:r>
          </w:p>
        </w:tc>
        <w:tc>
          <w:tcPr>
            <w:tcW w:type="dxa" w:w="2160"/>
          </w:tcPr>
          <w:p>
            <w:pPr>
              <w:jc w:val="center"/>
            </w:pPr>
            <w:r>
              <w:rPr>
                <w:sz w:val="18"/>
              </w:rPr>
              <w:t>约2500-3000元/吨</w:t>
            </w:r>
          </w:p>
        </w:tc>
        <w:tc>
          <w:tcPr>
            <w:tcW w:type="dxa" w:w="2160"/>
          </w:tcPr>
          <w:p>
            <w:pPr>
              <w:jc w:val="center"/>
            </w:pPr>
            <w:r>
              <w:rPr>
                <w:sz w:val="18"/>
              </w:rPr>
              <w:t>约4000-5000元/吨</w:t>
            </w:r>
          </w:p>
        </w:tc>
        <w:tc>
          <w:tcPr>
            <w:tcW w:type="dxa" w:w="2160"/>
          </w:tcPr>
          <w:p>
            <w:pPr>
              <w:jc w:val="center"/>
            </w:pPr>
            <w:r>
              <w:rPr>
                <w:sz w:val="18"/>
              </w:rPr>
              <w:t>约1800-2200元/吨</w:t>
            </w:r>
          </w:p>
        </w:tc>
      </w:tr>
      <w:tr>
        <w:tc>
          <w:tcPr>
            <w:tcW w:type="dxa" w:w="2160"/>
          </w:tcPr>
          <w:p>
            <w:pPr>
              <w:jc w:val="center"/>
            </w:pPr>
            <w:r>
              <w:rPr>
                <w:sz w:val="18"/>
              </w:rPr>
              <w:t>利润空间</w:t>
            </w:r>
          </w:p>
        </w:tc>
        <w:tc>
          <w:tcPr>
            <w:tcW w:type="dxa" w:w="2160"/>
          </w:tcPr>
          <w:p>
            <w:pPr>
              <w:jc w:val="center"/>
            </w:pPr>
            <w:r>
              <w:rPr>
                <w:sz w:val="18"/>
              </w:rPr>
              <w:t>正常</w:t>
            </w:r>
          </w:p>
        </w:tc>
        <w:tc>
          <w:tcPr>
            <w:tcW w:type="dxa" w:w="2160"/>
          </w:tcPr>
          <w:p>
            <w:pPr>
              <w:jc w:val="center"/>
            </w:pPr>
            <w:r>
              <w:rPr>
                <w:sz w:val="18"/>
              </w:rPr>
              <w:t>被压缩（原料涨）</w:t>
            </w:r>
          </w:p>
        </w:tc>
        <w:tc>
          <w:tcPr>
            <w:tcW w:type="dxa" w:w="2160"/>
          </w:tcPr>
          <w:p>
            <w:pPr>
              <w:jc w:val="center"/>
            </w:pPr>
            <w:r>
              <w:rPr>
                <w:sz w:val="18"/>
              </w:rPr>
              <w:t>大幅扩张（产品涨、成本稳）</w:t>
            </w:r>
          </w:p>
        </w:tc>
      </w:tr>
    </w:tbl>
    <w:p>
      <w:pPr>
        <w:pStyle w:val="Heading1"/>
      </w:pPr>
      <w:r>
        <w:t>六、3月市场表现回顾</w:t>
      </w:r>
    </w:p>
    <w:p>
      <w:r>
        <w:t>值得注意的是，3月份石油化工板块整体下跌8.81%的背景下，煤化工和油气开采龙头已逆势上涨，显示"聪明资金"已提前布局：</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公司</w:t>
            </w:r>
          </w:p>
        </w:tc>
        <w:tc>
          <w:tcPr>
            <w:tcW w:type="dxa" w:w="2160"/>
          </w:tcPr>
          <w:p>
            <w:r>
              <w:rPr>
                <w:b/>
                <w:sz w:val="20"/>
              </w:rPr>
              <w:t>代码</w:t>
            </w:r>
          </w:p>
        </w:tc>
        <w:tc>
          <w:tcPr>
            <w:tcW w:type="dxa" w:w="2160"/>
          </w:tcPr>
          <w:p>
            <w:r>
              <w:rPr>
                <w:b/>
                <w:sz w:val="20"/>
              </w:rPr>
              <w:t>3月涨跌幅</w:t>
            </w:r>
          </w:p>
        </w:tc>
        <w:tc>
          <w:tcPr>
            <w:tcW w:type="dxa" w:w="2160"/>
          </w:tcPr>
          <w:p>
            <w:r>
              <w:rPr>
                <w:b/>
                <w:sz w:val="20"/>
              </w:rPr>
              <w:t>说明</w:t>
            </w:r>
          </w:p>
        </w:tc>
      </w:tr>
      <w:tr>
        <w:tc>
          <w:tcPr>
            <w:tcW w:type="dxa" w:w="2160"/>
          </w:tcPr>
          <w:p>
            <w:r>
              <w:rPr>
                <w:sz w:val="20"/>
              </w:rPr>
              <w:t>宝丰能源</w:t>
            </w:r>
          </w:p>
        </w:tc>
        <w:tc>
          <w:tcPr>
            <w:tcW w:type="dxa" w:w="2160"/>
          </w:tcPr>
          <w:p>
            <w:r>
              <w:rPr>
                <w:sz w:val="20"/>
              </w:rPr>
              <w:t>600989.SH</w:t>
            </w:r>
          </w:p>
        </w:tc>
        <w:tc>
          <w:tcPr>
            <w:tcW w:type="dxa" w:w="2160"/>
          </w:tcPr>
          <w:p>
            <w:r>
              <w:rPr>
                <w:sz w:val="20"/>
              </w:rPr>
              <w:t>+14.41%</w:t>
            </w:r>
          </w:p>
        </w:tc>
        <w:tc>
          <w:tcPr>
            <w:tcW w:type="dxa" w:w="2160"/>
          </w:tcPr>
          <w:p>
            <w:r>
              <w:rPr>
                <w:sz w:val="20"/>
              </w:rPr>
              <w:t>板块涨幅第一，振幅42.80%，资金高度关注</w:t>
            </w:r>
          </w:p>
        </w:tc>
      </w:tr>
      <w:tr>
        <w:tc>
          <w:tcPr>
            <w:tcW w:type="dxa" w:w="2160"/>
          </w:tcPr>
          <w:p>
            <w:r>
              <w:rPr>
                <w:sz w:val="20"/>
              </w:rPr>
              <w:t>中煤能源</w:t>
            </w:r>
          </w:p>
        </w:tc>
        <w:tc>
          <w:tcPr>
            <w:tcW w:type="dxa" w:w="2160"/>
          </w:tcPr>
          <w:p>
            <w:r>
              <w:rPr>
                <w:sz w:val="20"/>
              </w:rPr>
              <w:t>601898.SH</w:t>
            </w:r>
          </w:p>
        </w:tc>
        <w:tc>
          <w:tcPr>
            <w:tcW w:type="dxa" w:w="2160"/>
          </w:tcPr>
          <w:p>
            <w:r>
              <w:rPr>
                <w:sz w:val="20"/>
              </w:rPr>
              <w:t>+11.75%</w:t>
            </w:r>
          </w:p>
        </w:tc>
        <w:tc>
          <w:tcPr>
            <w:tcW w:type="dxa" w:w="2160"/>
          </w:tcPr>
          <w:p>
            <w:r>
              <w:rPr>
                <w:sz w:val="20"/>
              </w:rPr>
              <w:t>煤炭+煤化工双逻辑驱动</w:t>
            </w:r>
          </w:p>
        </w:tc>
      </w:tr>
      <w:tr>
        <w:tc>
          <w:tcPr>
            <w:tcW w:type="dxa" w:w="2160"/>
          </w:tcPr>
          <w:p>
            <w:r>
              <w:rPr>
                <w:sz w:val="20"/>
              </w:rPr>
              <w:t>中国石油</w:t>
            </w:r>
          </w:p>
        </w:tc>
        <w:tc>
          <w:tcPr>
            <w:tcW w:type="dxa" w:w="2160"/>
          </w:tcPr>
          <w:p>
            <w:r>
              <w:rPr>
                <w:sz w:val="20"/>
              </w:rPr>
              <w:t>601857.SH</w:t>
            </w:r>
          </w:p>
        </w:tc>
        <w:tc>
          <w:tcPr>
            <w:tcW w:type="dxa" w:w="2160"/>
          </w:tcPr>
          <w:p>
            <w:r>
              <w:rPr>
                <w:sz w:val="20"/>
              </w:rPr>
              <w:t>+2.29%</w:t>
            </w:r>
          </w:p>
        </w:tc>
        <w:tc>
          <w:tcPr>
            <w:tcW w:type="dxa" w:w="2160"/>
          </w:tcPr>
          <w:p>
            <w:r>
              <w:rPr>
                <w:sz w:val="20"/>
              </w:rPr>
              <w:t>大盘权重股逆势飘红，"定海神针"</w:t>
            </w:r>
          </w:p>
        </w:tc>
      </w:tr>
      <w:tr>
        <w:tc>
          <w:tcPr>
            <w:tcW w:type="dxa" w:w="2160"/>
          </w:tcPr>
          <w:p>
            <w:r>
              <w:rPr>
                <w:sz w:val="20"/>
              </w:rPr>
              <w:t>山东墨龙</w:t>
            </w:r>
          </w:p>
        </w:tc>
        <w:tc>
          <w:tcPr>
            <w:tcW w:type="dxa" w:w="2160"/>
          </w:tcPr>
          <w:p>
            <w:r>
              <w:rPr>
                <w:sz w:val="20"/>
              </w:rPr>
              <w:t>002490.SZ</w:t>
            </w:r>
          </w:p>
        </w:tc>
        <w:tc>
          <w:tcPr>
            <w:tcW w:type="dxa" w:w="2160"/>
          </w:tcPr>
          <w:p>
            <w:r>
              <w:rPr>
                <w:sz w:val="20"/>
              </w:rPr>
              <w:t>+4.24%</w:t>
            </w:r>
          </w:p>
        </w:tc>
        <w:tc>
          <w:tcPr>
            <w:tcW w:type="dxa" w:w="2160"/>
          </w:tcPr>
          <w:p>
            <w:r>
              <w:rPr>
                <w:sz w:val="20"/>
              </w:rPr>
              <w:t>油服设备概念，振幅高达51.86%</w:t>
            </w:r>
          </w:p>
        </w:tc>
      </w:tr>
    </w:tbl>
    <w:p>
      <w:pPr>
        <w:pStyle w:val="Heading1"/>
      </w:pPr>
      <w:r>
        <w:t>七、2026年4月投资展望</w:t>
      </w:r>
    </w:p>
    <w:p>
      <w:pPr>
        <w:pStyle w:val="Heading2"/>
      </w:pPr>
      <w:r>
        <w:t>7.1 情景分析</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情景</w:t>
            </w:r>
          </w:p>
        </w:tc>
        <w:tc>
          <w:tcPr>
            <w:tcW w:type="dxa" w:w="2160"/>
          </w:tcPr>
          <w:p>
            <w:pPr>
              <w:jc w:val="center"/>
            </w:pPr>
            <w:r>
              <w:rPr>
                <w:b/>
                <w:sz w:val="20"/>
              </w:rPr>
              <w:t>概率评估</w:t>
            </w:r>
          </w:p>
        </w:tc>
        <w:tc>
          <w:tcPr>
            <w:tcW w:type="dxa" w:w="2160"/>
          </w:tcPr>
          <w:p>
            <w:pPr>
              <w:jc w:val="center"/>
            </w:pPr>
            <w:r>
              <w:rPr>
                <w:b/>
                <w:sz w:val="20"/>
              </w:rPr>
              <w:t>油价区间</w:t>
            </w:r>
          </w:p>
        </w:tc>
        <w:tc>
          <w:tcPr>
            <w:tcW w:type="dxa" w:w="2160"/>
          </w:tcPr>
          <w:p>
            <w:pPr>
              <w:jc w:val="center"/>
            </w:pPr>
            <w:r>
              <w:rPr>
                <w:b/>
                <w:sz w:val="20"/>
              </w:rPr>
              <w:t>煤化工板块预期</w:t>
            </w:r>
          </w:p>
        </w:tc>
      </w:tr>
      <w:tr>
        <w:tc>
          <w:tcPr>
            <w:tcW w:type="dxa" w:w="2160"/>
          </w:tcPr>
          <w:p>
            <w:pPr>
              <w:jc w:val="center"/>
            </w:pPr>
            <w:r>
              <w:rPr>
                <w:sz w:val="20"/>
              </w:rPr>
              <w:t>冲突持续，海峡未恢复</w:t>
            </w:r>
          </w:p>
        </w:tc>
        <w:tc>
          <w:tcPr>
            <w:tcW w:type="dxa" w:w="2160"/>
          </w:tcPr>
          <w:p>
            <w:pPr>
              <w:jc w:val="center"/>
            </w:pPr>
            <w:r>
              <w:rPr>
                <w:sz w:val="20"/>
              </w:rPr>
              <w:t>中高</w:t>
            </w:r>
          </w:p>
        </w:tc>
        <w:tc>
          <w:tcPr>
            <w:tcW w:type="dxa" w:w="2160"/>
          </w:tcPr>
          <w:p>
            <w:pPr>
              <w:jc w:val="center"/>
            </w:pPr>
            <w:r>
              <w:rPr>
                <w:sz w:val="20"/>
              </w:rPr>
              <w:t>100-140美元</w:t>
            </w:r>
          </w:p>
        </w:tc>
        <w:tc>
          <w:tcPr>
            <w:tcW w:type="dxa" w:w="2160"/>
          </w:tcPr>
          <w:p>
            <w:pPr>
              <w:jc w:val="center"/>
            </w:pPr>
            <w:r>
              <w:rPr>
                <w:color w:val="8B0000"/>
                <w:sz w:val="20"/>
              </w:rPr>
              <w:t>强烈看多，估值重估，涨幅加速</w:t>
            </w:r>
          </w:p>
        </w:tc>
      </w:tr>
      <w:tr>
        <w:tc>
          <w:tcPr>
            <w:tcW w:type="dxa" w:w="2160"/>
          </w:tcPr>
          <w:p>
            <w:pPr>
              <w:jc w:val="center"/>
            </w:pPr>
            <w:r>
              <w:rPr>
                <w:sz w:val="20"/>
              </w:rPr>
              <w:t>部分恢复，有限通航</w:t>
            </w:r>
          </w:p>
        </w:tc>
        <w:tc>
          <w:tcPr>
            <w:tcW w:type="dxa" w:w="2160"/>
          </w:tcPr>
          <w:p>
            <w:pPr>
              <w:jc w:val="center"/>
            </w:pPr>
            <w:r>
              <w:rPr>
                <w:sz w:val="20"/>
              </w:rPr>
              <w:t>中等</w:t>
            </w:r>
          </w:p>
        </w:tc>
        <w:tc>
          <w:tcPr>
            <w:tcW w:type="dxa" w:w="2160"/>
          </w:tcPr>
          <w:p>
            <w:pPr>
              <w:jc w:val="center"/>
            </w:pPr>
            <w:r>
              <w:rPr>
                <w:sz w:val="20"/>
              </w:rPr>
              <w:t>85-110美元</w:t>
            </w:r>
          </w:p>
        </w:tc>
        <w:tc>
          <w:tcPr>
            <w:tcW w:type="dxa" w:w="2160"/>
          </w:tcPr>
          <w:p>
            <w:pPr>
              <w:jc w:val="center"/>
            </w:pPr>
            <w:r>
              <w:rPr>
                <w:sz w:val="20"/>
              </w:rPr>
              <w:t>中性偏多，受益程度减弱</w:t>
            </w:r>
          </w:p>
        </w:tc>
      </w:tr>
      <w:tr>
        <w:tc>
          <w:tcPr>
            <w:tcW w:type="dxa" w:w="2160"/>
          </w:tcPr>
          <w:p>
            <w:pPr>
              <w:jc w:val="center"/>
            </w:pPr>
            <w:r>
              <w:rPr>
                <w:sz w:val="20"/>
              </w:rPr>
              <w:t>快速缓和，全面恢复通航</w:t>
            </w:r>
          </w:p>
        </w:tc>
        <w:tc>
          <w:tcPr>
            <w:tcW w:type="dxa" w:w="2160"/>
          </w:tcPr>
          <w:p>
            <w:pPr>
              <w:jc w:val="center"/>
            </w:pPr>
            <w:r>
              <w:rPr>
                <w:sz w:val="20"/>
              </w:rPr>
              <w:t>较低</w:t>
            </w:r>
          </w:p>
        </w:tc>
        <w:tc>
          <w:tcPr>
            <w:tcW w:type="dxa" w:w="2160"/>
          </w:tcPr>
          <w:p>
            <w:pPr>
              <w:jc w:val="center"/>
            </w:pPr>
            <w:r>
              <w:rPr>
                <w:sz w:val="20"/>
              </w:rPr>
              <w:t>70-85美元</w:t>
            </w:r>
          </w:p>
        </w:tc>
        <w:tc>
          <w:tcPr>
            <w:tcW w:type="dxa" w:w="2160"/>
          </w:tcPr>
          <w:p>
            <w:pPr>
              <w:jc w:val="center"/>
            </w:pPr>
            <w:r>
              <w:rPr>
                <w:sz w:val="20"/>
              </w:rPr>
              <w:t>利空，板块回调风险大</w:t>
            </w:r>
          </w:p>
        </w:tc>
      </w:tr>
    </w:tbl>
    <w:p>
      <w:pPr>
        <w:pStyle w:val="Heading2"/>
      </w:pPr>
      <w:r>
        <w:t>7.2 分阶段判断</w:t>
      </w:r>
    </w:p>
    <w:p>
      <w:r>
        <w:rPr>
          <w:b/>
          <w:color w:val="8B0000"/>
          <w:sz w:val="24"/>
        </w:rPr>
        <w:t>短期（4月上旬）：强烈看多 🔴</w:t>
      </w:r>
    </w:p>
    <w:p>
      <w:r>
        <w:t>• 地缘冲突持续发酵，市场情绪高涨</w:t>
        <w:br/>
        <w:t>• 3月煤化工板块已逆势上涨，显示资金持续流入</w:t>
        <w:br/>
        <w:t>• 若4月局势未缓和，涨幅有望加速</w:t>
      </w:r>
    </w:p>
    <w:p>
      <w:r>
        <w:rPr>
          <w:b/>
          <w:color w:val="C89600"/>
          <w:sz w:val="24"/>
        </w:rPr>
        <w:t>中期（4月中下旬）：取决于冲突走向 ⚡</w:t>
      </w:r>
    </w:p>
    <w:p>
      <w:r>
        <w:t>• 持续封锁 → 煤化工对标全球油制化工品利润差，估值体系重估</w:t>
        <w:br/>
        <w:t>• 部分恢复 → 油价回落但仍高位，受益逻辑减弱</w:t>
        <w:br/>
        <w:t>• 快速缓和 → 前期追高资金撤离，板块回调风险大</w:t>
      </w:r>
    </w:p>
    <w:p>
      <w:pPr>
        <w:pStyle w:val="Heading2"/>
      </w:pPr>
      <w:r>
        <w:t>7.3 值得关注的催化剂</w:t>
      </w:r>
    </w:p>
    <w:p>
      <w:pPr>
        <w:pStyle w:val="ListBullet"/>
      </w:pPr>
      <w:r>
        <w:t>霍尔木兹海峡局势进一步升级（禁航范围扩大、冲突升级）</w:t>
      </w:r>
    </w:p>
    <w:p>
      <w:pPr>
        <w:pStyle w:val="ListBullet"/>
      </w:pPr>
      <w:r>
        <w:t>IEA战略储备释放不足以弥补供应缺口</w:t>
      </w:r>
    </w:p>
    <w:p>
      <w:pPr>
        <w:pStyle w:val="ListBullet"/>
      </w:pPr>
      <w:r>
        <w:t>亚洲日韩等国石化装置大面积停车消息</w:t>
      </w:r>
    </w:p>
    <w:p>
      <w:pPr>
        <w:pStyle w:val="ListBullet"/>
      </w:pPr>
      <w:r>
        <w:t>中国煤化工龙头一季报超预期（预计4月披露）</w:t>
      </w:r>
    </w:p>
    <w:p>
      <w:pPr>
        <w:pStyle w:val="ListBullet"/>
      </w:pPr>
      <w:r>
        <w:t>国内政策层面出台能源安全保障措施</w:t>
      </w:r>
    </w:p>
    <w:p>
      <w:pPr>
        <w:pStyle w:val="ListBullet"/>
      </w:pPr>
      <w:r>
        <w:t>化工品现货价格持续攀升</w:t>
      </w:r>
    </w:p>
    <w:p>
      <w:pPr>
        <w:pStyle w:val="Heading1"/>
      </w:pPr>
      <w:r>
        <w:t>八、风险提示</w:t>
      </w:r>
    </w:p>
    <w:p>
      <w:pPr>
        <w:pStyle w:val="ListBullet"/>
      </w:pPr>
      <w:r>
        <w:t>地缘政治风险：冲突缓和导致油价回落，前期追高资金可能被套。中国若释放战略储备，也将平抑油价涨幅。</w:t>
      </w:r>
    </w:p>
    <w:p>
      <w:pPr>
        <w:pStyle w:val="ListBullet"/>
      </w:pPr>
      <w:r>
        <w:t>需求侧风险：若全球经济因高油价陷入衰退，化工品终端需求也会随之下滑。</w:t>
      </w:r>
    </w:p>
    <w:p>
      <w:pPr>
        <w:pStyle w:val="ListBullet"/>
      </w:pPr>
      <w:r>
        <w:t>成本传导风险：煤炭价格可能因整体能源紧张而上涨，压缩煤化工利润空间。</w:t>
      </w:r>
    </w:p>
    <w:p>
      <w:pPr>
        <w:pStyle w:val="ListBullet"/>
      </w:pPr>
      <w:r>
        <w:t>估值拥挤风险：板块交易拥挤度快速上升，短期涨幅过大存在回调压力。</w:t>
      </w:r>
    </w:p>
    <w:p>
      <w:pPr>
        <w:pStyle w:val="ListBullet"/>
      </w:pPr>
      <w:r>
        <w:t>政策风险：政府可能出台价格管制或出口限制措施，影响企业利润。</w:t>
      </w:r>
    </w:p>
    <w:p>
      <w:pPr>
        <w:pStyle w:val="ListBullet"/>
      </w:pPr>
      <w:r>
        <w:t>本报告基于公开信息分析，不构成投资建议。投资有风险，决策需谨慎。</w:t>
      </w:r>
    </w:p>
    <w:p>
      <w:pPr>
        <w:pStyle w:val="Heading1"/>
      </w:pPr>
      <w:r>
        <w:t>九、总结</w:t>
      </w:r>
    </w:p>
    <w:p>
      <w:r>
        <w:rPr>
          <w:b/>
        </w:rPr>
        <w:t>核心结论：</w:t>
      </w:r>
      <w:r>
        <w:t>霍尔木兹海峡危机使中国煤化工企业成为全球石化行业中罕见的"确定性受益"标的。在亚洲各国石化产能因原料断供而被迫降负荷之际，中国煤化工以国内煤炭为原料，完全不受海运危机影响，同时享受产品价格飙升带来的巨大利润弹性。</w:t>
        <w:br/>
        <w:br/>
        <w:t>4月投资策略建议关注两条主线：</w:t>
        <w:br/>
      </w:r>
      <w:r>
        <w:rPr>
          <w:b/>
        </w:rPr>
        <w:t xml:space="preserve">主线一（首选）：煤化工龙头 — </w:t>
      </w:r>
      <w:r>
        <w:t>宝丰能源、华鲁恒升、中煤能源，成本优势确定，利润弹性最大。</w:t>
        <w:br/>
      </w:r>
      <w:r>
        <w:rPr>
          <w:b/>
        </w:rPr>
        <w:t xml:space="preserve">主线二（辅助）：国内油气开采 — </w:t>
      </w:r>
      <w:r>
        <w:t>中国石油、中国海油，油价直接受益，防御性较好。</w:t>
        <w:br/>
        <w:br/>
      </w:r>
      <w:r>
        <w:rPr>
          <w:b/>
        </w:rPr>
        <w:t>关键变量：</w:t>
      </w:r>
      <w:r>
        <w:t>霍尔木兹海峡何时恢复通航，将直接决定行情持续时间。</w:t>
      </w:r>
    </w:p>
    <w:p/>
    <w:p>
      <w:pPr>
        <w:jc w:val="right"/>
      </w:pPr>
      <w:r>
        <w:rPr>
          <w:color w:val="969696"/>
          <w:sz w:val="18"/>
        </w:rPr>
        <w:t>报告生成时间：2026-03-29 00:09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