
<file path=[Content_Types].xml><?xml version="1.0" encoding="utf-8"?>
<Types xmlns="http://schemas.openxmlformats.org/package/2006/content-types">
  <Default Extension="xml" ContentType="application/xml"/>
  <Default Extension="bin" ContentType="application/vnd.openxmlformats-officedocument.oleObject"/>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A6F944C">
      <w:pPr>
        <w:adjustRightInd w:val="0"/>
        <w:snapToGrid w:val="0"/>
        <w:spacing w:line="360" w:lineRule="auto"/>
        <w:jc w:val="both"/>
        <w:rPr>
          <w:rFonts w:hint="default" w:ascii="Times New Roman" w:hAnsi="Times New Roman" w:eastAsia="仿宋_GB2312" w:cs="Times New Roman"/>
          <w:b/>
          <w:color w:val="000000"/>
          <w:sz w:val="36"/>
          <w:szCs w:val="36"/>
          <w:highlight w:val="none"/>
          <w:lang w:val="en-US" w:eastAsia="zh-CN"/>
        </w:rPr>
      </w:pPr>
      <w:r>
        <w:rPr>
          <w:rFonts w:hint="default" w:ascii="Times New Roman" w:hAnsi="Times New Roman" w:eastAsia="仿宋_GB2312" w:cs="Times New Roman"/>
          <w:b/>
          <w:color w:val="000000"/>
          <w:sz w:val="36"/>
          <w:szCs w:val="36"/>
          <w:highlight w:val="none"/>
          <w:lang w:val="en-US" w:eastAsia="zh-CN"/>
        </w:rPr>
        <w:t xml:space="preserve"> </w:t>
      </w:r>
    </w:p>
    <w:p w14:paraId="311FBB37">
      <w:pPr>
        <w:adjustRightInd w:val="0"/>
        <w:snapToGrid w:val="0"/>
        <w:spacing w:line="360" w:lineRule="auto"/>
        <w:jc w:val="center"/>
        <w:rPr>
          <w:rFonts w:hint="default" w:ascii="Times New Roman" w:hAnsi="Times New Roman" w:eastAsia="仿宋_GB2312" w:cs="Times New Roman"/>
          <w:b/>
          <w:color w:val="000000"/>
          <w:sz w:val="36"/>
          <w:szCs w:val="36"/>
          <w:highlight w:val="none"/>
          <w:lang w:val="en-US" w:eastAsia="zh-CN"/>
        </w:rPr>
      </w:pPr>
    </w:p>
    <w:p w14:paraId="25472950">
      <w:pPr>
        <w:adjustRightInd w:val="0"/>
        <w:snapToGrid w:val="0"/>
        <w:spacing w:line="360" w:lineRule="auto"/>
        <w:jc w:val="center"/>
        <w:rPr>
          <w:rFonts w:hint="default" w:ascii="Times New Roman" w:hAnsi="Times New Roman" w:eastAsia="仿宋_GB2312" w:cs="Times New Roman"/>
          <w:b/>
          <w:color w:val="000000"/>
          <w:sz w:val="36"/>
          <w:szCs w:val="36"/>
          <w:highlight w:val="none"/>
          <w:lang w:val="en-US" w:eastAsia="zh-CN"/>
        </w:rPr>
      </w:pPr>
    </w:p>
    <w:p w14:paraId="30EDF4E4">
      <w:pPr>
        <w:adjustRightInd w:val="0"/>
        <w:snapToGrid w:val="0"/>
        <w:spacing w:line="360" w:lineRule="auto"/>
        <w:jc w:val="center"/>
        <w:rPr>
          <w:rFonts w:hint="default" w:ascii="Times New Roman" w:hAnsi="Times New Roman" w:eastAsia="仿宋_GB2312" w:cs="Times New Roman"/>
          <w:b/>
          <w:color w:val="000000"/>
          <w:sz w:val="36"/>
          <w:szCs w:val="36"/>
          <w:highlight w:val="none"/>
          <w:lang w:val="en-US" w:eastAsia="zh-CN"/>
        </w:rPr>
      </w:pPr>
    </w:p>
    <w:p w14:paraId="412F411E">
      <w:pPr>
        <w:snapToGrid w:val="0"/>
        <w:spacing w:line="360" w:lineRule="auto"/>
        <w:jc w:val="center"/>
        <w:rPr>
          <w:rFonts w:hint="eastAsia" w:ascii="Times New Roman" w:eastAsia="仿宋_GB2312" w:cs="Times New Roman"/>
          <w:b/>
          <w:color w:val="000000"/>
          <w:kern w:val="2"/>
          <w:sz w:val="36"/>
          <w:szCs w:val="36"/>
          <w:highlight w:val="none"/>
          <w:lang w:val="en-US" w:eastAsia="zh-CN"/>
        </w:rPr>
      </w:pPr>
      <w:r>
        <w:rPr>
          <w:rFonts w:hint="eastAsia" w:ascii="Times New Roman" w:eastAsia="仿宋_GB2312" w:cs="Times New Roman"/>
          <w:b/>
          <w:color w:val="000000"/>
          <w:kern w:val="2"/>
          <w:sz w:val="36"/>
          <w:szCs w:val="36"/>
          <w:highlight w:val="none"/>
          <w:lang w:val="en-US" w:eastAsia="zh-CN"/>
        </w:rPr>
        <w:t>临漳县水利局拟转让临漳县40年供水经营权项目</w:t>
      </w:r>
    </w:p>
    <w:p w14:paraId="10D14A2D">
      <w:pPr>
        <w:adjustRightInd w:val="0"/>
        <w:snapToGrid w:val="0"/>
        <w:spacing w:line="360" w:lineRule="auto"/>
        <w:jc w:val="center"/>
        <w:rPr>
          <w:rFonts w:hint="eastAsia" w:ascii="宋体" w:hAnsi="宋体" w:eastAsia="宋体" w:cs="宋体"/>
          <w:b/>
          <w:sz w:val="44"/>
          <w:szCs w:val="44"/>
          <w:highlight w:val="none"/>
        </w:rPr>
      </w:pPr>
      <w:r>
        <w:rPr>
          <w:rFonts w:hint="eastAsia" w:ascii="宋体" w:hAnsi="宋体" w:eastAsia="宋体" w:cs="宋体"/>
          <w:b/>
          <w:sz w:val="44"/>
          <w:szCs w:val="44"/>
          <w:highlight w:val="none"/>
        </w:rPr>
        <w:t>资 产 评 估 说 明</w:t>
      </w:r>
    </w:p>
    <w:p w14:paraId="6284C7D7">
      <w:pPr>
        <w:spacing w:line="360" w:lineRule="auto"/>
        <w:jc w:val="center"/>
        <w:rPr>
          <w:rFonts w:hint="default" w:ascii="Times New Roman" w:hAnsi="Times New Roman" w:eastAsia="仿宋_GB2312" w:cs="Times New Roman"/>
          <w:b/>
          <w:bCs/>
          <w:sz w:val="24"/>
          <w:highlight w:val="none"/>
          <w:lang w:eastAsia="zh-CN"/>
        </w:rPr>
      </w:pPr>
      <w:r>
        <w:rPr>
          <w:rFonts w:hint="eastAsia" w:ascii="Times New Roman" w:eastAsia="仿宋" w:cs="Times New Roman"/>
          <w:b/>
          <w:bCs/>
          <w:sz w:val="28"/>
          <w:szCs w:val="28"/>
          <w:highlight w:val="none"/>
          <w:lang w:eastAsia="zh-CN"/>
        </w:rPr>
        <w:t>冀财瑞评报字[2024]第504号</w:t>
      </w:r>
    </w:p>
    <w:p w14:paraId="465EE853">
      <w:pPr>
        <w:adjustRightInd w:val="0"/>
        <w:snapToGrid w:val="0"/>
        <w:rPr>
          <w:rFonts w:hint="default" w:ascii="Times New Roman" w:hAnsi="Times New Roman" w:eastAsia="仿宋_GB2312" w:cs="Times New Roman"/>
          <w:sz w:val="30"/>
          <w:highlight w:val="none"/>
        </w:rPr>
      </w:pPr>
    </w:p>
    <w:p w14:paraId="645AB42A">
      <w:pPr>
        <w:adjustRightInd w:val="0"/>
        <w:snapToGrid w:val="0"/>
        <w:rPr>
          <w:rFonts w:hint="default" w:ascii="Times New Roman" w:hAnsi="Times New Roman" w:eastAsia="仿宋_GB2312" w:cs="Times New Roman"/>
          <w:sz w:val="30"/>
          <w:highlight w:val="none"/>
        </w:rPr>
      </w:pPr>
    </w:p>
    <w:p w14:paraId="0A722805">
      <w:pPr>
        <w:adjustRightInd w:val="0"/>
        <w:snapToGrid w:val="0"/>
        <w:rPr>
          <w:rFonts w:hint="default" w:ascii="Times New Roman" w:hAnsi="Times New Roman" w:eastAsia="仿宋_GB2312" w:cs="Times New Roman"/>
          <w:sz w:val="30"/>
          <w:highlight w:val="none"/>
        </w:rPr>
      </w:pPr>
    </w:p>
    <w:p w14:paraId="69D1FBB7">
      <w:pPr>
        <w:adjustRightInd w:val="0"/>
        <w:snapToGrid w:val="0"/>
        <w:rPr>
          <w:rFonts w:hint="default" w:ascii="Times New Roman" w:hAnsi="Times New Roman" w:eastAsia="仿宋_GB2312" w:cs="Times New Roman"/>
          <w:sz w:val="30"/>
          <w:highlight w:val="none"/>
        </w:rPr>
      </w:pPr>
    </w:p>
    <w:p w14:paraId="0ECF313A">
      <w:pPr>
        <w:adjustRightInd w:val="0"/>
        <w:snapToGrid w:val="0"/>
        <w:rPr>
          <w:rFonts w:hint="default" w:ascii="Times New Roman" w:hAnsi="Times New Roman" w:eastAsia="仿宋_GB2312" w:cs="Times New Roman"/>
          <w:sz w:val="30"/>
          <w:highlight w:val="none"/>
        </w:rPr>
      </w:pPr>
    </w:p>
    <w:p w14:paraId="380C5C5D">
      <w:pPr>
        <w:adjustRightInd w:val="0"/>
        <w:snapToGrid w:val="0"/>
        <w:rPr>
          <w:rFonts w:hint="default" w:ascii="Times New Roman" w:hAnsi="Times New Roman" w:eastAsia="仿宋_GB2312" w:cs="Times New Roman"/>
          <w:sz w:val="30"/>
          <w:highlight w:val="none"/>
        </w:rPr>
      </w:pPr>
    </w:p>
    <w:p w14:paraId="7381FFD8">
      <w:pPr>
        <w:adjustRightInd w:val="0"/>
        <w:snapToGrid w:val="0"/>
        <w:rPr>
          <w:rFonts w:hint="default" w:ascii="Times New Roman" w:hAnsi="Times New Roman" w:eastAsia="仿宋_GB2312" w:cs="Times New Roman"/>
          <w:sz w:val="30"/>
          <w:highlight w:val="none"/>
        </w:rPr>
      </w:pPr>
    </w:p>
    <w:p w14:paraId="330D5131">
      <w:pPr>
        <w:adjustRightInd w:val="0"/>
        <w:snapToGrid w:val="0"/>
        <w:rPr>
          <w:rFonts w:hint="default" w:ascii="Times New Roman" w:hAnsi="Times New Roman" w:eastAsia="仿宋_GB2312" w:cs="Times New Roman"/>
          <w:sz w:val="30"/>
          <w:highlight w:val="none"/>
        </w:rPr>
      </w:pPr>
    </w:p>
    <w:p w14:paraId="1648AC65">
      <w:pPr>
        <w:adjustRightInd w:val="0"/>
        <w:snapToGrid w:val="0"/>
        <w:rPr>
          <w:rFonts w:hint="default" w:ascii="Times New Roman" w:hAnsi="Times New Roman" w:eastAsia="仿宋_GB2312" w:cs="Times New Roman"/>
          <w:sz w:val="30"/>
          <w:highlight w:val="none"/>
        </w:rPr>
      </w:pPr>
    </w:p>
    <w:p w14:paraId="7BE430C7">
      <w:pPr>
        <w:adjustRightInd w:val="0"/>
        <w:snapToGrid w:val="0"/>
        <w:rPr>
          <w:rFonts w:hint="default" w:ascii="Times New Roman" w:hAnsi="Times New Roman" w:eastAsia="仿宋_GB2312" w:cs="Times New Roman"/>
          <w:sz w:val="30"/>
          <w:highlight w:val="none"/>
        </w:rPr>
      </w:pPr>
    </w:p>
    <w:p w14:paraId="5F9700FB">
      <w:pPr>
        <w:adjustRightInd w:val="0"/>
        <w:snapToGrid w:val="0"/>
        <w:rPr>
          <w:rFonts w:hint="default" w:ascii="Times New Roman" w:hAnsi="Times New Roman" w:eastAsia="仿宋_GB2312" w:cs="Times New Roman"/>
          <w:sz w:val="30"/>
          <w:highlight w:val="none"/>
        </w:rPr>
      </w:pPr>
    </w:p>
    <w:p w14:paraId="4B485947">
      <w:pPr>
        <w:adjustRightInd w:val="0"/>
        <w:snapToGrid w:val="0"/>
        <w:rPr>
          <w:rFonts w:hint="default" w:ascii="Times New Roman" w:hAnsi="Times New Roman" w:eastAsia="仿宋_GB2312" w:cs="Times New Roman"/>
          <w:sz w:val="30"/>
          <w:highlight w:val="none"/>
        </w:rPr>
      </w:pPr>
    </w:p>
    <w:p w14:paraId="155ECDAF">
      <w:pPr>
        <w:adjustRightInd w:val="0"/>
        <w:snapToGrid w:val="0"/>
        <w:rPr>
          <w:rFonts w:hint="default" w:ascii="Times New Roman" w:hAnsi="Times New Roman" w:eastAsia="仿宋_GB2312" w:cs="Times New Roman"/>
          <w:sz w:val="30"/>
          <w:highlight w:val="none"/>
        </w:rPr>
      </w:pPr>
    </w:p>
    <w:p w14:paraId="20D5AFA0">
      <w:pPr>
        <w:adjustRightInd w:val="0"/>
        <w:snapToGrid w:val="0"/>
        <w:jc w:val="center"/>
        <w:rPr>
          <w:rFonts w:hint="default" w:ascii="Times New Roman" w:hAnsi="Times New Roman" w:eastAsia="仿宋_GB2312" w:cs="Times New Roman"/>
          <w:b/>
          <w:sz w:val="28"/>
          <w:szCs w:val="28"/>
          <w:highlight w:val="none"/>
          <w:lang w:eastAsia="zh-CN"/>
          <w14:shadow w14:blurRad="50800" w14:dist="38100" w14:dir="2700000" w14:sx="100000" w14:sy="100000" w14:kx="0" w14:ky="0" w14:algn="tl">
            <w14:srgbClr w14:val="000000">
              <w14:alpha w14:val="60000"/>
            </w14:srgbClr>
          </w14:shadow>
        </w:rPr>
      </w:pPr>
    </w:p>
    <w:p w14:paraId="1C74D0EE">
      <w:pPr>
        <w:adjustRightInd w:val="0"/>
        <w:snapToGrid w:val="0"/>
        <w:jc w:val="center"/>
        <w:rPr>
          <w:rFonts w:hint="default" w:ascii="Times New Roman" w:hAnsi="Times New Roman" w:eastAsia="仿宋_GB2312" w:cs="Times New Roman"/>
          <w:b/>
          <w:sz w:val="28"/>
          <w:szCs w:val="28"/>
          <w:highlight w:val="none"/>
          <w:lang w:eastAsia="zh-CN"/>
          <w14:shadow w14:blurRad="50800" w14:dist="38100" w14:dir="2700000" w14:sx="100000" w14:sy="100000" w14:kx="0" w14:ky="0" w14:algn="tl">
            <w14:srgbClr w14:val="000000">
              <w14:alpha w14:val="60000"/>
            </w14:srgbClr>
          </w14:shadow>
        </w:rPr>
      </w:pPr>
    </w:p>
    <w:p w14:paraId="7CE3D973">
      <w:pPr>
        <w:adjustRightInd w:val="0"/>
        <w:snapToGrid w:val="0"/>
        <w:jc w:val="center"/>
        <w:rPr>
          <w:rFonts w:hint="default" w:ascii="Times New Roman" w:hAnsi="Times New Roman" w:eastAsia="仿宋_GB2312" w:cs="Times New Roman"/>
          <w:b/>
          <w:sz w:val="28"/>
          <w:szCs w:val="28"/>
          <w:highlight w:val="none"/>
          <w:lang w:eastAsia="zh-CN"/>
          <w14:shadow w14:blurRad="50800" w14:dist="38100" w14:dir="2700000" w14:sx="100000" w14:sy="100000" w14:kx="0" w14:ky="0" w14:algn="tl">
            <w14:srgbClr w14:val="000000">
              <w14:alpha w14:val="60000"/>
            </w14:srgbClr>
          </w14:shadow>
        </w:rPr>
      </w:pPr>
      <w:r>
        <w:rPr>
          <w:rFonts w:hint="default" w:ascii="Times New Roman" w:hAnsi="Times New Roman" w:eastAsia="仿宋_GB2312" w:cs="Times New Roman"/>
          <w:b/>
          <w:sz w:val="28"/>
          <w:szCs w:val="28"/>
          <w:highlight w:val="none"/>
          <w:lang w:eastAsia="zh-CN"/>
          <w14:shadow w14:blurRad="50800" w14:dist="38100" w14:dir="2700000" w14:sx="100000" w14:sy="100000" w14:kx="0" w14:ky="0" w14:algn="tl">
            <w14:srgbClr w14:val="000000">
              <w14:alpha w14:val="60000"/>
            </w14:srgbClr>
          </w14:shadow>
        </w:rPr>
        <w:t>河北财瑞资产评估有限公司</w:t>
      </w:r>
    </w:p>
    <w:p w14:paraId="2440879E">
      <w:pPr>
        <w:adjustRightInd w:val="0"/>
        <w:snapToGrid w:val="0"/>
        <w:jc w:val="center"/>
        <w:rPr>
          <w:rFonts w:hint="eastAsia" w:ascii="Times New Roman" w:eastAsia="仿宋_GB2312" w:cs="Times New Roman"/>
          <w:b/>
          <w:sz w:val="32"/>
          <w:highlight w:val="none"/>
          <w:lang w:eastAsia="zh-CN"/>
          <w14:shadow w14:blurRad="50800" w14:dist="38100" w14:dir="2700000" w14:sx="100000" w14:sy="100000" w14:kx="0" w14:ky="0" w14:algn="tl">
            <w14:srgbClr w14:val="000000">
              <w14:alpha w14:val="60000"/>
            </w14:srgbClr>
          </w14:shadow>
        </w:rPr>
      </w:pPr>
      <w:bookmarkStart w:id="321" w:name="_GoBack"/>
      <w:bookmarkEnd w:id="321"/>
      <w:r>
        <w:rPr>
          <w:rFonts w:hint="eastAsia" w:ascii="Times New Roman" w:eastAsia="仿宋_GB2312" w:cs="Times New Roman"/>
          <w:b/>
          <w:sz w:val="28"/>
          <w:szCs w:val="28"/>
          <w:highlight w:val="none"/>
          <w:lang w:eastAsia="zh-CN"/>
          <w14:shadow w14:blurRad="50800" w14:dist="38100" w14:dir="2700000" w14:sx="100000" w14:sy="100000" w14:kx="0" w14:ky="0" w14:algn="tl">
            <w14:srgbClr w14:val="000000">
              <w14:alpha w14:val="60000"/>
            </w14:srgbClr>
          </w14:shadow>
        </w:rPr>
        <w:t>二〇二五年七月二十一日</w:t>
      </w:r>
    </w:p>
    <w:p w14:paraId="018DE004">
      <w:pPr>
        <w:rPr>
          <w:rFonts w:hint="default" w:ascii="宋体" w:hAnsi="Times New Roman" w:eastAsia="宋体" w:cs="Times New Roman"/>
          <w:sz w:val="34"/>
          <w:lang w:val="en-US" w:eastAsia="zh-CN" w:bidi="ar-SA"/>
        </w:rPr>
      </w:pPr>
    </w:p>
    <w:p w14:paraId="38A8E3E0">
      <w:pPr>
        <w:rPr>
          <w:rFonts w:hint="default"/>
          <w:lang w:val="en-US" w:eastAsia="zh-CN"/>
        </w:rPr>
      </w:pPr>
    </w:p>
    <w:p w14:paraId="2170507D">
      <w:pPr>
        <w:tabs>
          <w:tab w:val="left" w:pos="5577"/>
        </w:tabs>
        <w:jc w:val="left"/>
        <w:rPr>
          <w:rFonts w:hint="default"/>
          <w:lang w:val="en-US" w:eastAsia="zh-CN"/>
        </w:rPr>
        <w:sectPr>
          <w:headerReference r:id="rId5" w:type="first"/>
          <w:footerReference r:id="rId7" w:type="first"/>
          <w:headerReference r:id="rId3" w:type="default"/>
          <w:headerReference r:id="rId4" w:type="even"/>
          <w:footerReference r:id="rId6" w:type="even"/>
          <w:pgSz w:w="11907" w:h="16840"/>
          <w:pgMar w:top="1418" w:right="1588" w:bottom="1418" w:left="1758" w:header="964" w:footer="851" w:gutter="113"/>
          <w:pgBorders>
            <w:top w:val="none" w:sz="0" w:space="0"/>
            <w:left w:val="none" w:sz="0" w:space="0"/>
            <w:bottom w:val="none" w:sz="0" w:space="0"/>
            <w:right w:val="none" w:sz="0" w:space="0"/>
          </w:pgBorders>
          <w:pgNumType w:fmt="decimal"/>
          <w:cols w:space="720" w:num="1"/>
          <w:docGrid w:type="linesAndChars" w:linePitch="312" w:charSpace="0"/>
        </w:sectPr>
      </w:pPr>
      <w:r>
        <w:rPr>
          <w:rFonts w:hint="eastAsia"/>
          <w:lang w:val="en-US" w:eastAsia="zh-CN"/>
        </w:rPr>
        <w:tab/>
      </w:r>
    </w:p>
    <w:p w14:paraId="4544C9C2">
      <w:pPr>
        <w:jc w:val="center"/>
        <w:rPr>
          <w:rFonts w:ascii="Times New Roman" w:hAnsi="Times New Roman" w:cs="Times New Roman"/>
          <w:highlight w:val="none"/>
        </w:rPr>
      </w:pPr>
    </w:p>
    <w:p w14:paraId="537AA7F1">
      <w:pPr>
        <w:spacing w:before="0" w:beforeLines="0" w:after="0" w:afterLines="0" w:line="360" w:lineRule="auto"/>
        <w:ind w:left="0" w:leftChars="0" w:right="0" w:rightChars="0" w:firstLine="0" w:firstLineChars="0"/>
        <w:jc w:val="center"/>
        <w:rPr>
          <w:rFonts w:hint="eastAsia" w:ascii="仿宋" w:hAnsi="仿宋" w:eastAsia="仿宋" w:cs="仿宋"/>
          <w:b/>
          <w:bCs/>
          <w:sz w:val="36"/>
          <w:szCs w:val="36"/>
          <w:highlight w:val="none"/>
        </w:rPr>
      </w:pPr>
      <w:r>
        <w:rPr>
          <w:rFonts w:hint="eastAsia" w:ascii="仿宋" w:hAnsi="仿宋" w:eastAsia="仿宋" w:cs="仿宋"/>
          <w:b/>
          <w:bCs/>
          <w:sz w:val="36"/>
          <w:szCs w:val="36"/>
          <w:highlight w:val="none"/>
        </w:rPr>
        <w:t>目</w:t>
      </w:r>
      <w:r>
        <w:rPr>
          <w:rFonts w:hint="eastAsia" w:ascii="仿宋" w:hAnsi="仿宋" w:eastAsia="仿宋" w:cs="仿宋"/>
          <w:b/>
          <w:bCs/>
          <w:sz w:val="36"/>
          <w:szCs w:val="36"/>
          <w:highlight w:val="none"/>
          <w:lang w:val="en-US" w:eastAsia="zh-CN"/>
        </w:rPr>
        <w:t xml:space="preserve"> </w:t>
      </w:r>
      <w:r>
        <w:rPr>
          <w:rFonts w:hint="eastAsia" w:ascii="仿宋" w:hAnsi="仿宋" w:eastAsia="仿宋" w:cs="仿宋"/>
          <w:b/>
          <w:bCs/>
          <w:sz w:val="36"/>
          <w:szCs w:val="36"/>
          <w:highlight w:val="none"/>
        </w:rPr>
        <w:t>录</w:t>
      </w:r>
    </w:p>
    <w:p w14:paraId="2E7D9595">
      <w:pPr>
        <w:pStyle w:val="12"/>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b w:val="0"/>
          <w:bCs w:val="0"/>
          <w:caps w:val="0"/>
          <w:sz w:val="28"/>
          <w:szCs w:val="28"/>
          <w:highlight w:val="none"/>
          <w:lang w:val="en-US" w:eastAsia="zh-CN"/>
        </w:rPr>
        <w:fldChar w:fldCharType="begin"/>
      </w:r>
      <w:r>
        <w:rPr>
          <w:rFonts w:hint="default" w:ascii="Times New Roman" w:hAnsi="Times New Roman" w:eastAsia="仿宋" w:cs="Times New Roman"/>
          <w:b w:val="0"/>
          <w:bCs w:val="0"/>
          <w:caps w:val="0"/>
          <w:sz w:val="28"/>
          <w:szCs w:val="28"/>
          <w:highlight w:val="none"/>
          <w:lang w:val="en-US" w:eastAsia="zh-CN"/>
        </w:rPr>
        <w:instrText xml:space="preserve">TOC \o "1-2" \h \u </w:instrText>
      </w:r>
      <w:r>
        <w:rPr>
          <w:rFonts w:hint="default" w:ascii="Times New Roman" w:hAnsi="Times New Roman" w:eastAsia="仿宋" w:cs="Times New Roman"/>
          <w:b w:val="0"/>
          <w:bCs w:val="0"/>
          <w:caps w:val="0"/>
          <w:sz w:val="28"/>
          <w:szCs w:val="28"/>
          <w:highlight w:val="none"/>
          <w:lang w:val="en-US" w:eastAsia="zh-CN"/>
        </w:rPr>
        <w:fldChar w:fldCharType="separate"/>
      </w: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_Toc6193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第一部分   关于评估说明使用范围的声明</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_Toc6193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3</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514F5E00">
      <w:pPr>
        <w:pStyle w:val="12"/>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_Toc23971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kern w:val="0"/>
          <w:sz w:val="28"/>
          <w:szCs w:val="28"/>
          <w:highlight w:val="none"/>
        </w:rPr>
        <w:t>第</w:t>
      </w:r>
      <w:r>
        <w:rPr>
          <w:rFonts w:hint="default" w:ascii="Times New Roman" w:hAnsi="Times New Roman" w:eastAsia="仿宋" w:cs="Times New Roman"/>
          <w:kern w:val="0"/>
          <w:sz w:val="28"/>
          <w:szCs w:val="28"/>
          <w:highlight w:val="none"/>
          <w:lang w:val="en-US" w:eastAsia="zh-CN"/>
        </w:rPr>
        <w:t>二</w:t>
      </w:r>
      <w:r>
        <w:rPr>
          <w:rFonts w:hint="default" w:ascii="Times New Roman" w:hAnsi="Times New Roman" w:eastAsia="仿宋" w:cs="Times New Roman"/>
          <w:kern w:val="0"/>
          <w:sz w:val="28"/>
          <w:szCs w:val="28"/>
          <w:highlight w:val="none"/>
        </w:rPr>
        <w:t>部分   资产清查核实情况说明</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_Toc23971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4</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43856529">
      <w:pPr>
        <w:pStyle w:val="13"/>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_Toc16045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bCs w:val="0"/>
          <w:kern w:val="0"/>
          <w:sz w:val="28"/>
          <w:szCs w:val="28"/>
          <w:highlight w:val="none"/>
        </w:rPr>
        <w:t>一、 评估对象与评估范围说明</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_Toc16045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4</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3EA9764E">
      <w:pPr>
        <w:pStyle w:val="13"/>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_Toc1246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bCs w:val="0"/>
          <w:kern w:val="0"/>
          <w:sz w:val="28"/>
          <w:szCs w:val="28"/>
          <w:highlight w:val="none"/>
          <w:lang w:val="en-US" w:eastAsia="zh-CN"/>
        </w:rPr>
        <w:t>二、</w:t>
      </w:r>
      <w:r>
        <w:rPr>
          <w:rFonts w:hint="default" w:ascii="Times New Roman" w:hAnsi="Times New Roman" w:eastAsia="仿宋" w:cs="Times New Roman"/>
          <w:bCs w:val="0"/>
          <w:kern w:val="0"/>
          <w:sz w:val="28"/>
          <w:szCs w:val="28"/>
          <w:highlight w:val="none"/>
        </w:rPr>
        <w:t>引用其他机构报告结论所涉及的相关资产</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_Toc1246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5</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72915C29">
      <w:pPr>
        <w:pStyle w:val="13"/>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_Toc15889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bCs w:val="0"/>
          <w:kern w:val="0"/>
          <w:sz w:val="28"/>
          <w:szCs w:val="28"/>
          <w:highlight w:val="none"/>
        </w:rPr>
        <w:t>三、 资产核实情况总体说明</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_Toc15889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5</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635933A3">
      <w:pPr>
        <w:pStyle w:val="12"/>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_Toc22551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第</w:t>
      </w:r>
      <w:r>
        <w:rPr>
          <w:rFonts w:hint="default" w:ascii="Times New Roman" w:hAnsi="Times New Roman" w:eastAsia="仿宋" w:cs="Times New Roman"/>
          <w:sz w:val="28"/>
          <w:szCs w:val="28"/>
          <w:highlight w:val="none"/>
          <w:lang w:eastAsia="zh-CN"/>
        </w:rPr>
        <w:t>三</w:t>
      </w:r>
      <w:r>
        <w:rPr>
          <w:rFonts w:hint="default" w:ascii="Times New Roman" w:hAnsi="Times New Roman" w:eastAsia="仿宋" w:cs="Times New Roman"/>
          <w:sz w:val="28"/>
          <w:szCs w:val="28"/>
          <w:highlight w:val="none"/>
        </w:rPr>
        <w:t>部分  评估</w:t>
      </w:r>
      <w:r>
        <w:rPr>
          <w:rFonts w:hint="default" w:ascii="Times New Roman" w:hAnsi="Times New Roman" w:eastAsia="仿宋" w:cs="Times New Roman"/>
          <w:sz w:val="28"/>
          <w:szCs w:val="28"/>
          <w:highlight w:val="none"/>
          <w:lang w:val="en-US" w:eastAsia="zh-CN"/>
        </w:rPr>
        <w:t>技术</w:t>
      </w:r>
      <w:r>
        <w:rPr>
          <w:rFonts w:hint="default" w:ascii="Times New Roman" w:hAnsi="Times New Roman" w:eastAsia="仿宋" w:cs="Times New Roman"/>
          <w:sz w:val="28"/>
          <w:szCs w:val="28"/>
          <w:highlight w:val="none"/>
        </w:rPr>
        <w:t>说明</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_Toc22551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6</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5DC1BBA6">
      <w:pPr>
        <w:pStyle w:val="13"/>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_Toc15956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lang w:val="en-US" w:eastAsia="zh-CN"/>
        </w:rPr>
        <w:t>一、评估范围</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_Toc15956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6</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6A143BAD">
      <w:pPr>
        <w:pStyle w:val="13"/>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_Toc28935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lang w:val="en-US" w:eastAsia="zh-CN"/>
        </w:rPr>
        <w:t>二、核实过程</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_Toc28935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7</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65C733FA">
      <w:pPr>
        <w:pStyle w:val="13"/>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_Toc21115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lang w:val="en-US" w:eastAsia="zh-CN"/>
        </w:rPr>
        <w:t>三、评估方法</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_Toc21115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8</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39EC1C6D">
      <w:pPr>
        <w:pStyle w:val="12"/>
        <w:tabs>
          <w:tab w:val="right" w:leader="dot" w:pos="8617"/>
        </w:tabs>
        <w:spacing w:line="360" w:lineRule="auto"/>
        <w:ind w:firstLine="561"/>
        <w:rPr>
          <w:rFonts w:hint="default" w:ascii="Times New Roman" w:hAnsi="Times New Roman" w:eastAsia="仿宋" w:cs="Times New Roman"/>
          <w:sz w:val="28"/>
          <w:szCs w:val="28"/>
        </w:rPr>
      </w:pPr>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_Toc19613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lang w:val="en-US" w:eastAsia="zh-CN"/>
        </w:rPr>
        <w:t>第四部分  评估结论及分析</w:t>
      </w:r>
      <w:r>
        <w:rPr>
          <w:rFonts w:hint="default" w:ascii="Times New Roman" w:hAnsi="Times New Roman" w:eastAsia="仿宋" w:cs="Times New Roman"/>
          <w:sz w:val="28"/>
          <w:szCs w:val="28"/>
        </w:rPr>
        <w:tab/>
      </w:r>
      <w:r>
        <w:rPr>
          <w:rFonts w:hint="default" w:ascii="Times New Roman" w:hAnsi="Times New Roman" w:eastAsia="仿宋" w:cs="Times New Roman"/>
          <w:sz w:val="28"/>
          <w:szCs w:val="28"/>
        </w:rPr>
        <w:fldChar w:fldCharType="begin"/>
      </w:r>
      <w:r>
        <w:rPr>
          <w:rFonts w:hint="default" w:ascii="Times New Roman" w:hAnsi="Times New Roman" w:eastAsia="仿宋" w:cs="Times New Roman"/>
          <w:sz w:val="28"/>
          <w:szCs w:val="28"/>
        </w:rPr>
        <w:instrText xml:space="preserve"> PAGEREF _Toc19613 \h </w:instrText>
      </w:r>
      <w:r>
        <w:rPr>
          <w:rFonts w:hint="default" w:ascii="Times New Roman" w:hAnsi="Times New Roman" w:eastAsia="仿宋" w:cs="Times New Roman"/>
          <w:sz w:val="28"/>
          <w:szCs w:val="28"/>
        </w:rPr>
        <w:fldChar w:fldCharType="separate"/>
      </w:r>
      <w:r>
        <w:rPr>
          <w:rFonts w:hint="default" w:ascii="Times New Roman" w:hAnsi="Times New Roman" w:eastAsia="仿宋" w:cs="Times New Roman"/>
          <w:sz w:val="28"/>
          <w:szCs w:val="28"/>
        </w:rPr>
        <w:t>18</w:t>
      </w:r>
      <w:r>
        <w:rPr>
          <w:rFonts w:hint="default" w:ascii="Times New Roman" w:hAnsi="Times New Roman" w:eastAsia="仿宋" w:cs="Times New Roman"/>
          <w:sz w:val="28"/>
          <w:szCs w:val="28"/>
        </w:rPr>
        <w:fldChar w:fldCharType="end"/>
      </w:r>
      <w:r>
        <w:rPr>
          <w:rFonts w:hint="default" w:ascii="Times New Roman" w:hAnsi="Times New Roman" w:eastAsia="仿宋" w:cs="Times New Roman"/>
          <w:sz w:val="28"/>
          <w:szCs w:val="28"/>
          <w:highlight w:val="none"/>
        </w:rPr>
        <w:fldChar w:fldCharType="end"/>
      </w:r>
    </w:p>
    <w:p w14:paraId="0294D435">
      <w:pPr>
        <w:pStyle w:val="12"/>
        <w:keepNext w:val="0"/>
        <w:keepLines w:val="0"/>
        <w:pageBreakBefore w:val="0"/>
        <w:widowControl w:val="0"/>
        <w:tabs>
          <w:tab w:val="right" w:leader="dot" w:pos="8448"/>
        </w:tabs>
        <w:kinsoku/>
        <w:wordWrap/>
        <w:overflowPunct/>
        <w:topLinePunct w:val="0"/>
        <w:autoSpaceDE/>
        <w:autoSpaceDN/>
        <w:bidi w:val="0"/>
        <w:adjustRightInd/>
        <w:snapToGrid/>
        <w:spacing w:line="360" w:lineRule="auto"/>
        <w:ind w:firstLine="561" w:firstLineChars="0"/>
        <w:textAlignment w:val="auto"/>
      </w:pPr>
      <w:r>
        <w:rPr>
          <w:rFonts w:hint="default" w:ascii="Times New Roman" w:hAnsi="Times New Roman" w:eastAsia="仿宋" w:cs="Times New Roman"/>
          <w:sz w:val="28"/>
          <w:szCs w:val="28"/>
          <w:highlight w:val="none"/>
        </w:rPr>
        <w:fldChar w:fldCharType="end"/>
      </w:r>
    </w:p>
    <w:p w14:paraId="0A9D453C">
      <w:pPr>
        <w:keepNext w:val="0"/>
        <w:keepLines w:val="0"/>
        <w:pageBreakBefore w:val="0"/>
        <w:widowControl w:val="0"/>
        <w:kinsoku/>
        <w:wordWrap/>
        <w:overflowPunct/>
        <w:topLinePunct w:val="0"/>
        <w:autoSpaceDE/>
        <w:autoSpaceDN/>
        <w:bidi w:val="0"/>
        <w:adjustRightInd/>
        <w:spacing w:line="360" w:lineRule="auto"/>
        <w:textAlignment w:val="auto"/>
        <w:rPr>
          <w:rFonts w:hint="eastAsia" w:ascii="仿宋" w:hAnsi="仿宋" w:eastAsia="仿宋" w:cs="仿宋"/>
          <w:sz w:val="28"/>
          <w:szCs w:val="28"/>
          <w:highlight w:val="none"/>
        </w:rPr>
      </w:pPr>
    </w:p>
    <w:p w14:paraId="4B4AD0F2">
      <w:pPr>
        <w:pStyle w:val="5"/>
        <w:ind w:left="0" w:leftChars="0" w:firstLine="0" w:firstLineChars="0"/>
        <w:rPr>
          <w:rFonts w:hint="default" w:ascii="Times New Roman" w:hAnsi="Times New Roman" w:cs="Times New Roman"/>
          <w:highlight w:val="none"/>
        </w:rPr>
      </w:pPr>
    </w:p>
    <w:p w14:paraId="0D3615D2">
      <w:pPr>
        <w:pStyle w:val="5"/>
        <w:ind w:left="0" w:leftChars="0" w:firstLine="0" w:firstLineChars="0"/>
        <w:rPr>
          <w:rFonts w:hint="default" w:ascii="Times New Roman" w:hAnsi="Times New Roman" w:cs="Times New Roman"/>
          <w:highlight w:val="none"/>
        </w:rPr>
      </w:pPr>
    </w:p>
    <w:p w14:paraId="28F00168">
      <w:pPr>
        <w:pStyle w:val="2"/>
        <w:keepLines/>
        <w:adjustRightInd w:val="0"/>
        <w:snapToGrid w:val="0"/>
        <w:spacing w:line="360" w:lineRule="auto"/>
        <w:jc w:val="center"/>
        <w:outlineLvl w:val="9"/>
        <w:rPr>
          <w:rFonts w:hint="default" w:ascii="Times New Roman" w:hAnsi="Times New Roman" w:eastAsia="黑体" w:cs="Times New Roman"/>
          <w:sz w:val="32"/>
          <w:highlight w:val="none"/>
        </w:rPr>
      </w:pPr>
      <w:bookmarkStart w:id="0" w:name="_Toc21733"/>
    </w:p>
    <w:p w14:paraId="0F22AF19">
      <w:pPr>
        <w:rPr>
          <w:rFonts w:hint="default" w:ascii="Times New Roman" w:hAnsi="Times New Roman" w:eastAsia="黑体" w:cs="Times New Roman"/>
          <w:sz w:val="32"/>
          <w:highlight w:val="none"/>
        </w:rPr>
      </w:pPr>
    </w:p>
    <w:p w14:paraId="628DC654">
      <w:pPr>
        <w:pStyle w:val="2"/>
        <w:keepLines/>
        <w:adjustRightInd w:val="0"/>
        <w:snapToGrid w:val="0"/>
        <w:spacing w:line="360" w:lineRule="auto"/>
        <w:jc w:val="both"/>
        <w:outlineLvl w:val="9"/>
        <w:rPr>
          <w:rFonts w:hint="default" w:ascii="Times New Roman" w:hAnsi="Times New Roman" w:eastAsia="黑体" w:cs="Times New Roman"/>
          <w:sz w:val="32"/>
          <w:highlight w:val="none"/>
        </w:rPr>
      </w:pPr>
    </w:p>
    <w:p w14:paraId="63A0E50D">
      <w:pPr>
        <w:rPr>
          <w:rFonts w:hint="default" w:ascii="Times New Roman" w:hAnsi="Times New Roman" w:cs="Times New Roman"/>
          <w:highlight w:val="none"/>
        </w:rPr>
      </w:pPr>
    </w:p>
    <w:p w14:paraId="32558325">
      <w:pPr>
        <w:pStyle w:val="2"/>
        <w:keepLines/>
        <w:adjustRightInd w:val="0"/>
        <w:snapToGrid w:val="0"/>
        <w:spacing w:line="360" w:lineRule="auto"/>
        <w:jc w:val="center"/>
        <w:rPr>
          <w:rFonts w:hint="default" w:ascii="Times New Roman" w:hAnsi="Times New Roman" w:eastAsia="黑体" w:cs="Times New Roman"/>
          <w:sz w:val="32"/>
          <w:highlight w:val="none"/>
        </w:rPr>
      </w:pPr>
      <w:bookmarkStart w:id="1" w:name="_Toc9240"/>
      <w:bookmarkStart w:id="2" w:name="_Toc1803"/>
      <w:bookmarkStart w:id="3" w:name="_Toc21854"/>
      <w:bookmarkStart w:id="4" w:name="_Toc22228"/>
      <w:bookmarkStart w:id="5" w:name="_Toc22915"/>
      <w:bookmarkStart w:id="6" w:name="_Toc28576"/>
      <w:bookmarkStart w:id="7" w:name="_Toc13398"/>
      <w:bookmarkStart w:id="8" w:name="_Toc29688"/>
      <w:bookmarkStart w:id="9" w:name="_Toc19870"/>
    </w:p>
    <w:p w14:paraId="621751E4">
      <w:pPr>
        <w:rPr>
          <w:rFonts w:hint="default"/>
        </w:rPr>
      </w:pPr>
    </w:p>
    <w:p w14:paraId="345EAA38">
      <w:pPr>
        <w:pStyle w:val="5"/>
        <w:rPr>
          <w:rFonts w:hint="default"/>
        </w:rPr>
      </w:pPr>
    </w:p>
    <w:p w14:paraId="051BB42F">
      <w:pPr>
        <w:pStyle w:val="5"/>
        <w:rPr>
          <w:rFonts w:hint="default"/>
        </w:rPr>
      </w:pPr>
    </w:p>
    <w:p w14:paraId="3AF7D09B">
      <w:pPr>
        <w:pStyle w:val="5"/>
        <w:rPr>
          <w:rFonts w:hint="default"/>
        </w:rPr>
      </w:pPr>
    </w:p>
    <w:p w14:paraId="7A0B249A">
      <w:pPr>
        <w:pStyle w:val="5"/>
        <w:rPr>
          <w:rFonts w:hint="default"/>
        </w:rPr>
      </w:pPr>
    </w:p>
    <w:p w14:paraId="1D3CA05B">
      <w:pPr>
        <w:pStyle w:val="2"/>
        <w:keepLines/>
        <w:adjustRightInd w:val="0"/>
        <w:snapToGrid w:val="0"/>
        <w:spacing w:line="360" w:lineRule="auto"/>
        <w:jc w:val="center"/>
        <w:rPr>
          <w:rFonts w:hint="default" w:ascii="Times New Roman" w:hAnsi="Times New Roman" w:eastAsia="黑体" w:cs="Times New Roman"/>
          <w:sz w:val="32"/>
          <w:highlight w:val="none"/>
        </w:rPr>
      </w:pPr>
      <w:bookmarkStart w:id="10" w:name="_Toc6021"/>
      <w:bookmarkStart w:id="11" w:name="_Toc2128"/>
      <w:bookmarkStart w:id="12" w:name="_Toc8589"/>
      <w:bookmarkStart w:id="13" w:name="_Toc21382"/>
      <w:bookmarkStart w:id="14" w:name="_Toc12335"/>
      <w:bookmarkStart w:id="15" w:name="_Toc25256"/>
      <w:bookmarkStart w:id="16" w:name="_Toc26515"/>
      <w:bookmarkStart w:id="17" w:name="_Toc12804"/>
      <w:bookmarkStart w:id="18" w:name="_Toc30229"/>
      <w:bookmarkStart w:id="19" w:name="_Toc3316"/>
      <w:bookmarkStart w:id="20" w:name="_Toc12718"/>
      <w:bookmarkStart w:id="21" w:name="_Toc21006"/>
      <w:bookmarkStart w:id="22" w:name="_Toc1753"/>
      <w:bookmarkStart w:id="23" w:name="_Toc20276"/>
      <w:bookmarkStart w:id="24" w:name="_Toc6193"/>
      <w:bookmarkStart w:id="25" w:name="_Toc22098"/>
      <w:bookmarkStart w:id="26" w:name="_Toc19556"/>
      <w:bookmarkStart w:id="27" w:name="_Toc14898"/>
      <w:bookmarkStart w:id="28" w:name="_Toc31744"/>
      <w:bookmarkStart w:id="29" w:name="_Toc23320"/>
      <w:bookmarkStart w:id="30" w:name="_Toc6014"/>
      <w:bookmarkStart w:id="31" w:name="_Toc8946"/>
      <w:bookmarkStart w:id="32" w:name="_Toc20671"/>
      <w:bookmarkStart w:id="33" w:name="_Toc15446"/>
      <w:bookmarkStart w:id="34" w:name="_Toc19736"/>
      <w:bookmarkStart w:id="35" w:name="_Toc21010"/>
      <w:bookmarkStart w:id="36" w:name="_Toc17156"/>
      <w:bookmarkStart w:id="37" w:name="_Toc20359"/>
      <w:bookmarkStart w:id="38" w:name="_Toc12877"/>
      <w:r>
        <w:rPr>
          <w:rFonts w:hint="default" w:ascii="Times New Roman" w:hAnsi="Times New Roman" w:eastAsia="黑体" w:cs="Times New Roman"/>
          <w:sz w:val="32"/>
          <w:highlight w:val="none"/>
        </w:rPr>
        <w:t>第一部分   关于评估说明使用范围的声明</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7AF74940">
      <w:pPr>
        <w:spacing w:line="360" w:lineRule="auto"/>
        <w:ind w:firstLine="560" w:firstLineChars="200"/>
        <w:rPr>
          <w:rFonts w:hint="default" w:ascii="Times New Roman" w:hAnsi="Times New Roman" w:eastAsia="仿宋_GB2312" w:cs="Times New Roman"/>
          <w:sz w:val="28"/>
          <w:szCs w:val="28"/>
          <w:highlight w:val="none"/>
        </w:rPr>
      </w:pPr>
      <w:r>
        <w:rPr>
          <w:rFonts w:hint="default" w:ascii="Times New Roman" w:eastAsia="仿宋_GB2312"/>
          <w:sz w:val="28"/>
          <w:szCs w:val="28"/>
          <w:highlight w:val="none"/>
        </w:rPr>
        <w:t>本资产评估说明仅供相关监管机构和部门使用。除法律、行政法规规定外，材料的全部或者部分内容不得提供给其他任何单位和个人，不得见诸公开媒体</w:t>
      </w:r>
      <w:r>
        <w:rPr>
          <w:rFonts w:hint="default" w:ascii="Times New Roman" w:hAnsi="Times New Roman" w:eastAsia="仿宋_GB2312" w:cs="Times New Roman"/>
          <w:sz w:val="28"/>
          <w:szCs w:val="28"/>
          <w:highlight w:val="none"/>
        </w:rPr>
        <w:t>。</w:t>
      </w:r>
    </w:p>
    <w:p w14:paraId="366DC1CE">
      <w:pPr>
        <w:adjustRightInd w:val="0"/>
        <w:snapToGrid w:val="0"/>
        <w:spacing w:line="360" w:lineRule="auto"/>
        <w:outlineLvl w:val="9"/>
        <w:rPr>
          <w:rFonts w:hint="default" w:ascii="Times New Roman" w:hAnsi="Times New Roman" w:eastAsia="仿宋_GB2312" w:cs="Times New Roman"/>
          <w:b/>
          <w:sz w:val="28"/>
          <w:highlight w:val="none"/>
        </w:rPr>
      </w:pPr>
    </w:p>
    <w:p w14:paraId="47DD8A79">
      <w:pPr>
        <w:adjustRightInd w:val="0"/>
        <w:snapToGrid w:val="0"/>
        <w:spacing w:line="360" w:lineRule="auto"/>
        <w:outlineLvl w:val="9"/>
        <w:rPr>
          <w:rFonts w:hint="default" w:ascii="Times New Roman" w:hAnsi="Times New Roman" w:eastAsia="仿宋_GB2312" w:cs="Times New Roman"/>
          <w:b/>
          <w:sz w:val="28"/>
          <w:highlight w:val="none"/>
        </w:rPr>
      </w:pPr>
    </w:p>
    <w:p w14:paraId="282031CD">
      <w:pPr>
        <w:adjustRightInd w:val="0"/>
        <w:snapToGrid w:val="0"/>
        <w:spacing w:line="360" w:lineRule="auto"/>
        <w:outlineLvl w:val="9"/>
        <w:rPr>
          <w:rFonts w:hint="default" w:ascii="Times New Roman" w:hAnsi="Times New Roman" w:eastAsia="仿宋_GB2312" w:cs="Times New Roman"/>
          <w:b/>
          <w:sz w:val="28"/>
          <w:highlight w:val="none"/>
        </w:rPr>
      </w:pPr>
    </w:p>
    <w:p w14:paraId="5DD6EBAF">
      <w:pPr>
        <w:adjustRightInd w:val="0"/>
        <w:snapToGrid w:val="0"/>
        <w:spacing w:line="360" w:lineRule="auto"/>
        <w:outlineLvl w:val="9"/>
        <w:rPr>
          <w:rFonts w:hint="default" w:ascii="Times New Roman" w:hAnsi="Times New Roman" w:eastAsia="仿宋_GB2312" w:cs="Times New Roman"/>
          <w:b/>
          <w:sz w:val="28"/>
          <w:highlight w:val="none"/>
        </w:rPr>
      </w:pPr>
    </w:p>
    <w:p w14:paraId="62ADAC13">
      <w:pPr>
        <w:adjustRightInd w:val="0"/>
        <w:snapToGrid w:val="0"/>
        <w:spacing w:line="360" w:lineRule="auto"/>
        <w:outlineLvl w:val="9"/>
        <w:rPr>
          <w:rFonts w:hint="default" w:ascii="Times New Roman" w:hAnsi="Times New Roman" w:eastAsia="仿宋_GB2312" w:cs="Times New Roman"/>
          <w:b/>
          <w:sz w:val="28"/>
          <w:highlight w:val="none"/>
        </w:rPr>
      </w:pPr>
    </w:p>
    <w:p w14:paraId="54484F0C">
      <w:pPr>
        <w:adjustRightInd w:val="0"/>
        <w:snapToGrid w:val="0"/>
        <w:spacing w:line="360" w:lineRule="auto"/>
        <w:outlineLvl w:val="9"/>
        <w:rPr>
          <w:rFonts w:hint="default" w:ascii="Times New Roman" w:hAnsi="Times New Roman" w:eastAsia="仿宋_GB2312" w:cs="Times New Roman"/>
          <w:b/>
          <w:sz w:val="28"/>
          <w:highlight w:val="none"/>
        </w:rPr>
      </w:pPr>
    </w:p>
    <w:p w14:paraId="219D5047">
      <w:pPr>
        <w:adjustRightInd w:val="0"/>
        <w:snapToGrid w:val="0"/>
        <w:spacing w:line="360" w:lineRule="auto"/>
        <w:outlineLvl w:val="9"/>
        <w:rPr>
          <w:rFonts w:hint="default" w:ascii="Times New Roman" w:hAnsi="Times New Roman" w:eastAsia="仿宋_GB2312" w:cs="Times New Roman"/>
          <w:b/>
          <w:sz w:val="28"/>
          <w:highlight w:val="none"/>
        </w:rPr>
      </w:pPr>
    </w:p>
    <w:p w14:paraId="7E33619E">
      <w:pPr>
        <w:adjustRightInd w:val="0"/>
        <w:snapToGrid w:val="0"/>
        <w:spacing w:line="360" w:lineRule="auto"/>
        <w:outlineLvl w:val="9"/>
        <w:rPr>
          <w:rFonts w:hint="default" w:ascii="Times New Roman" w:hAnsi="Times New Roman" w:eastAsia="仿宋_GB2312" w:cs="Times New Roman"/>
          <w:b/>
          <w:sz w:val="28"/>
          <w:highlight w:val="none"/>
        </w:rPr>
      </w:pPr>
    </w:p>
    <w:p w14:paraId="65E0B399">
      <w:pPr>
        <w:adjustRightInd w:val="0"/>
        <w:snapToGrid w:val="0"/>
        <w:spacing w:line="360" w:lineRule="auto"/>
        <w:outlineLvl w:val="9"/>
        <w:rPr>
          <w:rFonts w:hint="default" w:ascii="Times New Roman" w:hAnsi="Times New Roman" w:eastAsia="仿宋_GB2312" w:cs="Times New Roman"/>
          <w:b/>
          <w:sz w:val="28"/>
          <w:highlight w:val="none"/>
        </w:rPr>
      </w:pPr>
    </w:p>
    <w:p w14:paraId="62A7E453">
      <w:pPr>
        <w:adjustRightInd w:val="0"/>
        <w:snapToGrid w:val="0"/>
        <w:spacing w:line="360" w:lineRule="auto"/>
        <w:outlineLvl w:val="9"/>
        <w:rPr>
          <w:rFonts w:hint="default" w:ascii="Times New Roman" w:hAnsi="Times New Roman" w:eastAsia="仿宋_GB2312" w:cs="Times New Roman"/>
          <w:b/>
          <w:sz w:val="28"/>
          <w:highlight w:val="none"/>
        </w:rPr>
      </w:pPr>
    </w:p>
    <w:p w14:paraId="4608F350">
      <w:pPr>
        <w:adjustRightInd w:val="0"/>
        <w:snapToGrid w:val="0"/>
        <w:spacing w:line="360" w:lineRule="auto"/>
        <w:outlineLvl w:val="9"/>
        <w:rPr>
          <w:rFonts w:hint="default" w:ascii="Times New Roman" w:hAnsi="Times New Roman" w:eastAsia="仿宋_GB2312" w:cs="Times New Roman"/>
          <w:b/>
          <w:sz w:val="28"/>
          <w:highlight w:val="none"/>
        </w:rPr>
      </w:pPr>
    </w:p>
    <w:p w14:paraId="6DEE7E0B">
      <w:pPr>
        <w:adjustRightInd/>
        <w:snapToGrid/>
        <w:spacing w:line="360" w:lineRule="auto"/>
        <w:ind w:right="0"/>
        <w:jc w:val="right"/>
        <w:outlineLvl w:val="9"/>
        <w:rPr>
          <w:rFonts w:hint="default" w:ascii="Times New Roman" w:hAnsi="Times New Roman" w:eastAsia="仿宋" w:cs="Times New Roman"/>
          <w:b/>
          <w:bCs/>
          <w:sz w:val="28"/>
          <w:szCs w:val="28"/>
          <w:highlight w:val="none"/>
        </w:rPr>
      </w:pPr>
      <w:bookmarkStart w:id="39" w:name="_Toc18431"/>
      <w:bookmarkStart w:id="40" w:name="_Toc9409"/>
      <w:bookmarkStart w:id="41" w:name="_Toc6410_WPSOffice_Level2"/>
      <w:bookmarkStart w:id="42" w:name="_Toc31442_WPSOffice_Level2"/>
      <w:bookmarkStart w:id="43" w:name="_Toc19731_WPSOffice_Level2"/>
      <w:r>
        <w:rPr>
          <w:rFonts w:hint="default" w:ascii="Times New Roman" w:hAnsi="Times New Roman" w:eastAsia="仿宋" w:cs="Times New Roman"/>
          <w:sz w:val="28"/>
          <w:szCs w:val="28"/>
          <w:highlight w:val="none"/>
          <w:lang w:val="en-US" w:eastAsia="zh-CN"/>
        </w:rPr>
        <w:t xml:space="preserve">                          </w:t>
      </w:r>
      <w:r>
        <w:rPr>
          <w:rFonts w:hint="default" w:ascii="Times New Roman" w:hAnsi="Times New Roman" w:eastAsia="仿宋" w:cs="Times New Roman"/>
          <w:b/>
          <w:bCs/>
          <w:sz w:val="28"/>
          <w:szCs w:val="28"/>
          <w:highlight w:val="none"/>
        </w:rPr>
        <w:t>河北财瑞资产评估有限公司</w:t>
      </w:r>
      <w:bookmarkEnd w:id="39"/>
      <w:bookmarkEnd w:id="40"/>
      <w:bookmarkEnd w:id="41"/>
      <w:bookmarkEnd w:id="42"/>
      <w:bookmarkEnd w:id="43"/>
    </w:p>
    <w:p w14:paraId="66D47C06">
      <w:pPr>
        <w:adjustRightInd/>
        <w:snapToGrid/>
        <w:spacing w:line="360" w:lineRule="auto"/>
        <w:ind w:right="0"/>
        <w:jc w:val="right"/>
        <w:outlineLvl w:val="9"/>
        <w:rPr>
          <w:rFonts w:hint="eastAsia" w:ascii="Times New Roman" w:hAnsi="Times New Roman" w:eastAsia="仿宋" w:cs="Times New Roman"/>
          <w:b/>
          <w:bCs/>
          <w:highlight w:val="none"/>
          <w:lang w:eastAsia="zh-CN"/>
        </w:rPr>
      </w:pPr>
      <w:r>
        <w:rPr>
          <w:rFonts w:hint="default" w:ascii="Times New Roman" w:hAnsi="Times New Roman" w:eastAsia="仿宋" w:cs="Times New Roman"/>
          <w:b/>
          <w:bCs/>
          <w:sz w:val="28"/>
          <w:szCs w:val="28"/>
          <w:highlight w:val="none"/>
        </w:rPr>
        <w:t xml:space="preserve">                                 </w:t>
      </w:r>
      <w:r>
        <w:rPr>
          <w:rFonts w:hint="eastAsia" w:ascii="Times New Roman" w:eastAsia="仿宋" w:cs="Times New Roman"/>
          <w:b/>
          <w:bCs/>
          <w:sz w:val="28"/>
          <w:szCs w:val="28"/>
          <w:highlight w:val="none"/>
          <w:lang w:eastAsia="zh-CN"/>
        </w:rPr>
        <w:t xml:space="preserve"> 二〇二五年七月二十一日</w:t>
      </w:r>
    </w:p>
    <w:p w14:paraId="0E3D2FBE">
      <w:pPr>
        <w:rPr>
          <w:rFonts w:hint="default" w:ascii="Times New Roman" w:hAnsi="Times New Roman" w:cs="Times New Roman"/>
          <w:highlight w:val="none"/>
        </w:rPr>
      </w:pPr>
    </w:p>
    <w:p w14:paraId="709E994C">
      <w:pPr>
        <w:rPr>
          <w:rFonts w:hint="default" w:ascii="Times New Roman" w:hAnsi="Times New Roman" w:cs="Times New Roman"/>
          <w:highlight w:val="none"/>
        </w:rPr>
      </w:pPr>
    </w:p>
    <w:p w14:paraId="5FCE74DD">
      <w:pPr>
        <w:pStyle w:val="5"/>
        <w:rPr>
          <w:rFonts w:hint="default" w:ascii="Times New Roman" w:hAnsi="Times New Roman" w:cs="Times New Roman"/>
          <w:highlight w:val="none"/>
        </w:rPr>
      </w:pPr>
    </w:p>
    <w:p w14:paraId="0E606080">
      <w:pPr>
        <w:pStyle w:val="5"/>
        <w:rPr>
          <w:rFonts w:hint="default" w:ascii="Times New Roman" w:hAnsi="Times New Roman" w:cs="Times New Roman"/>
          <w:highlight w:val="none"/>
        </w:rPr>
      </w:pPr>
    </w:p>
    <w:p w14:paraId="42F1092D">
      <w:pPr>
        <w:pStyle w:val="5"/>
        <w:rPr>
          <w:rFonts w:hint="default" w:ascii="Times New Roman" w:hAnsi="Times New Roman" w:cs="Times New Roman"/>
          <w:highlight w:val="none"/>
        </w:rPr>
      </w:pPr>
    </w:p>
    <w:p w14:paraId="50B838EB">
      <w:pPr>
        <w:pStyle w:val="10"/>
        <w:rPr>
          <w:rFonts w:hint="default" w:ascii="Times New Roman" w:hAnsi="Times New Roman" w:cs="Times New Roman"/>
          <w:highlight w:val="none"/>
        </w:rPr>
      </w:pPr>
    </w:p>
    <w:p w14:paraId="0071DD38">
      <w:pPr>
        <w:pStyle w:val="7"/>
        <w:rPr>
          <w:rFonts w:hint="default"/>
        </w:rPr>
      </w:pPr>
    </w:p>
    <w:p w14:paraId="0FFD4868">
      <w:pPr>
        <w:pStyle w:val="2"/>
        <w:keepLines/>
        <w:adjustRightInd w:val="0"/>
        <w:snapToGrid w:val="0"/>
        <w:spacing w:line="360" w:lineRule="auto"/>
        <w:jc w:val="center"/>
        <w:rPr>
          <w:rFonts w:hint="default" w:ascii="Times New Roman" w:hAnsi="Times New Roman" w:eastAsia="黑体" w:cs="Times New Roman"/>
          <w:b/>
          <w:kern w:val="0"/>
          <w:sz w:val="32"/>
          <w:szCs w:val="32"/>
          <w:highlight w:val="none"/>
        </w:rPr>
      </w:pPr>
      <w:bookmarkStart w:id="44" w:name="_Toc10494"/>
      <w:bookmarkStart w:id="45" w:name="_Toc18973"/>
      <w:bookmarkStart w:id="46" w:name="_Toc15270"/>
      <w:bookmarkStart w:id="47" w:name="_Toc14351"/>
      <w:bookmarkStart w:id="48" w:name="_Toc32548"/>
      <w:bookmarkStart w:id="49" w:name="_Toc11549"/>
      <w:bookmarkStart w:id="50" w:name="_Toc15384"/>
      <w:bookmarkStart w:id="51" w:name="_Toc12268"/>
      <w:bookmarkStart w:id="52" w:name="_Toc22834"/>
      <w:bookmarkStart w:id="53" w:name="_Toc7441"/>
      <w:bookmarkStart w:id="54" w:name="_Toc3594"/>
      <w:bookmarkStart w:id="55" w:name="_Toc24517"/>
      <w:bookmarkStart w:id="56" w:name="_Toc15766"/>
      <w:bookmarkStart w:id="57" w:name="_Toc32540"/>
      <w:bookmarkStart w:id="58" w:name="_Toc979"/>
      <w:bookmarkStart w:id="59" w:name="_Toc20181"/>
      <w:bookmarkStart w:id="60" w:name="_Toc32567"/>
      <w:bookmarkStart w:id="61" w:name="_Toc4917"/>
      <w:bookmarkStart w:id="62" w:name="_Toc22084"/>
      <w:bookmarkStart w:id="63" w:name="_Toc32347"/>
      <w:bookmarkStart w:id="64" w:name="_Toc28208"/>
      <w:bookmarkStart w:id="65" w:name="_Toc28340"/>
      <w:bookmarkStart w:id="66" w:name="_Toc29309"/>
      <w:bookmarkStart w:id="67" w:name="_Toc24500"/>
      <w:bookmarkStart w:id="68" w:name="_Toc5625"/>
      <w:bookmarkStart w:id="69" w:name="_Toc23191"/>
      <w:bookmarkStart w:id="70" w:name="_Toc14822"/>
      <w:bookmarkStart w:id="71" w:name="_Toc9672"/>
      <w:bookmarkStart w:id="72" w:name="_Toc20295"/>
      <w:bookmarkStart w:id="73" w:name="_Toc12089"/>
      <w:bookmarkStart w:id="74" w:name="_Toc8758"/>
      <w:bookmarkStart w:id="75" w:name="_Toc13246"/>
      <w:bookmarkStart w:id="76" w:name="_Toc4880"/>
      <w:bookmarkStart w:id="77" w:name="_Toc381"/>
      <w:bookmarkStart w:id="78" w:name="_Toc21337"/>
      <w:bookmarkStart w:id="79" w:name="_Toc3827"/>
      <w:bookmarkStart w:id="80" w:name="_Toc20055"/>
      <w:bookmarkStart w:id="81" w:name="_Toc19925"/>
    </w:p>
    <w:p w14:paraId="7CD1F939">
      <w:pPr>
        <w:rPr>
          <w:rFonts w:hint="default"/>
        </w:rPr>
      </w:pPr>
    </w:p>
    <w:p w14:paraId="1FF182C4">
      <w:pPr>
        <w:pStyle w:val="2"/>
        <w:keepLines/>
        <w:adjustRightInd w:val="0"/>
        <w:snapToGrid w:val="0"/>
        <w:spacing w:line="360" w:lineRule="auto"/>
        <w:jc w:val="center"/>
        <w:rPr>
          <w:rFonts w:hint="default" w:ascii="Times New Roman" w:hAnsi="Times New Roman" w:eastAsia="黑体" w:cs="Times New Roman"/>
          <w:b/>
          <w:kern w:val="0"/>
          <w:sz w:val="32"/>
          <w:szCs w:val="32"/>
          <w:highlight w:val="none"/>
        </w:rPr>
      </w:pPr>
      <w:bookmarkStart w:id="82" w:name="_Toc23971"/>
      <w:r>
        <w:rPr>
          <w:rFonts w:hint="default" w:ascii="Times New Roman" w:hAnsi="Times New Roman" w:eastAsia="黑体" w:cs="Times New Roman"/>
          <w:b/>
          <w:kern w:val="0"/>
          <w:sz w:val="32"/>
          <w:szCs w:val="32"/>
          <w:highlight w:val="none"/>
        </w:rPr>
        <w:t>第</w:t>
      </w:r>
      <w:r>
        <w:rPr>
          <w:rFonts w:hint="default" w:ascii="Times New Roman" w:hAnsi="Times New Roman" w:eastAsia="黑体" w:cs="Times New Roman"/>
          <w:b/>
          <w:kern w:val="0"/>
          <w:sz w:val="32"/>
          <w:szCs w:val="32"/>
          <w:highlight w:val="none"/>
          <w:lang w:val="en-US" w:eastAsia="zh-CN"/>
        </w:rPr>
        <w:t>二</w:t>
      </w:r>
      <w:r>
        <w:rPr>
          <w:rFonts w:hint="default" w:ascii="Times New Roman" w:hAnsi="Times New Roman" w:eastAsia="黑体" w:cs="Times New Roman"/>
          <w:b/>
          <w:kern w:val="0"/>
          <w:sz w:val="32"/>
          <w:szCs w:val="32"/>
          <w:highlight w:val="none"/>
        </w:rPr>
        <w:t>部分   资产清查核实情况说明</w:t>
      </w:r>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p>
    <w:p w14:paraId="2E1D461D">
      <w:pPr>
        <w:pStyle w:val="3"/>
        <w:keepLines w:val="0"/>
        <w:adjustRightInd w:val="0"/>
        <w:snapToGrid w:val="0"/>
        <w:spacing w:before="0" w:after="0" w:line="360" w:lineRule="auto"/>
        <w:ind w:firstLine="562" w:firstLineChars="200"/>
        <w:rPr>
          <w:rFonts w:hint="default" w:ascii="Times New Roman" w:hAnsi="Times New Roman" w:eastAsia="仿宋_GB2312" w:cs="Times New Roman"/>
          <w:bCs w:val="0"/>
          <w:kern w:val="0"/>
          <w:sz w:val="28"/>
          <w:szCs w:val="28"/>
          <w:highlight w:val="none"/>
        </w:rPr>
      </w:pPr>
      <w:bookmarkStart w:id="83" w:name="_Toc17240"/>
      <w:bookmarkStart w:id="84" w:name="_Toc24942"/>
      <w:bookmarkStart w:id="85" w:name="_Toc25277"/>
      <w:bookmarkStart w:id="86" w:name="_Toc20160"/>
      <w:bookmarkStart w:id="87" w:name="_Toc8700"/>
      <w:bookmarkStart w:id="88" w:name="_Toc23857"/>
      <w:bookmarkStart w:id="89" w:name="_Toc7070"/>
      <w:bookmarkStart w:id="90" w:name="_Toc20987"/>
      <w:bookmarkStart w:id="91" w:name="_Toc1096"/>
      <w:bookmarkStart w:id="92" w:name="_Toc13184"/>
      <w:bookmarkStart w:id="93" w:name="_Toc3215"/>
      <w:bookmarkStart w:id="94" w:name="_Toc4658"/>
      <w:bookmarkStart w:id="95" w:name="_Toc8842"/>
      <w:bookmarkStart w:id="96" w:name="_Toc16615"/>
      <w:bookmarkStart w:id="97" w:name="_Toc16045"/>
      <w:bookmarkStart w:id="98" w:name="_Toc1941"/>
      <w:bookmarkStart w:id="99" w:name="_Toc21031"/>
      <w:bookmarkStart w:id="100" w:name="_Toc23762"/>
      <w:bookmarkStart w:id="101" w:name="_Toc29153"/>
      <w:bookmarkStart w:id="102" w:name="_Toc3168"/>
      <w:bookmarkStart w:id="103" w:name="_Toc31339"/>
      <w:bookmarkStart w:id="104" w:name="_Toc22998"/>
      <w:bookmarkStart w:id="105" w:name="_Toc12190"/>
      <w:bookmarkStart w:id="106" w:name="_Toc3063"/>
      <w:bookmarkStart w:id="107" w:name="_Toc28775"/>
      <w:bookmarkStart w:id="108" w:name="_Toc24554"/>
      <w:bookmarkStart w:id="109" w:name="_Toc884"/>
      <w:bookmarkStart w:id="110" w:name="_Toc26664"/>
      <w:bookmarkStart w:id="111" w:name="_Toc13045"/>
      <w:bookmarkStart w:id="112" w:name="_Toc15713"/>
      <w:bookmarkStart w:id="113" w:name="_Toc4795"/>
      <w:bookmarkStart w:id="114" w:name="_Toc20935"/>
      <w:bookmarkStart w:id="115" w:name="_Toc15991"/>
      <w:bookmarkStart w:id="116" w:name="_Toc13537"/>
      <w:bookmarkStart w:id="117" w:name="_Toc9847"/>
      <w:bookmarkStart w:id="118" w:name="_Toc32704"/>
      <w:bookmarkStart w:id="119" w:name="_Toc29770"/>
      <w:bookmarkStart w:id="120" w:name="_Toc4624"/>
      <w:bookmarkStart w:id="121" w:name="_Toc19974"/>
      <w:r>
        <w:rPr>
          <w:rFonts w:hint="default" w:ascii="Times New Roman" w:hAnsi="Times New Roman" w:eastAsia="仿宋_GB2312" w:cs="Times New Roman"/>
          <w:bCs w:val="0"/>
          <w:kern w:val="0"/>
          <w:sz w:val="28"/>
          <w:szCs w:val="28"/>
          <w:highlight w:val="none"/>
        </w:rPr>
        <w:t>一、 评估对象与评估范围说明</w:t>
      </w:r>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p>
    <w:p w14:paraId="658AF51A">
      <w:pPr>
        <w:pStyle w:val="21"/>
        <w:adjustRightInd/>
        <w:spacing w:line="360" w:lineRule="auto"/>
        <w:ind w:firstLine="560" w:firstLineChars="200"/>
        <w:rPr>
          <w:rFonts w:hint="default" w:ascii="Times New Roman" w:hAnsi="Times New Roman" w:eastAsia="仿宋_GB2312" w:cs="Times New Roman"/>
          <w:highlight w:val="none"/>
        </w:rPr>
      </w:pPr>
      <w:r>
        <w:rPr>
          <w:rFonts w:hint="default" w:ascii="Times New Roman" w:hAnsi="Times New Roman" w:eastAsia="仿宋_GB2312" w:cs="Times New Roman"/>
          <w:highlight w:val="none"/>
        </w:rPr>
        <w:t>（一）评估对象与评估范围内容</w:t>
      </w:r>
    </w:p>
    <w:p w14:paraId="5785F649">
      <w:pPr>
        <w:pStyle w:val="20"/>
        <w:snapToGrid w:val="0"/>
        <w:ind w:firstLine="560" w:firstLineChars="200"/>
        <w:rPr>
          <w:rFonts w:hint="default" w:ascii="Times New Roman" w:hAnsi="Times New Roman" w:eastAsia="仿宋_GB2312" w:cs="Times New Roman"/>
          <w:bCs w:val="0"/>
          <w:kern w:val="2"/>
          <w:sz w:val="28"/>
          <w:szCs w:val="28"/>
          <w:highlight w:val="none"/>
        </w:rPr>
      </w:pPr>
      <w:r>
        <w:rPr>
          <w:rFonts w:hint="eastAsia" w:ascii="Times New Roman" w:hAnsi="Times New Roman" w:eastAsia="仿宋_GB2312" w:cs="Times New Roman"/>
          <w:bCs w:val="0"/>
          <w:kern w:val="2"/>
          <w:sz w:val="28"/>
          <w:szCs w:val="28"/>
          <w:highlight w:val="none"/>
          <w:lang w:eastAsia="zh-CN"/>
        </w:rPr>
        <w:t>评估对象：临漳县40年供水经营权市场价值</w:t>
      </w:r>
      <w:r>
        <w:rPr>
          <w:rFonts w:hint="default" w:ascii="Times New Roman" w:hAnsi="Times New Roman" w:eastAsia="仿宋_GB2312" w:cs="Times New Roman"/>
          <w:bCs w:val="0"/>
          <w:kern w:val="2"/>
          <w:sz w:val="28"/>
          <w:szCs w:val="28"/>
          <w:highlight w:val="none"/>
        </w:rPr>
        <w:t>。</w:t>
      </w:r>
    </w:p>
    <w:p w14:paraId="7F263A0E">
      <w:pPr>
        <w:pStyle w:val="20"/>
        <w:snapToGrid w:val="0"/>
        <w:ind w:firstLine="560" w:firstLineChars="200"/>
        <w:rPr>
          <w:rFonts w:hint="default" w:ascii="Times New Roman" w:hAnsi="Times New Roman" w:eastAsia="仿宋_GB2312" w:cs="Times New Roman"/>
          <w:bCs/>
          <w:kern w:val="2"/>
          <w:sz w:val="28"/>
          <w:szCs w:val="24"/>
          <w:highlight w:val="none"/>
        </w:rPr>
      </w:pPr>
      <w:r>
        <w:rPr>
          <w:rFonts w:hint="default" w:ascii="Times New Roman" w:hAnsi="Times New Roman" w:eastAsia="仿宋_GB2312" w:cs="Times New Roman"/>
          <w:bCs w:val="0"/>
          <w:kern w:val="2"/>
          <w:sz w:val="28"/>
          <w:szCs w:val="28"/>
          <w:highlight w:val="none"/>
        </w:rPr>
        <w:t>评估范围</w:t>
      </w:r>
      <w:r>
        <w:rPr>
          <w:rFonts w:hint="default" w:ascii="Times New Roman" w:hAnsi="Times New Roman" w:eastAsia="仿宋_GB2312" w:cs="Times New Roman"/>
          <w:bCs w:val="0"/>
          <w:kern w:val="2"/>
          <w:sz w:val="28"/>
          <w:szCs w:val="28"/>
          <w:highlight w:val="none"/>
          <w:lang w:val="en-US" w:eastAsia="zh-CN"/>
        </w:rPr>
        <w:t>：</w:t>
      </w:r>
      <w:r>
        <w:rPr>
          <w:rFonts w:hint="default" w:ascii="Times New Roman" w:hAnsi="Times New Roman" w:eastAsia="仿宋_GB2312" w:cs="Times New Roman"/>
          <w:kern w:val="2"/>
          <w:sz w:val="28"/>
          <w:szCs w:val="28"/>
          <w:highlight w:val="none"/>
          <w:lang w:eastAsia="zh-CN"/>
        </w:rPr>
        <w:t>临漳县</w:t>
      </w:r>
      <w:r>
        <w:rPr>
          <w:rFonts w:hint="default" w:ascii="Times New Roman" w:hAnsi="Times New Roman" w:eastAsia="仿宋_GB2312" w:cs="Times New Roman"/>
          <w:kern w:val="2"/>
          <w:sz w:val="28"/>
          <w:szCs w:val="28"/>
          <w:highlight w:val="none"/>
        </w:rPr>
        <w:t>40年</w:t>
      </w:r>
      <w:r>
        <w:rPr>
          <w:rFonts w:hint="default" w:ascii="Times New Roman" w:hAnsi="Times New Roman" w:eastAsia="仿宋_GB2312" w:cs="Times New Roman"/>
          <w:kern w:val="2"/>
          <w:sz w:val="28"/>
          <w:szCs w:val="28"/>
          <w:highlight w:val="none"/>
          <w:lang w:eastAsia="zh-CN"/>
        </w:rPr>
        <w:t>供水经营权</w:t>
      </w:r>
      <w:r>
        <w:rPr>
          <w:rFonts w:hint="default" w:ascii="Times New Roman" w:hAnsi="Times New Roman" w:eastAsia="仿宋_GB2312" w:cs="Times New Roman"/>
          <w:kern w:val="2"/>
          <w:sz w:val="28"/>
          <w:szCs w:val="28"/>
          <w:highlight w:val="none"/>
          <w:lang w:val="en-US" w:eastAsia="zh-CN"/>
        </w:rPr>
        <w:t>所涉及的</w:t>
      </w:r>
      <w:r>
        <w:rPr>
          <w:rFonts w:hint="default" w:ascii="Times New Roman" w:hAnsi="Times New Roman" w:eastAsia="仿宋_GB2312" w:cs="Times New Roman"/>
          <w:bCs/>
          <w:sz w:val="28"/>
          <w:highlight w:val="none"/>
          <w:lang w:val="en-US" w:eastAsia="zh-CN"/>
        </w:rPr>
        <w:t>水厂包括第一二供水厂为城区供水热备水厂；第三供水厂服务范围主要为临漳县城区及周边</w:t>
      </w:r>
      <w:r>
        <w:rPr>
          <w:rFonts w:hint="eastAsia" w:ascii="Times New Roman" w:hAnsi="Times New Roman" w:eastAsia="仿宋_GB2312" w:cs="Times New Roman"/>
          <w:bCs/>
          <w:sz w:val="28"/>
          <w:highlight w:val="none"/>
          <w:lang w:val="en-US" w:eastAsia="zh-CN"/>
        </w:rPr>
        <w:t>38个村</w:t>
      </w:r>
      <w:r>
        <w:rPr>
          <w:rFonts w:hint="default" w:ascii="Times New Roman" w:hAnsi="Times New Roman" w:eastAsia="仿宋_GB2312" w:cs="Times New Roman"/>
          <w:bCs/>
          <w:sz w:val="28"/>
          <w:highlight w:val="none"/>
        </w:rPr>
        <w:t>（</w:t>
      </w:r>
      <w:r>
        <w:rPr>
          <w:rFonts w:hint="eastAsia" w:ascii="Times New Roman" w:hAnsi="Times New Roman" w:eastAsia="仿宋_GB2312" w:cs="Times New Roman"/>
          <w:bCs/>
          <w:sz w:val="28"/>
          <w:highlight w:val="none"/>
          <w:lang w:eastAsia="zh-CN"/>
        </w:rPr>
        <w:t>东关村、南关村、西关村、北关村、东街村、南街村、西街村、北街村、东南角村、西南角村、东北角村、西北角村、李家村、西尚村、东烟寨村、西烟寨村、东前坊表村、东后坊表村、落村、王明寨村、后村、王庄村、邓庄村、贾村、申村、前赵坦寨村、后赵坦寨村、东五岔口村、西五岔口村、岗陵城村、亦北村、亦南村、东郭庄村、南许村、西前坊表、西后坊表、炉耳庄、郝幸庄</w:t>
      </w:r>
      <w:r>
        <w:rPr>
          <w:rFonts w:hint="default" w:ascii="Times New Roman" w:hAnsi="Times New Roman" w:eastAsia="仿宋_GB2312" w:cs="Times New Roman"/>
          <w:bCs/>
          <w:sz w:val="28"/>
          <w:highlight w:val="none"/>
        </w:rPr>
        <w:t>）</w:t>
      </w:r>
      <w:r>
        <w:rPr>
          <w:rFonts w:hint="default" w:ascii="Times New Roman" w:hAnsi="Times New Roman" w:eastAsia="仿宋_GB2312" w:cs="Times New Roman"/>
          <w:bCs/>
          <w:sz w:val="28"/>
          <w:highlight w:val="none"/>
          <w:lang w:val="en-US" w:eastAsia="zh-CN"/>
        </w:rPr>
        <w:t>；第四供水厂服务范围主要为</w:t>
      </w:r>
      <w:r>
        <w:rPr>
          <w:rFonts w:hint="eastAsia" w:ascii="Times New Roman" w:hAnsi="Times New Roman" w:eastAsia="仿宋_GB2312" w:cs="Times New Roman"/>
          <w:bCs/>
          <w:sz w:val="28"/>
          <w:highlight w:val="none"/>
          <w:lang w:val="en-US" w:eastAsia="zh-CN"/>
        </w:rPr>
        <w:t>27个农村供水站</w:t>
      </w:r>
      <w:r>
        <w:rPr>
          <w:rFonts w:hint="default" w:ascii="Times New Roman" w:hAnsi="Times New Roman" w:eastAsia="仿宋_GB2312" w:cs="Times New Roman"/>
          <w:bCs/>
          <w:sz w:val="28"/>
          <w:highlight w:val="none"/>
          <w:lang w:val="en-US" w:eastAsia="zh-CN"/>
        </w:rPr>
        <w:t>内的14个乡镇。</w:t>
      </w:r>
    </w:p>
    <w:p w14:paraId="273D19E1">
      <w:pPr>
        <w:keepNext w:val="0"/>
        <w:spacing w:line="360" w:lineRule="auto"/>
        <w:ind w:firstLine="562" w:firstLineChars="200"/>
        <w:jc w:val="center"/>
        <w:rPr>
          <w:rFonts w:hint="eastAsia" w:ascii="Times New Roman" w:hAnsi="Times New Roman" w:eastAsia="仿宋_GB2312" w:cs="Times New Roman"/>
          <w:b/>
          <w:bCs w:val="0"/>
          <w:sz w:val="28"/>
          <w:highlight w:val="none"/>
        </w:rPr>
      </w:pPr>
      <w:r>
        <w:rPr>
          <w:rFonts w:hint="eastAsia" w:eastAsia="仿宋_GB2312" w:cs="Times New Roman"/>
          <w:b/>
          <w:bCs w:val="0"/>
          <w:sz w:val="28"/>
          <w:highlight w:val="none"/>
          <w:lang w:eastAsia="zh-CN"/>
        </w:rPr>
        <w:t>27个供水站</w:t>
      </w:r>
      <w:r>
        <w:rPr>
          <w:rFonts w:hint="eastAsia" w:ascii="Times New Roman" w:hAnsi="Times New Roman" w:eastAsia="仿宋_GB2312" w:cs="Times New Roman"/>
          <w:b/>
          <w:bCs w:val="0"/>
          <w:sz w:val="28"/>
          <w:highlight w:val="none"/>
        </w:rPr>
        <w:t>清单</w:t>
      </w:r>
    </w:p>
    <w:tbl>
      <w:tblPr>
        <w:tblStyle w:val="16"/>
        <w:tblW w:w="5000" w:type="pct"/>
        <w:jc w:val="center"/>
        <w:tblLayout w:type="autofit"/>
        <w:tblCellMar>
          <w:top w:w="0" w:type="dxa"/>
          <w:left w:w="108" w:type="dxa"/>
          <w:bottom w:w="0" w:type="dxa"/>
          <w:right w:w="108" w:type="dxa"/>
        </w:tblCellMar>
      </w:tblPr>
      <w:tblGrid>
        <w:gridCol w:w="1219"/>
        <w:gridCol w:w="2499"/>
        <w:gridCol w:w="1941"/>
        <w:gridCol w:w="3174"/>
      </w:tblGrid>
      <w:tr w14:paraId="7AA2B778">
        <w:tblPrEx>
          <w:tblCellMar>
            <w:top w:w="0" w:type="dxa"/>
            <w:left w:w="108" w:type="dxa"/>
            <w:bottom w:w="0" w:type="dxa"/>
            <w:right w:w="108" w:type="dxa"/>
          </w:tblCellMar>
        </w:tblPrEx>
        <w:trPr>
          <w:trHeight w:val="454" w:hRule="atLeast"/>
          <w:tblHeader/>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048F856">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序号</w:t>
            </w:r>
          </w:p>
        </w:tc>
        <w:tc>
          <w:tcPr>
            <w:tcW w:w="14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8D78B51">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供水站名称</w:t>
            </w:r>
          </w:p>
        </w:tc>
        <w:tc>
          <w:tcPr>
            <w:tcW w:w="1098"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C01A626">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序号</w:t>
            </w:r>
          </w:p>
        </w:tc>
        <w:tc>
          <w:tcPr>
            <w:tcW w:w="17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8FEA901">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供水站名称</w:t>
            </w:r>
          </w:p>
        </w:tc>
      </w:tr>
      <w:tr w14:paraId="73252676">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209CDF1">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EA7F583">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前屯供水站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880D60">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15</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6D9BBD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兵马寨供水站</w:t>
            </w:r>
          </w:p>
        </w:tc>
      </w:tr>
      <w:tr w14:paraId="183A34FF">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733DC1E">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896E95C">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后三村供水站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D78CC9">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16</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8A2CE73">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有阁刘供水站</w:t>
            </w:r>
          </w:p>
        </w:tc>
      </w:tr>
      <w:tr w14:paraId="38E7B574">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08A3332">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8F33B82">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协王村供水站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25098B">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17</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17447FE">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西羊羔供水站</w:t>
            </w:r>
          </w:p>
        </w:tc>
      </w:tr>
      <w:tr w14:paraId="579D998D">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0A9B7E9">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691FBF4">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张柳供水站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22A6C5">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18</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046C972">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东营供水站</w:t>
            </w:r>
          </w:p>
        </w:tc>
      </w:tr>
      <w:tr w14:paraId="7E0F21A0">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E795E13">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4D72B53">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二分庄供水站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CEF593">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19</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11C56DB">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张修屯供水站</w:t>
            </w:r>
          </w:p>
        </w:tc>
      </w:tr>
      <w:tr w14:paraId="36486F26">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D6D60B3">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CF5D6D9">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樊营供水站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B85B37">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20</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B2E69E">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刘村供水站</w:t>
            </w:r>
          </w:p>
        </w:tc>
      </w:tr>
      <w:tr w14:paraId="2FCE496B">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EFF5782">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8D1399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北东坊供水站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CA4402">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21</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FC2D4C4">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东太平供水站</w:t>
            </w:r>
          </w:p>
        </w:tc>
      </w:tr>
      <w:tr w14:paraId="2F01557B">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A256F8C">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069EB5F">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东屯供水站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F78121">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22</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51BF45A">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核桃园供水站</w:t>
            </w:r>
          </w:p>
        </w:tc>
      </w:tr>
      <w:tr w14:paraId="625AB8DF">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0ED2503">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C60435F">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章里集供水站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F24F2C">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23</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AEC9D5">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称东供水站</w:t>
            </w:r>
          </w:p>
        </w:tc>
      </w:tr>
      <w:tr w14:paraId="32A8EB8A">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34C4D18">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B4719A8">
            <w:pPr>
              <w:widowControl/>
              <w:adjustRightInd/>
              <w:snapToGrid/>
              <w:spacing w:line="240" w:lineRule="auto"/>
              <w:ind w:firstLine="0" w:firstLineChars="0"/>
              <w:jc w:val="center"/>
              <w:rPr>
                <w:rFonts w:ascii="Times New Roman" w:hAnsi="Times New Roman" w:cs="Times New Roman"/>
                <w:color w:val="000000"/>
                <w:kern w:val="0"/>
                <w:sz w:val="20"/>
                <w:szCs w:val="20"/>
                <w:highlight w:val="yellow"/>
              </w:rPr>
            </w:pPr>
            <w:r>
              <w:rPr>
                <w:rFonts w:hint="eastAsia" w:ascii="Times New Roman" w:hAnsi="Times New Roman" w:cs="Times New Roman"/>
                <w:kern w:val="0"/>
                <w:sz w:val="20"/>
                <w:szCs w:val="20"/>
                <w:highlight w:val="none"/>
              </w:rPr>
              <w:t>郭小屯供水站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C366F6">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24</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168401">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司庄供水站</w:t>
            </w:r>
          </w:p>
        </w:tc>
      </w:tr>
      <w:tr w14:paraId="15AE8AC7">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AC8CB0B">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D472D45">
            <w:pPr>
              <w:widowControl/>
              <w:adjustRightInd/>
              <w:snapToGrid/>
              <w:spacing w:line="240" w:lineRule="auto"/>
              <w:ind w:firstLine="0" w:firstLineChars="0"/>
              <w:jc w:val="center"/>
              <w:rPr>
                <w:rFonts w:ascii="Times New Roman" w:hAnsi="Times New Roman" w:cs="Times New Roman"/>
                <w:color w:val="000000"/>
                <w:kern w:val="0"/>
                <w:sz w:val="20"/>
                <w:szCs w:val="20"/>
                <w:highlight w:val="yellow"/>
              </w:rPr>
            </w:pPr>
            <w:r>
              <w:rPr>
                <w:rFonts w:hint="eastAsia" w:ascii="Times New Roman" w:hAnsi="Times New Roman" w:cs="Times New Roman"/>
                <w:b w:val="0"/>
                <w:bCs w:val="0"/>
                <w:kern w:val="0"/>
                <w:sz w:val="20"/>
                <w:szCs w:val="20"/>
                <w:highlight w:val="none"/>
              </w:rPr>
              <w:t>北杨庄供水站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9FBF3A">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25</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8CF795">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镇河供水站</w:t>
            </w:r>
          </w:p>
        </w:tc>
      </w:tr>
      <w:tr w14:paraId="1B722CFB">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6CAE1C2">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7C0F8BC">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奶奶庙供水站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5587BA">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26</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8EF88B">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赵彭城供水站</w:t>
            </w:r>
          </w:p>
        </w:tc>
      </w:tr>
      <w:tr w14:paraId="67A79768">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31E1EA8">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3D485D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贾河口供水站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5D6987">
            <w:pPr>
              <w:widowControl/>
              <w:adjustRightInd/>
              <w:snapToGrid/>
              <w:spacing w:line="240" w:lineRule="auto"/>
              <w:ind w:firstLine="0"/>
              <w:jc w:val="center"/>
              <w:rPr>
                <w:rFonts w:hint="eastAsia" w:ascii="Times New Roman" w:hAnsi="Times New Roman" w:eastAsia="宋体" w:cs="Times New Roman"/>
                <w:color w:val="000000"/>
                <w:kern w:val="0"/>
                <w:sz w:val="20"/>
                <w:szCs w:val="20"/>
                <w:lang w:eastAsia="zh-CN"/>
              </w:rPr>
            </w:pPr>
            <w:r>
              <w:rPr>
                <w:rFonts w:ascii="Times New Roman" w:hAnsi="Times New Roman" w:cs="Times New Roman"/>
                <w:color w:val="000000"/>
                <w:kern w:val="0"/>
                <w:sz w:val="20"/>
                <w:szCs w:val="20"/>
              </w:rPr>
              <w:t>2</w:t>
            </w:r>
            <w:r>
              <w:rPr>
                <w:rFonts w:hint="eastAsia" w:cs="Times New Roman"/>
                <w:color w:val="000000"/>
                <w:kern w:val="0"/>
                <w:sz w:val="20"/>
                <w:szCs w:val="20"/>
                <w:lang w:val="en-US" w:eastAsia="zh-CN"/>
              </w:rPr>
              <w:t>7</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595A4C">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lang w:val="en-US" w:eastAsia="zh-CN"/>
              </w:rPr>
              <w:t>黄村</w:t>
            </w:r>
            <w:r>
              <w:rPr>
                <w:rFonts w:hint="eastAsia" w:ascii="Times New Roman" w:hAnsi="Times New Roman" w:cs="Times New Roman"/>
                <w:kern w:val="0"/>
                <w:sz w:val="20"/>
                <w:szCs w:val="20"/>
                <w:highlight w:val="none"/>
              </w:rPr>
              <w:t>供水站</w:t>
            </w:r>
          </w:p>
        </w:tc>
      </w:tr>
      <w:tr w14:paraId="3E692877">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C8677C4">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A9FA68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黄开河供水站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181978">
            <w:pPr>
              <w:widowControl/>
              <w:adjustRightInd/>
              <w:snapToGrid/>
              <w:spacing w:line="240" w:lineRule="auto"/>
              <w:ind w:firstLine="0"/>
              <w:jc w:val="center"/>
              <w:rPr>
                <w:rFonts w:ascii="Times New Roman" w:hAnsi="Times New Roman" w:cs="Times New Roman"/>
                <w:color w:val="000000"/>
                <w:kern w:val="0"/>
                <w:sz w:val="20"/>
                <w:szCs w:val="20"/>
              </w:rPr>
            </w:pPr>
          </w:p>
        </w:tc>
        <w:tc>
          <w:tcPr>
            <w:tcW w:w="179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40D392">
            <w:pPr>
              <w:widowControl/>
              <w:adjustRightInd/>
              <w:snapToGrid/>
              <w:spacing w:line="240" w:lineRule="auto"/>
              <w:ind w:firstLine="0"/>
              <w:jc w:val="center"/>
              <w:rPr>
                <w:rFonts w:ascii="Times New Roman" w:hAnsi="Times New Roman" w:cs="Times New Roman"/>
                <w:color w:val="000000"/>
                <w:kern w:val="0"/>
                <w:sz w:val="20"/>
                <w:szCs w:val="20"/>
              </w:rPr>
            </w:pPr>
          </w:p>
        </w:tc>
      </w:tr>
    </w:tbl>
    <w:p w14:paraId="64166ABE">
      <w:pPr>
        <w:spacing w:line="360" w:lineRule="auto"/>
        <w:ind w:firstLine="560" w:firstLineChars="200"/>
        <w:rPr>
          <w:rFonts w:hint="default" w:ascii="Times New Roman" w:hAnsi="Times New Roman" w:eastAsia="仿宋_GB2312" w:cs="Times New Roman"/>
          <w:kern w:val="0"/>
          <w:sz w:val="28"/>
          <w:szCs w:val="20"/>
          <w:highlight w:val="none"/>
        </w:rPr>
      </w:pPr>
      <w:r>
        <w:rPr>
          <w:rFonts w:hint="default" w:ascii="Times New Roman" w:hAnsi="Times New Roman" w:eastAsia="仿宋_GB2312" w:cs="Times New Roman"/>
          <w:kern w:val="0"/>
          <w:sz w:val="28"/>
          <w:szCs w:val="20"/>
          <w:highlight w:val="none"/>
        </w:rPr>
        <w:t>委托评估对象和评估范围与经济行为涉及的评估对象和评估范围一致。</w:t>
      </w:r>
    </w:p>
    <w:p w14:paraId="1D80F4CA">
      <w:pPr>
        <w:pStyle w:val="21"/>
        <w:adjustRightInd/>
        <w:spacing w:line="360" w:lineRule="auto"/>
        <w:ind w:firstLine="560" w:firstLineChars="200"/>
        <w:rPr>
          <w:rFonts w:hint="default" w:ascii="Times New Roman" w:hAnsi="Times New Roman" w:eastAsia="仿宋_GB2312" w:cs="Times New Roman"/>
          <w:highlight w:val="none"/>
        </w:rPr>
      </w:pPr>
      <w:r>
        <w:rPr>
          <w:rFonts w:hint="default" w:ascii="Times New Roman" w:hAnsi="Times New Roman" w:eastAsia="仿宋_GB2312" w:cs="Times New Roman"/>
          <w:highlight w:val="none"/>
        </w:rPr>
        <w:t>（二）</w:t>
      </w:r>
      <w:r>
        <w:rPr>
          <w:rFonts w:hint="eastAsia" w:ascii="Times New Roman" w:eastAsia="仿宋_GB2312" w:cs="Times New Roman"/>
          <w:highlight w:val="none"/>
          <w:lang w:val="en-US" w:eastAsia="zh-CN"/>
        </w:rPr>
        <w:t>无形资产的</w:t>
      </w:r>
      <w:r>
        <w:rPr>
          <w:rFonts w:hint="default" w:ascii="Times New Roman" w:hAnsi="Times New Roman" w:eastAsia="仿宋_GB2312" w:cs="Times New Roman"/>
          <w:highlight w:val="none"/>
        </w:rPr>
        <w:t>情况及特点</w:t>
      </w:r>
    </w:p>
    <w:p w14:paraId="0228551B">
      <w:pPr>
        <w:spacing w:line="360" w:lineRule="auto"/>
        <w:ind w:firstLine="560" w:firstLineChars="200"/>
        <w:rPr>
          <w:rFonts w:hint="default" w:ascii="Times New Roman" w:hAnsi="Times New Roman" w:eastAsia="仿宋_GB2312" w:cs="Times New Roman"/>
          <w:kern w:val="0"/>
          <w:sz w:val="28"/>
          <w:szCs w:val="20"/>
          <w:highlight w:val="none"/>
          <w:lang w:eastAsia="zh-CN"/>
        </w:rPr>
      </w:pPr>
      <w:r>
        <w:rPr>
          <w:rFonts w:hint="default" w:ascii="Times New Roman" w:hAnsi="Times New Roman" w:eastAsia="仿宋_GB2312" w:cs="Times New Roman"/>
          <w:kern w:val="0"/>
          <w:sz w:val="28"/>
          <w:szCs w:val="20"/>
          <w:highlight w:val="none"/>
          <w:lang w:val="en-US" w:eastAsia="zh-CN"/>
        </w:rPr>
        <w:t>纳入本次评</w:t>
      </w:r>
      <w:r>
        <w:rPr>
          <w:rFonts w:hint="default" w:ascii="Times New Roman" w:hAnsi="Times New Roman" w:eastAsia="仿宋_GB2312" w:cs="Times New Roman"/>
          <w:kern w:val="0"/>
          <w:sz w:val="28"/>
          <w:szCs w:val="20"/>
          <w:highlight w:val="none"/>
          <w:lang w:eastAsia="zh-CN"/>
        </w:rPr>
        <w:t>估范围的</w:t>
      </w:r>
      <w:r>
        <w:rPr>
          <w:rFonts w:hint="eastAsia" w:ascii="Times New Roman" w:eastAsia="仿宋_GB2312" w:cs="Times New Roman"/>
          <w:kern w:val="0"/>
          <w:sz w:val="28"/>
          <w:szCs w:val="20"/>
          <w:highlight w:val="none"/>
          <w:lang w:val="en-US" w:eastAsia="zh-CN"/>
        </w:rPr>
        <w:t>无形</w:t>
      </w:r>
      <w:r>
        <w:rPr>
          <w:rFonts w:hint="default" w:ascii="Times New Roman" w:hAnsi="Times New Roman" w:eastAsia="仿宋_GB2312" w:cs="Times New Roman"/>
          <w:kern w:val="0"/>
          <w:sz w:val="28"/>
          <w:szCs w:val="20"/>
          <w:highlight w:val="none"/>
          <w:lang w:eastAsia="zh-CN"/>
        </w:rPr>
        <w:t>资产的</w:t>
      </w:r>
      <w:r>
        <w:rPr>
          <w:rFonts w:hint="eastAsia" w:ascii="Times New Roman" w:eastAsia="仿宋_GB2312" w:cs="Times New Roman"/>
          <w:kern w:val="0"/>
          <w:sz w:val="28"/>
          <w:szCs w:val="20"/>
          <w:highlight w:val="none"/>
          <w:lang w:val="en-US" w:eastAsia="zh-CN"/>
        </w:rPr>
        <w:t>情况</w:t>
      </w:r>
      <w:r>
        <w:rPr>
          <w:rFonts w:hint="default" w:ascii="Times New Roman" w:hAnsi="Times New Roman" w:eastAsia="仿宋_GB2312" w:cs="Times New Roman"/>
          <w:kern w:val="0"/>
          <w:sz w:val="28"/>
          <w:szCs w:val="20"/>
          <w:highlight w:val="none"/>
          <w:lang w:eastAsia="zh-CN"/>
        </w:rPr>
        <w:t>及特点如下：</w:t>
      </w:r>
    </w:p>
    <w:p w14:paraId="388E8B63">
      <w:pPr>
        <w:pStyle w:val="20"/>
        <w:snapToGrid w:val="0"/>
        <w:ind w:firstLine="560" w:firstLineChars="200"/>
        <w:rPr>
          <w:rFonts w:hint="default" w:ascii="Times New Roman" w:hAnsi="Times New Roman" w:eastAsia="仿宋_GB2312" w:cs="Times New Roman"/>
          <w:bCs/>
          <w:kern w:val="2"/>
          <w:sz w:val="28"/>
          <w:szCs w:val="24"/>
          <w:highlight w:val="none"/>
        </w:rPr>
      </w:pPr>
      <w:r>
        <w:rPr>
          <w:rFonts w:hint="default" w:ascii="Times New Roman" w:hAnsi="Times New Roman" w:eastAsia="仿宋_GB2312" w:cs="Times New Roman"/>
          <w:kern w:val="2"/>
          <w:sz w:val="28"/>
          <w:szCs w:val="28"/>
          <w:highlight w:val="none"/>
          <w:lang w:eastAsia="zh-CN"/>
        </w:rPr>
        <w:t>临漳县</w:t>
      </w:r>
      <w:r>
        <w:rPr>
          <w:rFonts w:hint="default" w:ascii="Times New Roman" w:hAnsi="Times New Roman" w:eastAsia="仿宋_GB2312" w:cs="Times New Roman"/>
          <w:kern w:val="2"/>
          <w:sz w:val="28"/>
          <w:szCs w:val="28"/>
          <w:highlight w:val="none"/>
        </w:rPr>
        <w:t>40年</w:t>
      </w:r>
      <w:r>
        <w:rPr>
          <w:rFonts w:hint="default" w:ascii="Times New Roman" w:hAnsi="Times New Roman" w:eastAsia="仿宋_GB2312" w:cs="Times New Roman"/>
          <w:kern w:val="2"/>
          <w:sz w:val="28"/>
          <w:szCs w:val="28"/>
          <w:highlight w:val="none"/>
          <w:lang w:eastAsia="zh-CN"/>
        </w:rPr>
        <w:t>供水经营权</w:t>
      </w:r>
      <w:r>
        <w:rPr>
          <w:rFonts w:hint="default" w:ascii="Times New Roman" w:hAnsi="Times New Roman" w:eastAsia="仿宋_GB2312" w:cs="Times New Roman"/>
          <w:kern w:val="2"/>
          <w:sz w:val="28"/>
          <w:szCs w:val="28"/>
          <w:highlight w:val="none"/>
          <w:lang w:val="en-US" w:eastAsia="zh-CN"/>
        </w:rPr>
        <w:t>所涉及的</w:t>
      </w:r>
      <w:r>
        <w:rPr>
          <w:rFonts w:hint="default" w:ascii="Times New Roman" w:hAnsi="Times New Roman" w:eastAsia="仿宋_GB2312" w:cs="Times New Roman"/>
          <w:bCs/>
          <w:sz w:val="28"/>
          <w:highlight w:val="none"/>
          <w:lang w:val="en-US" w:eastAsia="zh-CN"/>
        </w:rPr>
        <w:t>水厂包括第一二供水厂为城区供水热备水厂；第三供水厂服务范围主要为临漳县城区及周边</w:t>
      </w:r>
      <w:r>
        <w:rPr>
          <w:rFonts w:hint="eastAsia" w:ascii="Times New Roman" w:hAnsi="Times New Roman" w:eastAsia="仿宋_GB2312" w:cs="Times New Roman"/>
          <w:bCs/>
          <w:sz w:val="28"/>
          <w:highlight w:val="none"/>
          <w:lang w:val="en-US" w:eastAsia="zh-CN"/>
        </w:rPr>
        <w:t>38个村</w:t>
      </w:r>
      <w:r>
        <w:rPr>
          <w:rFonts w:hint="default" w:ascii="Times New Roman" w:hAnsi="Times New Roman" w:eastAsia="仿宋_GB2312" w:cs="Times New Roman"/>
          <w:bCs/>
          <w:sz w:val="28"/>
          <w:highlight w:val="none"/>
        </w:rPr>
        <w:t>（</w:t>
      </w:r>
      <w:r>
        <w:rPr>
          <w:rFonts w:hint="eastAsia" w:ascii="Times New Roman" w:hAnsi="Times New Roman" w:eastAsia="仿宋_GB2312" w:cs="Times New Roman"/>
          <w:bCs/>
          <w:sz w:val="28"/>
          <w:highlight w:val="none"/>
          <w:lang w:eastAsia="zh-CN"/>
        </w:rPr>
        <w:t>东关村、南关村、西关村、北关村、东街村、南街村、西街村、北街村、东南角村、西南角村、东北角村、西北角村、李家村、西尚村、东烟寨村、西烟寨村、东前坊表村、东后坊表村、落村、王明寨村、后村、王庄村、邓庄村、贾村、申村、前赵坦寨村、后赵坦寨村、东五岔口村、西五岔口村、岗陵城村、亦北村、亦南村、东郭庄村、南许村、西前坊表、西后坊表、炉耳庄、郝幸庄</w:t>
      </w:r>
      <w:r>
        <w:rPr>
          <w:rFonts w:hint="default" w:ascii="Times New Roman" w:hAnsi="Times New Roman" w:eastAsia="仿宋_GB2312" w:cs="Times New Roman"/>
          <w:bCs/>
          <w:sz w:val="28"/>
          <w:highlight w:val="none"/>
        </w:rPr>
        <w:t>）</w:t>
      </w:r>
      <w:r>
        <w:rPr>
          <w:rFonts w:hint="default" w:ascii="Times New Roman" w:hAnsi="Times New Roman" w:eastAsia="仿宋_GB2312" w:cs="Times New Roman"/>
          <w:bCs/>
          <w:sz w:val="28"/>
          <w:highlight w:val="none"/>
          <w:lang w:val="en-US" w:eastAsia="zh-CN"/>
        </w:rPr>
        <w:t>；第四供水厂服务范围主要为</w:t>
      </w:r>
      <w:r>
        <w:rPr>
          <w:rFonts w:hint="eastAsia" w:ascii="Times New Roman" w:hAnsi="Times New Roman" w:eastAsia="仿宋_GB2312" w:cs="Times New Roman"/>
          <w:bCs/>
          <w:sz w:val="28"/>
          <w:highlight w:val="none"/>
          <w:lang w:val="en-US" w:eastAsia="zh-CN"/>
        </w:rPr>
        <w:t>27个农村供水站</w:t>
      </w:r>
      <w:r>
        <w:rPr>
          <w:rFonts w:hint="default" w:ascii="Times New Roman" w:hAnsi="Times New Roman" w:eastAsia="仿宋_GB2312" w:cs="Times New Roman"/>
          <w:bCs/>
          <w:sz w:val="28"/>
          <w:highlight w:val="none"/>
          <w:lang w:val="en-US" w:eastAsia="zh-CN"/>
        </w:rPr>
        <w:t>内的14个乡镇。</w:t>
      </w:r>
    </w:p>
    <w:p w14:paraId="4877DE75">
      <w:pPr>
        <w:pStyle w:val="21"/>
        <w:adjustRightInd/>
        <w:spacing w:line="360" w:lineRule="auto"/>
        <w:ind w:firstLine="560" w:firstLineChars="200"/>
        <w:rPr>
          <w:rFonts w:hint="default" w:ascii="Times New Roman" w:hAnsi="Times New Roman" w:eastAsia="仿宋_GB2312" w:cs="Times New Roman"/>
          <w:szCs w:val="28"/>
          <w:highlight w:val="none"/>
          <w:lang w:val="en-US" w:eastAsia="zh-CN"/>
        </w:rPr>
      </w:pPr>
      <w:r>
        <w:rPr>
          <w:rFonts w:hint="eastAsia" w:ascii="Times New Roman" w:eastAsia="仿宋_GB2312" w:cs="Times New Roman"/>
          <w:szCs w:val="28"/>
          <w:highlight w:val="none"/>
          <w:lang w:val="en-US" w:eastAsia="zh-CN"/>
        </w:rPr>
        <w:t>根据产权持有人提供</w:t>
      </w:r>
      <w:r>
        <w:rPr>
          <w:rFonts w:hint="default" w:ascii="Times New Roman" w:hAnsi="Times New Roman" w:eastAsia="仿宋_GB2312" w:cs="Times New Roman"/>
          <w:szCs w:val="28"/>
          <w:highlight w:val="none"/>
          <w:lang w:val="en-US" w:eastAsia="zh-CN"/>
        </w:rPr>
        <w:t>的《</w:t>
      </w:r>
      <w:r>
        <w:rPr>
          <w:rFonts w:hint="default" w:ascii="Times New Roman" w:hAnsi="Times New Roman" w:eastAsia="仿宋_GB2312" w:cs="Times New Roman"/>
          <w:kern w:val="0"/>
          <w:sz w:val="28"/>
          <w:highlight w:val="none"/>
          <w:lang w:val="en-US" w:eastAsia="zh-CN"/>
        </w:rPr>
        <w:t>临漳县人民政府关于对</w:t>
      </w:r>
      <w:r>
        <w:rPr>
          <w:rFonts w:hint="eastAsia" w:ascii="Times New Roman" w:eastAsia="仿宋_GB2312" w:cs="Times New Roman"/>
          <w:kern w:val="0"/>
          <w:sz w:val="28"/>
          <w:highlight w:val="none"/>
          <w:lang w:val="en-US" w:eastAsia="zh-CN"/>
        </w:rPr>
        <w:t>临漳县城乡供水一体化特许经营项目</w:t>
      </w:r>
      <w:r>
        <w:rPr>
          <w:rFonts w:hint="default" w:ascii="Times New Roman" w:hAnsi="Times New Roman" w:eastAsia="仿宋_GB2312" w:cs="Times New Roman"/>
          <w:kern w:val="0"/>
          <w:sz w:val="28"/>
          <w:highlight w:val="none"/>
          <w:lang w:val="en-US" w:eastAsia="zh-CN"/>
        </w:rPr>
        <w:t>实施机构授权请示的批复（[2024]-85）</w:t>
      </w:r>
      <w:r>
        <w:rPr>
          <w:rFonts w:hint="default" w:ascii="Times New Roman" w:hAnsi="Times New Roman" w:eastAsia="仿宋_GB2312" w:cs="Times New Roman"/>
          <w:szCs w:val="28"/>
          <w:highlight w:val="none"/>
          <w:lang w:val="en-US" w:eastAsia="zh-CN"/>
        </w:rPr>
        <w:t>》</w:t>
      </w:r>
      <w:r>
        <w:rPr>
          <w:rFonts w:hint="eastAsia" w:ascii="Times New Roman" w:hAnsi="Times New Roman" w:eastAsia="仿宋_GB2312" w:cs="Times New Roman"/>
          <w:szCs w:val="28"/>
          <w:highlight w:val="none"/>
          <w:lang w:val="en-US" w:eastAsia="zh-CN"/>
        </w:rPr>
        <w:t>，</w:t>
      </w:r>
      <w:r>
        <w:rPr>
          <w:rFonts w:hint="eastAsia" w:ascii="Times New Roman" w:eastAsia="仿宋_GB2312" w:cs="Times New Roman"/>
          <w:szCs w:val="28"/>
          <w:highlight w:val="none"/>
          <w:lang w:eastAsia="zh-CN"/>
        </w:rPr>
        <w:t>供水经营权</w:t>
      </w:r>
      <w:r>
        <w:rPr>
          <w:rFonts w:hint="eastAsia" w:ascii="Times New Roman" w:hAnsi="Times New Roman" w:eastAsia="仿宋_GB2312" w:cs="Times New Roman"/>
          <w:szCs w:val="28"/>
          <w:highlight w:val="none"/>
          <w:lang w:val="en-US" w:eastAsia="zh-CN"/>
        </w:rPr>
        <w:t>由</w:t>
      </w:r>
      <w:r>
        <w:rPr>
          <w:rFonts w:hint="eastAsia" w:ascii="Times New Roman" w:eastAsia="仿宋_GB2312" w:cs="Times New Roman"/>
          <w:szCs w:val="28"/>
          <w:highlight w:val="none"/>
          <w:lang w:eastAsia="zh-CN"/>
        </w:rPr>
        <w:t>临漳县水利局</w:t>
      </w:r>
      <w:r>
        <w:rPr>
          <w:rFonts w:hint="eastAsia" w:ascii="Times New Roman" w:hAnsi="Times New Roman" w:eastAsia="仿宋_GB2312" w:cs="Times New Roman"/>
          <w:szCs w:val="28"/>
          <w:highlight w:val="none"/>
          <w:lang w:val="en-US" w:eastAsia="zh-CN"/>
        </w:rPr>
        <w:t>实施管理。</w:t>
      </w:r>
    </w:p>
    <w:p w14:paraId="20C316C3">
      <w:pPr>
        <w:pStyle w:val="21"/>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w:t>
      </w:r>
      <w:r>
        <w:rPr>
          <w:rFonts w:hint="eastAsia" w:ascii="Times New Roman" w:eastAsia="仿宋_GB2312" w:cs="Times New Roman"/>
          <w:szCs w:val="28"/>
          <w:highlight w:val="none"/>
          <w:lang w:val="en-US" w:eastAsia="zh-CN"/>
        </w:rPr>
        <w:t>三</w:t>
      </w:r>
      <w:r>
        <w:rPr>
          <w:rFonts w:hint="default" w:ascii="Times New Roman" w:hAnsi="Times New Roman" w:eastAsia="仿宋_GB2312" w:cs="Times New Roman"/>
          <w:szCs w:val="28"/>
          <w:highlight w:val="none"/>
        </w:rPr>
        <w:t>）企业申报的表外资产的类型、数量。</w:t>
      </w:r>
    </w:p>
    <w:p w14:paraId="14D95071">
      <w:pPr>
        <w:pStyle w:val="21"/>
        <w:adjustRightInd/>
        <w:spacing w:line="360" w:lineRule="auto"/>
        <w:ind w:firstLine="560" w:firstLineChars="200"/>
        <w:rPr>
          <w:rFonts w:hint="default" w:ascii="Times New Roman" w:hAnsi="Times New Roman" w:eastAsia="仿宋_GB2312" w:cs="Times New Roman"/>
          <w:szCs w:val="28"/>
          <w:highlight w:val="none"/>
          <w:lang w:eastAsia="zh-CN"/>
        </w:rPr>
      </w:pPr>
      <w:r>
        <w:rPr>
          <w:rFonts w:hint="eastAsia" w:ascii="Times New Roman" w:eastAsia="仿宋_GB2312" w:cs="Times New Roman"/>
          <w:szCs w:val="28"/>
          <w:highlight w:val="none"/>
          <w:lang w:val="en-US" w:eastAsia="zh-CN"/>
        </w:rPr>
        <w:t>无</w:t>
      </w:r>
    </w:p>
    <w:p w14:paraId="025EDE65">
      <w:pPr>
        <w:pStyle w:val="3"/>
        <w:adjustRightInd w:val="0"/>
        <w:snapToGrid w:val="0"/>
        <w:spacing w:line="360" w:lineRule="auto"/>
        <w:ind w:firstLine="562" w:firstLineChars="200"/>
        <w:rPr>
          <w:rFonts w:hint="default" w:ascii="Times New Roman" w:hAnsi="Times New Roman" w:eastAsia="仿宋_GB2312" w:cs="Times New Roman"/>
          <w:b/>
          <w:bCs w:val="0"/>
          <w:kern w:val="0"/>
          <w:sz w:val="28"/>
          <w:szCs w:val="28"/>
          <w:highlight w:val="none"/>
        </w:rPr>
      </w:pPr>
      <w:bookmarkStart w:id="122" w:name="_Toc22352"/>
      <w:bookmarkStart w:id="123" w:name="_Toc7923"/>
      <w:bookmarkStart w:id="124" w:name="_Toc15338"/>
      <w:bookmarkStart w:id="125" w:name="_Toc25150"/>
      <w:bookmarkStart w:id="126" w:name="_Toc1246"/>
      <w:bookmarkStart w:id="127" w:name="_Toc7450"/>
      <w:bookmarkStart w:id="128" w:name="_Toc6232"/>
      <w:r>
        <w:rPr>
          <w:rFonts w:hint="eastAsia" w:ascii="Times New Roman" w:hAnsi="Times New Roman" w:eastAsia="仿宋_GB2312" w:cs="Times New Roman"/>
          <w:b/>
          <w:bCs w:val="0"/>
          <w:kern w:val="0"/>
          <w:sz w:val="28"/>
          <w:szCs w:val="28"/>
          <w:highlight w:val="none"/>
          <w:lang w:val="en-US" w:eastAsia="zh-CN"/>
        </w:rPr>
        <w:t>二、</w:t>
      </w:r>
      <w:r>
        <w:rPr>
          <w:rFonts w:hint="default" w:ascii="Times New Roman" w:hAnsi="Times New Roman" w:eastAsia="仿宋_GB2312" w:cs="Times New Roman"/>
          <w:b/>
          <w:bCs w:val="0"/>
          <w:kern w:val="0"/>
          <w:sz w:val="28"/>
          <w:szCs w:val="28"/>
          <w:highlight w:val="none"/>
        </w:rPr>
        <w:t>引用其他机构报告结论所涉及的相关资产</w:t>
      </w:r>
      <w:bookmarkEnd w:id="122"/>
      <w:bookmarkEnd w:id="123"/>
      <w:bookmarkEnd w:id="124"/>
      <w:bookmarkEnd w:id="125"/>
      <w:bookmarkEnd w:id="126"/>
      <w:bookmarkEnd w:id="127"/>
      <w:bookmarkEnd w:id="128"/>
    </w:p>
    <w:p w14:paraId="42EC7B9D">
      <w:pPr>
        <w:pStyle w:val="21"/>
        <w:adjustRightInd/>
        <w:spacing w:line="360" w:lineRule="auto"/>
        <w:ind w:firstLine="560" w:firstLineChars="200"/>
        <w:outlineLvl w:val="9"/>
        <w:rPr>
          <w:rFonts w:hint="eastAsia" w:ascii="Times New Roman" w:hAnsi="Times New Roman" w:eastAsia="仿宋_GB2312" w:cs="Times New Roman"/>
          <w:bCs w:val="0"/>
          <w:kern w:val="0"/>
          <w:sz w:val="28"/>
          <w:szCs w:val="28"/>
          <w:highlight w:val="none"/>
          <w:lang w:val="en-US" w:eastAsia="zh-CN"/>
        </w:rPr>
      </w:pPr>
      <w:r>
        <w:rPr>
          <w:rFonts w:hint="eastAsia" w:ascii="Times New Roman" w:hAnsi="Times New Roman" w:eastAsia="仿宋_GB2312" w:cs="Times New Roman"/>
          <w:b w:val="0"/>
          <w:bCs w:val="0"/>
          <w:kern w:val="0"/>
          <w:sz w:val="28"/>
          <w:szCs w:val="28"/>
          <w:highlight w:val="none"/>
          <w:lang w:val="en-US" w:eastAsia="zh-CN"/>
        </w:rPr>
        <w:t>无</w:t>
      </w:r>
    </w:p>
    <w:p w14:paraId="5AA6A206">
      <w:pPr>
        <w:pStyle w:val="3"/>
        <w:keepLines w:val="0"/>
        <w:adjustRightInd w:val="0"/>
        <w:snapToGrid w:val="0"/>
        <w:spacing w:before="0" w:after="0" w:line="360" w:lineRule="auto"/>
        <w:ind w:firstLine="562" w:firstLineChars="200"/>
        <w:rPr>
          <w:rFonts w:hint="eastAsia" w:ascii="Times New Roman" w:hAnsi="Times New Roman" w:eastAsia="仿宋_GB2312" w:cs="Times New Roman"/>
          <w:bCs w:val="0"/>
          <w:kern w:val="0"/>
          <w:sz w:val="28"/>
          <w:szCs w:val="28"/>
          <w:highlight w:val="none"/>
        </w:rPr>
      </w:pPr>
      <w:bookmarkStart w:id="129" w:name="_Toc9329"/>
      <w:bookmarkStart w:id="130" w:name="_Toc22590"/>
      <w:bookmarkStart w:id="131" w:name="_Toc18980"/>
      <w:bookmarkStart w:id="132" w:name="_Toc2685"/>
      <w:bookmarkStart w:id="133" w:name="_Toc16932"/>
      <w:bookmarkStart w:id="134" w:name="_Toc9965"/>
      <w:bookmarkStart w:id="135" w:name="_Toc15889"/>
      <w:r>
        <w:rPr>
          <w:rFonts w:hint="eastAsia" w:ascii="Times New Roman" w:hAnsi="Times New Roman" w:eastAsia="仿宋_GB2312" w:cs="Times New Roman"/>
          <w:bCs w:val="0"/>
          <w:kern w:val="0"/>
          <w:sz w:val="28"/>
          <w:szCs w:val="28"/>
          <w:highlight w:val="none"/>
        </w:rPr>
        <w:t>三、 资产核实情况总体说明</w:t>
      </w:r>
      <w:bookmarkEnd w:id="129"/>
      <w:bookmarkEnd w:id="130"/>
      <w:bookmarkEnd w:id="131"/>
      <w:bookmarkEnd w:id="132"/>
      <w:bookmarkEnd w:id="133"/>
      <w:bookmarkEnd w:id="134"/>
      <w:bookmarkEnd w:id="135"/>
    </w:p>
    <w:p w14:paraId="7E2B6EF8">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（一）资产核实人员组织、实施时间和过程</w:t>
      </w:r>
    </w:p>
    <w:p w14:paraId="1FC0085D">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1、听取</w:t>
      </w:r>
      <w:r>
        <w:rPr>
          <w:rFonts w:hint="eastAsia" w:ascii="Times New Roman" w:eastAsia="仿宋_GB2312" w:cs="Times New Roman"/>
          <w:szCs w:val="28"/>
          <w:highlight w:val="none"/>
          <w:lang w:eastAsia="zh-CN"/>
        </w:rPr>
        <w:t>委托人</w:t>
      </w:r>
      <w:r>
        <w:rPr>
          <w:rFonts w:hint="default" w:ascii="Times New Roman" w:hAnsi="Times New Roman" w:eastAsia="仿宋_GB2312" w:cs="Times New Roman"/>
          <w:szCs w:val="28"/>
          <w:highlight w:val="none"/>
        </w:rPr>
        <w:t>及</w:t>
      </w:r>
      <w:r>
        <w:rPr>
          <w:rFonts w:hint="eastAsia" w:ascii="Times New Roman" w:eastAsia="仿宋_GB2312" w:cs="Times New Roman"/>
          <w:szCs w:val="28"/>
          <w:highlight w:val="none"/>
          <w:lang w:eastAsia="zh-CN"/>
        </w:rPr>
        <w:t>产权持有人</w:t>
      </w:r>
      <w:r>
        <w:rPr>
          <w:rFonts w:hint="default" w:ascii="Times New Roman" w:hAnsi="Times New Roman" w:eastAsia="仿宋_GB2312" w:cs="Times New Roman"/>
          <w:szCs w:val="28"/>
          <w:highlight w:val="none"/>
        </w:rPr>
        <w:t>有关人员介绍企业总体情况和委估资产的历史及现状，了解企业的财务制度、经营状况、无形资产涉及的固定资产技术状态等情况。</w:t>
      </w:r>
    </w:p>
    <w:p w14:paraId="2D600FB5">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2、对企业提供的资产清查评估申报明细表进行审核、鉴别，并与企业有关财务记录数据进行核对，对发现的问题协同企业做出调整。</w:t>
      </w:r>
    </w:p>
    <w:p w14:paraId="28818FC7">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3、根据资产清查评估申报明细表，对无形资产的相关费用、技术水平、经济效益、法律状况等情况，同时了解了该行业的总体情况。</w:t>
      </w:r>
    </w:p>
    <w:p w14:paraId="4A937022">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4、查阅收集委估资产的产权证明文件。</w:t>
      </w:r>
    </w:p>
    <w:p w14:paraId="394C6C7A">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5、根据委估资产的实际状况和特点，确定各类资产的具体评估方法。</w:t>
      </w:r>
    </w:p>
    <w:p w14:paraId="10062C93">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6、对企业提供的权属资料进行查验。</w:t>
      </w:r>
    </w:p>
    <w:p w14:paraId="49FABFDA">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（二）影响资产核实的事项及处理方法</w:t>
      </w:r>
    </w:p>
    <w:p w14:paraId="63DD0A78">
      <w:pPr>
        <w:pStyle w:val="21"/>
        <w:shd w:val="clear"/>
        <w:adjustRightInd/>
        <w:spacing w:line="360" w:lineRule="auto"/>
        <w:ind w:firstLine="560" w:firstLineChars="200"/>
        <w:rPr>
          <w:rFonts w:hint="default" w:ascii="Times New Roman" w:hAnsi="Times New Roman" w:eastAsia="仿宋_GB2312" w:cs="Times New Roman"/>
          <w:szCs w:val="28"/>
          <w:highlight w:val="none"/>
          <w:lang w:val="en-US" w:eastAsia="zh-CN"/>
        </w:rPr>
      </w:pPr>
      <w:r>
        <w:rPr>
          <w:rFonts w:hint="default" w:ascii="Times New Roman" w:hAnsi="Times New Roman" w:eastAsia="仿宋_GB2312" w:cs="Times New Roman"/>
          <w:szCs w:val="28"/>
          <w:highlight w:val="none"/>
          <w:lang w:val="en-US" w:eastAsia="zh-CN"/>
        </w:rPr>
        <w:t>1、</w:t>
      </w:r>
      <w:r>
        <w:rPr>
          <w:rFonts w:hint="default" w:ascii="Times New Roman" w:hAnsi="Times New Roman" w:eastAsia="仿宋_GB2312" w:cs="Times New Roman"/>
          <w:szCs w:val="28"/>
          <w:highlight w:val="none"/>
        </w:rPr>
        <w:t>影响资产核实的事项</w:t>
      </w:r>
    </w:p>
    <w:p w14:paraId="0D49F23D">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eastAsia" w:ascii="Times New Roman" w:eastAsia="仿宋_GB2312" w:cs="Times New Roman"/>
          <w:szCs w:val="28"/>
          <w:highlight w:val="none"/>
          <w:lang w:val="en-US" w:eastAsia="zh-CN"/>
        </w:rPr>
        <w:t>无</w:t>
      </w:r>
    </w:p>
    <w:p w14:paraId="0EB38395">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（三）资产清查核实结论</w:t>
      </w:r>
    </w:p>
    <w:p w14:paraId="75D01966">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default" w:ascii="Times New Roman" w:hAnsi="Times New Roman" w:eastAsia="仿宋_GB2312" w:cs="Times New Roman"/>
          <w:szCs w:val="28"/>
          <w:highlight w:val="none"/>
        </w:rPr>
        <w:t>评估人员在</w:t>
      </w:r>
      <w:r>
        <w:rPr>
          <w:rFonts w:hint="default" w:ascii="Times New Roman" w:hAnsi="Times New Roman" w:eastAsia="仿宋_GB2312" w:cs="Times New Roman"/>
          <w:szCs w:val="28"/>
          <w:highlight w:val="none"/>
          <w:lang w:val="en-US" w:eastAsia="zh-CN"/>
        </w:rPr>
        <w:t>基于现有资料和各方的配合下对</w:t>
      </w:r>
      <w:r>
        <w:rPr>
          <w:rFonts w:hint="eastAsia" w:ascii="Times New Roman" w:eastAsia="仿宋_GB2312" w:cs="Times New Roman"/>
          <w:szCs w:val="28"/>
          <w:highlight w:val="none"/>
          <w:lang w:val="en-US" w:eastAsia="zh-CN"/>
        </w:rPr>
        <w:t>无形</w:t>
      </w:r>
      <w:r>
        <w:rPr>
          <w:rFonts w:hint="default" w:ascii="Times New Roman" w:hAnsi="Times New Roman" w:eastAsia="仿宋_GB2312" w:cs="Times New Roman"/>
          <w:szCs w:val="28"/>
          <w:highlight w:val="none"/>
          <w:lang w:val="en-US" w:eastAsia="zh-CN"/>
        </w:rPr>
        <w:t>资产进行了</w:t>
      </w:r>
      <w:r>
        <w:rPr>
          <w:rFonts w:hint="eastAsia" w:ascii="Times New Roman" w:eastAsia="仿宋_GB2312" w:cs="Times New Roman"/>
          <w:szCs w:val="28"/>
          <w:highlight w:val="none"/>
          <w:lang w:val="en-US" w:eastAsia="zh-CN"/>
        </w:rPr>
        <w:t>核实</w:t>
      </w:r>
      <w:r>
        <w:rPr>
          <w:rFonts w:hint="default" w:ascii="Times New Roman" w:hAnsi="Times New Roman" w:eastAsia="仿宋_GB2312" w:cs="Times New Roman"/>
          <w:szCs w:val="28"/>
          <w:highlight w:val="none"/>
        </w:rPr>
        <w:t>：</w:t>
      </w:r>
    </w:p>
    <w:p w14:paraId="520F11AF">
      <w:pPr>
        <w:pStyle w:val="21"/>
        <w:shd w:val="clear"/>
        <w:adjustRightInd/>
        <w:spacing w:line="360" w:lineRule="auto"/>
        <w:ind w:firstLine="560" w:firstLineChars="200"/>
        <w:rPr>
          <w:rFonts w:hint="default" w:ascii="Times New Roman" w:hAnsi="Times New Roman" w:eastAsia="仿宋_GB2312" w:cs="Times New Roman"/>
          <w:szCs w:val="28"/>
          <w:highlight w:val="none"/>
        </w:rPr>
      </w:pPr>
      <w:r>
        <w:rPr>
          <w:rFonts w:hint="eastAsia" w:ascii="Times New Roman" w:eastAsia="仿宋_GB2312" w:cs="Times New Roman"/>
          <w:szCs w:val="28"/>
          <w:highlight w:val="none"/>
          <w:lang w:val="en-US" w:eastAsia="zh-CN"/>
        </w:rPr>
        <w:t>无形</w:t>
      </w:r>
      <w:r>
        <w:rPr>
          <w:rFonts w:hint="default" w:ascii="Times New Roman" w:hAnsi="Times New Roman" w:eastAsia="仿宋_GB2312" w:cs="Times New Roman"/>
          <w:szCs w:val="28"/>
          <w:highlight w:val="none"/>
        </w:rPr>
        <w:t>资产的情况</w:t>
      </w:r>
      <w:r>
        <w:rPr>
          <w:rFonts w:hint="default" w:ascii="Times New Roman" w:hAnsi="Times New Roman" w:eastAsia="仿宋_GB2312" w:cs="Times New Roman"/>
          <w:szCs w:val="28"/>
          <w:highlight w:val="none"/>
          <w:lang w:val="en-US" w:eastAsia="zh-CN"/>
        </w:rPr>
        <w:t>与</w:t>
      </w:r>
      <w:r>
        <w:rPr>
          <w:rFonts w:hint="eastAsia" w:ascii="Times New Roman" w:eastAsia="仿宋_GB2312" w:cs="Times New Roman"/>
          <w:szCs w:val="28"/>
          <w:highlight w:val="none"/>
          <w:lang w:val="en-US" w:eastAsia="zh-CN"/>
        </w:rPr>
        <w:t>委托人申报</w:t>
      </w:r>
      <w:r>
        <w:rPr>
          <w:rFonts w:hint="default" w:ascii="Times New Roman" w:hAnsi="Times New Roman" w:eastAsia="仿宋_GB2312" w:cs="Times New Roman"/>
          <w:szCs w:val="28"/>
          <w:highlight w:val="none"/>
          <w:lang w:val="en-US" w:eastAsia="zh-CN"/>
        </w:rPr>
        <w:t>的资料和信息</w:t>
      </w:r>
      <w:r>
        <w:rPr>
          <w:rFonts w:hint="eastAsia" w:ascii="Times New Roman" w:eastAsia="仿宋_GB2312" w:cs="Times New Roman"/>
          <w:szCs w:val="28"/>
          <w:highlight w:val="none"/>
          <w:lang w:val="en-US" w:eastAsia="zh-CN"/>
        </w:rPr>
        <w:t>一致，</w:t>
      </w:r>
      <w:r>
        <w:rPr>
          <w:rFonts w:hint="default" w:ascii="Times New Roman" w:hAnsi="Times New Roman" w:eastAsia="仿宋_GB2312" w:cs="Times New Roman"/>
          <w:szCs w:val="28"/>
          <w:highlight w:val="none"/>
          <w:lang w:val="en-US" w:eastAsia="zh-CN"/>
        </w:rPr>
        <w:t>评估人员</w:t>
      </w:r>
      <w:r>
        <w:rPr>
          <w:rFonts w:hint="eastAsia" w:ascii="Times New Roman" w:eastAsia="仿宋_GB2312" w:cs="Times New Roman"/>
          <w:szCs w:val="28"/>
          <w:highlight w:val="none"/>
          <w:lang w:val="en-US" w:eastAsia="zh-CN"/>
        </w:rPr>
        <w:t>根据实际情况与委托人提供的资料进行了现场核实</w:t>
      </w:r>
      <w:r>
        <w:rPr>
          <w:rFonts w:hint="default" w:ascii="Times New Roman" w:hAnsi="Times New Roman" w:eastAsia="仿宋_GB2312" w:cs="Times New Roman"/>
          <w:szCs w:val="28"/>
          <w:highlight w:val="none"/>
          <w:lang w:eastAsia="zh-CN"/>
        </w:rPr>
        <w:t>。</w:t>
      </w:r>
    </w:p>
    <w:p w14:paraId="4F128BB7">
      <w:pPr>
        <w:pStyle w:val="21"/>
        <w:adjustRightInd/>
        <w:spacing w:line="360" w:lineRule="auto"/>
        <w:ind w:left="0" w:leftChars="0" w:firstLine="0" w:firstLineChars="0"/>
        <w:jc w:val="center"/>
        <w:outlineLvl w:val="0"/>
        <w:rPr>
          <w:rFonts w:hint="default" w:ascii="Times New Roman" w:hAnsi="Times New Roman" w:eastAsia="黑体" w:cs="Times New Roman"/>
          <w:sz w:val="32"/>
          <w:highlight w:val="none"/>
        </w:rPr>
      </w:pPr>
      <w:bookmarkStart w:id="136" w:name="_Toc21203"/>
      <w:bookmarkStart w:id="137" w:name="_Toc7909"/>
      <w:bookmarkStart w:id="138" w:name="_Toc18250"/>
      <w:bookmarkStart w:id="139" w:name="_Toc221"/>
      <w:bookmarkStart w:id="140" w:name="_Toc20933"/>
      <w:bookmarkStart w:id="141" w:name="_Toc7314"/>
      <w:bookmarkStart w:id="142" w:name="_Toc16276"/>
      <w:bookmarkStart w:id="143" w:name="_Toc28174"/>
      <w:bookmarkStart w:id="144" w:name="_Toc21897"/>
      <w:bookmarkStart w:id="145" w:name="_Toc31241"/>
      <w:bookmarkStart w:id="146" w:name="_Toc30000"/>
      <w:bookmarkStart w:id="147" w:name="_Toc17268"/>
      <w:bookmarkStart w:id="148" w:name="_Toc11927"/>
      <w:bookmarkStart w:id="149" w:name="_Toc24159"/>
      <w:bookmarkStart w:id="150" w:name="_Toc28680"/>
      <w:bookmarkStart w:id="151" w:name="_Toc26474"/>
      <w:bookmarkStart w:id="152" w:name="_Toc18954"/>
      <w:bookmarkStart w:id="153" w:name="_Toc29873"/>
      <w:bookmarkStart w:id="154" w:name="_Toc22551"/>
      <w:bookmarkStart w:id="155" w:name="_Toc18691"/>
      <w:bookmarkStart w:id="156" w:name="_Toc2048"/>
      <w:bookmarkStart w:id="157" w:name="_Toc1308"/>
      <w:bookmarkStart w:id="158" w:name="_Toc8037"/>
      <w:bookmarkStart w:id="159" w:name="_Toc1278"/>
      <w:bookmarkStart w:id="160" w:name="_Toc10742"/>
      <w:bookmarkStart w:id="161" w:name="_Toc25552"/>
      <w:bookmarkStart w:id="162" w:name="_Toc14103"/>
      <w:bookmarkStart w:id="163" w:name="_Toc19994"/>
      <w:bookmarkStart w:id="164" w:name="_Toc20120"/>
      <w:bookmarkStart w:id="165" w:name="_Toc12521"/>
      <w:bookmarkStart w:id="166" w:name="_Toc22777"/>
      <w:bookmarkStart w:id="167" w:name="_Toc6569315"/>
      <w:bookmarkStart w:id="168" w:name="_Toc28755"/>
      <w:bookmarkStart w:id="169" w:name="_Toc20972"/>
      <w:bookmarkStart w:id="170" w:name="_Toc9242"/>
      <w:bookmarkStart w:id="171" w:name="_Toc6789"/>
      <w:bookmarkStart w:id="172" w:name="_Toc16247"/>
      <w:bookmarkStart w:id="173" w:name="_Toc12040"/>
      <w:bookmarkStart w:id="174" w:name="_Toc10428"/>
      <w:r>
        <w:rPr>
          <w:rFonts w:hint="default" w:ascii="Times New Roman" w:hAnsi="Times New Roman" w:eastAsia="黑体" w:cs="Times New Roman"/>
          <w:sz w:val="32"/>
          <w:highlight w:val="none"/>
        </w:rPr>
        <w:t>第</w:t>
      </w:r>
      <w:r>
        <w:rPr>
          <w:rFonts w:hint="default" w:ascii="Times New Roman" w:hAnsi="Times New Roman" w:eastAsia="黑体" w:cs="Times New Roman"/>
          <w:sz w:val="32"/>
          <w:highlight w:val="none"/>
          <w:lang w:eastAsia="zh-CN"/>
        </w:rPr>
        <w:t>三</w:t>
      </w:r>
      <w:r>
        <w:rPr>
          <w:rFonts w:hint="default" w:ascii="Times New Roman" w:hAnsi="Times New Roman" w:eastAsia="黑体" w:cs="Times New Roman"/>
          <w:sz w:val="32"/>
          <w:highlight w:val="none"/>
        </w:rPr>
        <w:t>部分  评估</w:t>
      </w:r>
      <w:r>
        <w:rPr>
          <w:rFonts w:hint="default" w:ascii="Times New Roman" w:hAnsi="Times New Roman" w:eastAsia="黑体" w:cs="Times New Roman"/>
          <w:sz w:val="32"/>
          <w:highlight w:val="none"/>
          <w:lang w:val="en-US" w:eastAsia="zh-CN"/>
        </w:rPr>
        <w:t>技术</w:t>
      </w:r>
      <w:r>
        <w:rPr>
          <w:rFonts w:hint="default" w:ascii="Times New Roman" w:hAnsi="Times New Roman" w:eastAsia="黑体" w:cs="Times New Roman"/>
          <w:sz w:val="32"/>
          <w:highlight w:val="none"/>
        </w:rPr>
        <w:t>说明</w:t>
      </w:r>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p>
    <w:p w14:paraId="307F7F60">
      <w:pPr>
        <w:pStyle w:val="21"/>
        <w:adjustRightInd/>
        <w:spacing w:line="360" w:lineRule="auto"/>
        <w:ind w:firstLine="560" w:firstLineChars="200"/>
        <w:rPr>
          <w:rFonts w:hint="default" w:ascii="Times New Roman" w:hAnsi="Times New Roman" w:eastAsia="仿宋_GB2312" w:cs="Times New Roman"/>
          <w:highlight w:val="none"/>
          <w:lang w:eastAsia="zh-CN"/>
        </w:rPr>
      </w:pPr>
      <w:r>
        <w:rPr>
          <w:rFonts w:hint="default" w:ascii="Times New Roman" w:hAnsi="Times New Roman" w:eastAsia="仿宋_GB2312" w:cs="Times New Roman"/>
          <w:highlight w:val="none"/>
        </w:rPr>
        <w:t>根据本次资产评估的目的、资产业务性质、获得资料的情况等，采用</w:t>
      </w:r>
      <w:r>
        <w:rPr>
          <w:rFonts w:hint="eastAsia" w:ascii="Times New Roman" w:eastAsia="仿宋_GB2312" w:cs="Times New Roman"/>
          <w:highlight w:val="none"/>
          <w:lang w:val="en-US" w:eastAsia="zh-CN"/>
        </w:rPr>
        <w:t>收益</w:t>
      </w:r>
      <w:r>
        <w:rPr>
          <w:rFonts w:hint="default" w:ascii="Times New Roman" w:hAnsi="Times New Roman" w:eastAsia="仿宋_GB2312" w:cs="Times New Roman"/>
          <w:highlight w:val="none"/>
          <w:lang w:val="en-US" w:eastAsia="zh-CN"/>
        </w:rPr>
        <w:t>法</w:t>
      </w:r>
      <w:r>
        <w:rPr>
          <w:rFonts w:hint="default" w:ascii="Times New Roman" w:hAnsi="Times New Roman" w:eastAsia="仿宋_GB2312" w:cs="Times New Roman"/>
          <w:highlight w:val="none"/>
        </w:rPr>
        <w:t>进行评估。</w:t>
      </w:r>
      <w:r>
        <w:rPr>
          <w:rFonts w:hint="eastAsia" w:ascii="Times New Roman" w:eastAsia="仿宋_GB2312" w:cs="Times New Roman"/>
          <w:highlight w:val="none"/>
          <w:lang w:val="en-US" w:eastAsia="zh-CN"/>
        </w:rPr>
        <w:t>无形资产</w:t>
      </w:r>
      <w:r>
        <w:rPr>
          <w:rFonts w:hint="default" w:ascii="Times New Roman" w:hAnsi="Times New Roman" w:eastAsia="仿宋_GB2312" w:cs="Times New Roman"/>
          <w:highlight w:val="none"/>
        </w:rPr>
        <w:t>的评估方法说明如下</w:t>
      </w:r>
      <w:r>
        <w:rPr>
          <w:rFonts w:hint="default" w:ascii="Times New Roman" w:hAnsi="Times New Roman" w:eastAsia="仿宋_GB2312" w:cs="Times New Roman"/>
          <w:highlight w:val="none"/>
          <w:lang w:eastAsia="zh-CN"/>
        </w:rPr>
        <w:t>：</w:t>
      </w:r>
    </w:p>
    <w:p w14:paraId="606AC141">
      <w:pPr>
        <w:pStyle w:val="3"/>
        <w:ind w:firstLine="562" w:firstLineChars="200"/>
        <w:rPr>
          <w:rFonts w:hint="default" w:ascii="Times New Roman" w:hAnsi="Times New Roman" w:eastAsia="仿宋_GB2312" w:cs="Times New Roman"/>
          <w:b/>
          <w:bCs/>
          <w:kern w:val="0"/>
          <w:szCs w:val="28"/>
          <w:highlight w:val="none"/>
          <w:lang w:val="en-US" w:eastAsia="zh-CN"/>
        </w:rPr>
      </w:pPr>
      <w:bookmarkStart w:id="175" w:name="_Toc9782"/>
      <w:bookmarkStart w:id="176" w:name="_Toc27907"/>
      <w:bookmarkStart w:id="177" w:name="_Toc13081"/>
      <w:bookmarkStart w:id="178" w:name="_Toc2830"/>
      <w:bookmarkStart w:id="179" w:name="_Toc29412"/>
      <w:bookmarkStart w:id="180" w:name="_Toc7623"/>
      <w:bookmarkStart w:id="181" w:name="_Toc16863"/>
      <w:bookmarkStart w:id="182" w:name="_Toc15865"/>
      <w:bookmarkStart w:id="183" w:name="_Toc11356"/>
      <w:bookmarkStart w:id="184" w:name="_Toc9594"/>
      <w:bookmarkStart w:id="185" w:name="_Toc26657"/>
      <w:bookmarkStart w:id="186" w:name="_Toc5360"/>
      <w:bookmarkStart w:id="187" w:name="_Toc9966"/>
      <w:bookmarkStart w:id="188" w:name="_Toc3304"/>
      <w:bookmarkStart w:id="189" w:name="_Toc9420"/>
      <w:bookmarkStart w:id="190" w:name="_Toc22085"/>
      <w:bookmarkStart w:id="191" w:name="_Toc28474"/>
      <w:bookmarkStart w:id="192" w:name="_Toc29899"/>
      <w:bookmarkStart w:id="193" w:name="_Toc1029"/>
      <w:bookmarkStart w:id="194" w:name="_Toc48"/>
      <w:bookmarkStart w:id="195" w:name="_Toc21938"/>
      <w:bookmarkStart w:id="196" w:name="_Toc3842"/>
      <w:bookmarkStart w:id="197" w:name="_Toc28581"/>
      <w:bookmarkStart w:id="198" w:name="_Toc29539"/>
      <w:bookmarkStart w:id="199" w:name="_Toc15956"/>
      <w:bookmarkStart w:id="200" w:name="_Toc7527"/>
      <w:bookmarkStart w:id="201" w:name="_Toc27891"/>
      <w:bookmarkStart w:id="202" w:name="_Toc24041"/>
      <w:bookmarkStart w:id="203" w:name="_Toc21453"/>
      <w:bookmarkStart w:id="204" w:name="_Toc22443"/>
      <w:bookmarkStart w:id="205" w:name="_Toc28907"/>
      <w:bookmarkStart w:id="206" w:name="_Toc28352"/>
      <w:bookmarkStart w:id="207" w:name="_Toc12342"/>
      <w:bookmarkStart w:id="208" w:name="_Toc18472"/>
      <w:bookmarkStart w:id="209" w:name="_Toc15195"/>
      <w:bookmarkStart w:id="210" w:name="_Toc888"/>
      <w:r>
        <w:rPr>
          <w:rFonts w:hint="default" w:ascii="Times New Roman" w:hAnsi="Times New Roman" w:eastAsia="仿宋" w:cs="Times New Roman"/>
          <w:sz w:val="28"/>
          <w:szCs w:val="28"/>
          <w:highlight w:val="none"/>
          <w:lang w:val="en-US" w:eastAsia="zh-CN"/>
        </w:rPr>
        <w:t>一、评估范围</w:t>
      </w:r>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p>
    <w:p w14:paraId="1EFE2206">
      <w:pPr>
        <w:pStyle w:val="20"/>
        <w:snapToGrid w:val="0"/>
        <w:ind w:firstLine="560" w:firstLineChars="200"/>
        <w:rPr>
          <w:rFonts w:hint="default" w:ascii="Times New Roman" w:hAnsi="Times New Roman" w:eastAsia="仿宋_GB2312" w:cs="Times New Roman"/>
          <w:bCs w:val="0"/>
          <w:kern w:val="2"/>
          <w:sz w:val="28"/>
          <w:szCs w:val="28"/>
          <w:highlight w:val="none"/>
        </w:rPr>
      </w:pPr>
      <w:r>
        <w:rPr>
          <w:rFonts w:hint="eastAsia" w:ascii="Times New Roman" w:hAnsi="Times New Roman" w:eastAsia="仿宋_GB2312" w:cs="Times New Roman"/>
          <w:bCs w:val="0"/>
          <w:kern w:val="2"/>
          <w:sz w:val="28"/>
          <w:szCs w:val="28"/>
          <w:highlight w:val="none"/>
          <w:lang w:eastAsia="zh-CN"/>
        </w:rPr>
        <w:t>评估对象：临漳县40年供水经营权市场价值</w:t>
      </w:r>
      <w:r>
        <w:rPr>
          <w:rFonts w:hint="default" w:ascii="Times New Roman" w:hAnsi="Times New Roman" w:eastAsia="仿宋_GB2312" w:cs="Times New Roman"/>
          <w:bCs w:val="0"/>
          <w:kern w:val="2"/>
          <w:sz w:val="28"/>
          <w:szCs w:val="28"/>
          <w:highlight w:val="none"/>
        </w:rPr>
        <w:t>。</w:t>
      </w:r>
    </w:p>
    <w:p w14:paraId="13495DB5">
      <w:pPr>
        <w:pStyle w:val="20"/>
        <w:snapToGrid w:val="0"/>
        <w:ind w:firstLine="560" w:firstLineChars="200"/>
        <w:rPr>
          <w:rFonts w:hint="default" w:ascii="Times New Roman" w:hAnsi="Times New Roman" w:eastAsia="仿宋_GB2312" w:cs="Times New Roman"/>
          <w:bCs/>
          <w:kern w:val="2"/>
          <w:sz w:val="28"/>
          <w:szCs w:val="24"/>
          <w:highlight w:val="none"/>
        </w:rPr>
      </w:pPr>
      <w:r>
        <w:rPr>
          <w:rFonts w:hint="default" w:ascii="Times New Roman" w:hAnsi="Times New Roman" w:eastAsia="仿宋_GB2312" w:cs="Times New Roman"/>
          <w:bCs w:val="0"/>
          <w:kern w:val="2"/>
          <w:sz w:val="28"/>
          <w:szCs w:val="28"/>
          <w:highlight w:val="none"/>
        </w:rPr>
        <w:t>评估范围</w:t>
      </w:r>
      <w:r>
        <w:rPr>
          <w:rFonts w:hint="default" w:ascii="Times New Roman" w:hAnsi="Times New Roman" w:eastAsia="仿宋_GB2312" w:cs="Times New Roman"/>
          <w:bCs w:val="0"/>
          <w:kern w:val="2"/>
          <w:sz w:val="28"/>
          <w:szCs w:val="28"/>
          <w:highlight w:val="none"/>
          <w:lang w:val="en-US" w:eastAsia="zh-CN"/>
        </w:rPr>
        <w:t>：</w:t>
      </w:r>
      <w:r>
        <w:rPr>
          <w:rFonts w:hint="default" w:ascii="Times New Roman" w:hAnsi="Times New Roman" w:eastAsia="仿宋_GB2312" w:cs="Times New Roman"/>
          <w:kern w:val="2"/>
          <w:sz w:val="28"/>
          <w:szCs w:val="28"/>
          <w:highlight w:val="none"/>
          <w:lang w:eastAsia="zh-CN"/>
        </w:rPr>
        <w:t>临漳县</w:t>
      </w:r>
      <w:r>
        <w:rPr>
          <w:rFonts w:hint="default" w:ascii="Times New Roman" w:hAnsi="Times New Roman" w:eastAsia="仿宋_GB2312" w:cs="Times New Roman"/>
          <w:kern w:val="2"/>
          <w:sz w:val="28"/>
          <w:szCs w:val="28"/>
          <w:highlight w:val="none"/>
        </w:rPr>
        <w:t>40年</w:t>
      </w:r>
      <w:r>
        <w:rPr>
          <w:rFonts w:hint="default" w:ascii="Times New Roman" w:hAnsi="Times New Roman" w:eastAsia="仿宋_GB2312" w:cs="Times New Roman"/>
          <w:kern w:val="2"/>
          <w:sz w:val="28"/>
          <w:szCs w:val="28"/>
          <w:highlight w:val="none"/>
          <w:lang w:eastAsia="zh-CN"/>
        </w:rPr>
        <w:t>供水经营权</w:t>
      </w:r>
      <w:r>
        <w:rPr>
          <w:rFonts w:hint="default" w:ascii="Times New Roman" w:hAnsi="Times New Roman" w:eastAsia="仿宋_GB2312" w:cs="Times New Roman"/>
          <w:kern w:val="2"/>
          <w:sz w:val="28"/>
          <w:szCs w:val="28"/>
          <w:highlight w:val="none"/>
          <w:lang w:val="en-US" w:eastAsia="zh-CN"/>
        </w:rPr>
        <w:t>所涉及的</w:t>
      </w:r>
      <w:r>
        <w:rPr>
          <w:rFonts w:hint="default" w:ascii="Times New Roman" w:hAnsi="Times New Roman" w:eastAsia="仿宋_GB2312" w:cs="Times New Roman"/>
          <w:bCs/>
          <w:sz w:val="28"/>
          <w:highlight w:val="none"/>
          <w:lang w:val="en-US" w:eastAsia="zh-CN"/>
        </w:rPr>
        <w:t>水厂包括第一二供水厂为城区供水热备水厂；第三供水厂服务范围主要为临漳县城区及周边</w:t>
      </w:r>
      <w:r>
        <w:rPr>
          <w:rFonts w:hint="eastAsia" w:ascii="Times New Roman" w:hAnsi="Times New Roman" w:eastAsia="仿宋_GB2312" w:cs="Times New Roman"/>
          <w:bCs/>
          <w:sz w:val="28"/>
          <w:highlight w:val="none"/>
          <w:lang w:val="en-US" w:eastAsia="zh-CN"/>
        </w:rPr>
        <w:t>38个村</w:t>
      </w:r>
      <w:r>
        <w:rPr>
          <w:rFonts w:hint="default" w:ascii="Times New Roman" w:hAnsi="Times New Roman" w:eastAsia="仿宋_GB2312" w:cs="Times New Roman"/>
          <w:bCs/>
          <w:sz w:val="28"/>
          <w:highlight w:val="none"/>
        </w:rPr>
        <w:t>（</w:t>
      </w:r>
      <w:r>
        <w:rPr>
          <w:rFonts w:hint="eastAsia" w:ascii="Times New Roman" w:hAnsi="Times New Roman" w:eastAsia="仿宋_GB2312" w:cs="Times New Roman"/>
          <w:bCs/>
          <w:sz w:val="28"/>
          <w:highlight w:val="none"/>
          <w:lang w:eastAsia="zh-CN"/>
        </w:rPr>
        <w:t>东关村、南关村、西关村、北关村、东街村、南街村、西街村、北街村、东南角村、西南角村、东北角村、西北角村、李家村、西尚村、东烟寨村、西烟寨村、东前坊表村、东后坊表村、落村、王明寨村、后村、王庄村、邓庄村、贾村、申村、前赵坦寨村、后赵坦寨村、东五岔口村、西五岔口村、岗陵城村、亦北村、亦南村、东郭庄村、南许村、西前坊表、西后坊表、炉耳庄、郝幸庄</w:t>
      </w:r>
      <w:r>
        <w:rPr>
          <w:rFonts w:hint="default" w:ascii="Times New Roman" w:hAnsi="Times New Roman" w:eastAsia="仿宋_GB2312" w:cs="Times New Roman"/>
          <w:bCs/>
          <w:sz w:val="28"/>
          <w:highlight w:val="none"/>
        </w:rPr>
        <w:t>）</w:t>
      </w:r>
      <w:r>
        <w:rPr>
          <w:rFonts w:hint="default" w:ascii="Times New Roman" w:hAnsi="Times New Roman" w:eastAsia="仿宋_GB2312" w:cs="Times New Roman"/>
          <w:bCs/>
          <w:sz w:val="28"/>
          <w:highlight w:val="none"/>
          <w:lang w:val="en-US" w:eastAsia="zh-CN"/>
        </w:rPr>
        <w:t>；第四供水厂服务范围主要为</w:t>
      </w:r>
      <w:r>
        <w:rPr>
          <w:rFonts w:hint="eastAsia" w:ascii="Times New Roman" w:hAnsi="Times New Roman" w:eastAsia="仿宋_GB2312" w:cs="Times New Roman"/>
          <w:bCs/>
          <w:sz w:val="28"/>
          <w:highlight w:val="none"/>
          <w:lang w:val="en-US" w:eastAsia="zh-CN"/>
        </w:rPr>
        <w:t>27个农村供水站</w:t>
      </w:r>
      <w:r>
        <w:rPr>
          <w:rFonts w:hint="default" w:ascii="Times New Roman" w:hAnsi="Times New Roman" w:eastAsia="仿宋_GB2312" w:cs="Times New Roman"/>
          <w:bCs/>
          <w:sz w:val="28"/>
          <w:highlight w:val="none"/>
          <w:lang w:val="en-US" w:eastAsia="zh-CN"/>
        </w:rPr>
        <w:t>内的14个乡镇。</w:t>
      </w:r>
    </w:p>
    <w:p w14:paraId="28B4E0E4">
      <w:pPr>
        <w:keepNext w:val="0"/>
        <w:spacing w:line="360" w:lineRule="auto"/>
        <w:ind w:firstLine="562" w:firstLineChars="200"/>
        <w:jc w:val="center"/>
        <w:rPr>
          <w:rFonts w:hint="eastAsia" w:ascii="Times New Roman" w:hAnsi="Times New Roman" w:eastAsia="仿宋_GB2312" w:cs="Times New Roman"/>
          <w:b/>
          <w:bCs w:val="0"/>
          <w:sz w:val="28"/>
          <w:highlight w:val="none"/>
        </w:rPr>
      </w:pPr>
      <w:bookmarkStart w:id="211" w:name="_Toc5746"/>
      <w:bookmarkStart w:id="212" w:name="_Toc26428"/>
      <w:bookmarkStart w:id="213" w:name="_Toc28935"/>
      <w:bookmarkStart w:id="214" w:name="_Toc20661"/>
      <w:bookmarkStart w:id="215" w:name="_Toc10256"/>
      <w:bookmarkStart w:id="216" w:name="_Toc28238"/>
      <w:bookmarkStart w:id="217" w:name="_Toc27444"/>
      <w:bookmarkStart w:id="218" w:name="_Toc1114"/>
      <w:bookmarkStart w:id="219" w:name="_Toc6057"/>
      <w:bookmarkStart w:id="220" w:name="_Toc3554"/>
      <w:bookmarkStart w:id="221" w:name="_Toc25668"/>
      <w:bookmarkStart w:id="222" w:name="_Toc29193"/>
      <w:bookmarkStart w:id="223" w:name="_Toc11158"/>
      <w:bookmarkStart w:id="224" w:name="_Toc7961"/>
      <w:bookmarkStart w:id="225" w:name="_Toc6156"/>
      <w:bookmarkStart w:id="226" w:name="_Toc11730"/>
      <w:bookmarkStart w:id="227" w:name="_Toc5553"/>
      <w:bookmarkStart w:id="228" w:name="_Toc25116"/>
      <w:bookmarkStart w:id="229" w:name="_Toc24152"/>
      <w:bookmarkStart w:id="230" w:name="_Toc15070"/>
      <w:bookmarkStart w:id="231" w:name="_Toc963"/>
      <w:bookmarkStart w:id="232" w:name="_Toc28607"/>
      <w:bookmarkStart w:id="233" w:name="_Toc30007"/>
      <w:bookmarkStart w:id="234" w:name="_Toc24165"/>
      <w:bookmarkStart w:id="235" w:name="_Toc6037"/>
      <w:bookmarkStart w:id="236" w:name="_Toc27171"/>
      <w:bookmarkStart w:id="237" w:name="_Toc19166"/>
      <w:bookmarkStart w:id="238" w:name="_Toc22743"/>
      <w:bookmarkStart w:id="239" w:name="_Toc32116"/>
      <w:bookmarkStart w:id="240" w:name="_Toc17316"/>
      <w:bookmarkStart w:id="241" w:name="_Toc25639"/>
      <w:bookmarkStart w:id="242" w:name="_Toc11006"/>
      <w:bookmarkStart w:id="243" w:name="_Toc8588"/>
      <w:bookmarkStart w:id="244" w:name="_Toc21837"/>
      <w:bookmarkStart w:id="245" w:name="_Toc1814"/>
      <w:bookmarkStart w:id="246" w:name="_Toc17318"/>
      <w:r>
        <w:rPr>
          <w:rFonts w:hint="eastAsia" w:eastAsia="仿宋_GB2312" w:cs="Times New Roman"/>
          <w:b/>
          <w:bCs w:val="0"/>
          <w:sz w:val="28"/>
          <w:highlight w:val="none"/>
          <w:lang w:eastAsia="zh-CN"/>
        </w:rPr>
        <w:t>27个供水站</w:t>
      </w:r>
      <w:r>
        <w:rPr>
          <w:rFonts w:hint="eastAsia" w:ascii="Times New Roman" w:hAnsi="Times New Roman" w:eastAsia="仿宋_GB2312" w:cs="Times New Roman"/>
          <w:b/>
          <w:bCs w:val="0"/>
          <w:sz w:val="28"/>
          <w:highlight w:val="none"/>
        </w:rPr>
        <w:t>清单</w:t>
      </w:r>
    </w:p>
    <w:tbl>
      <w:tblPr>
        <w:tblStyle w:val="16"/>
        <w:tblW w:w="5000" w:type="pct"/>
        <w:jc w:val="center"/>
        <w:tblLayout w:type="autofit"/>
        <w:tblCellMar>
          <w:top w:w="0" w:type="dxa"/>
          <w:left w:w="108" w:type="dxa"/>
          <w:bottom w:w="0" w:type="dxa"/>
          <w:right w:w="108" w:type="dxa"/>
        </w:tblCellMar>
      </w:tblPr>
      <w:tblGrid>
        <w:gridCol w:w="1219"/>
        <w:gridCol w:w="2499"/>
        <w:gridCol w:w="1941"/>
        <w:gridCol w:w="3174"/>
      </w:tblGrid>
      <w:tr w14:paraId="718A715D">
        <w:tblPrEx>
          <w:tblCellMar>
            <w:top w:w="0" w:type="dxa"/>
            <w:left w:w="108" w:type="dxa"/>
            <w:bottom w:w="0" w:type="dxa"/>
            <w:right w:w="108" w:type="dxa"/>
          </w:tblCellMar>
        </w:tblPrEx>
        <w:trPr>
          <w:trHeight w:val="454" w:hRule="atLeast"/>
          <w:tblHeader/>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CF39DF5">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序号</w:t>
            </w:r>
          </w:p>
        </w:tc>
        <w:tc>
          <w:tcPr>
            <w:tcW w:w="14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E7ABB7D">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供水站名称</w:t>
            </w:r>
          </w:p>
        </w:tc>
        <w:tc>
          <w:tcPr>
            <w:tcW w:w="1098"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DC90FEC">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序号</w:t>
            </w:r>
          </w:p>
        </w:tc>
        <w:tc>
          <w:tcPr>
            <w:tcW w:w="17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8E0ADF8">
            <w:pPr>
              <w:widowControl/>
              <w:adjustRightInd/>
              <w:snapToGrid/>
              <w:spacing w:line="240" w:lineRule="auto"/>
              <w:ind w:firstLine="0"/>
              <w:jc w:val="center"/>
              <w:rPr>
                <w:rFonts w:ascii="Times New Roman" w:hAnsi="Times New Roman" w:cs="Times New Roman"/>
                <w:b/>
                <w:bCs/>
                <w:color w:val="000000"/>
                <w:kern w:val="0"/>
                <w:sz w:val="20"/>
                <w:szCs w:val="20"/>
              </w:rPr>
            </w:pPr>
            <w:r>
              <w:rPr>
                <w:rFonts w:ascii="Times New Roman" w:hAnsi="Times New Roman" w:cs="Times New Roman"/>
                <w:b/>
                <w:bCs/>
                <w:color w:val="000000"/>
                <w:kern w:val="0"/>
                <w:sz w:val="20"/>
                <w:szCs w:val="20"/>
              </w:rPr>
              <w:t>供水站名称</w:t>
            </w:r>
          </w:p>
        </w:tc>
      </w:tr>
      <w:tr w14:paraId="4C13537B">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84BDB85">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F84ECB2">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前屯供水站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5427F1">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15</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5AE5165">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兵马寨供水站</w:t>
            </w:r>
          </w:p>
        </w:tc>
      </w:tr>
      <w:tr w14:paraId="57D666A0">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64EC93C">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B873B16">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后三村供水站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101FCC">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16</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B90C984">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有阁刘供水站</w:t>
            </w:r>
          </w:p>
        </w:tc>
      </w:tr>
      <w:tr w14:paraId="77DF656E">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E0A024F">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A029513">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协王村供水站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6244B0">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17</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4143D33">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西羊羔供水站</w:t>
            </w:r>
          </w:p>
        </w:tc>
      </w:tr>
      <w:tr w14:paraId="2169AC27">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79A520A">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D44DC3F">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张柳供水站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8C3BF5">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18</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2BF189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东营供水站</w:t>
            </w:r>
          </w:p>
        </w:tc>
      </w:tr>
      <w:tr w14:paraId="3ED19152">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F7B6C2F">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D5EBD95">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二分庄供水站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5CD356">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19</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21708B4">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张修屯供水站</w:t>
            </w:r>
          </w:p>
        </w:tc>
      </w:tr>
      <w:tr w14:paraId="60EB0031">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7763C74">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94772FA">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樊营供水站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5D0A2E">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20</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524C9E">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刘村供水站</w:t>
            </w:r>
          </w:p>
        </w:tc>
      </w:tr>
      <w:tr w14:paraId="50EC8752">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F1C0563">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C1B6846">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北东坊供水站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F995CC">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21</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F6E5799">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东太平供水站</w:t>
            </w:r>
          </w:p>
        </w:tc>
      </w:tr>
      <w:tr w14:paraId="6528CA71">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585A1F9">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B8EF52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东屯供水站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1F33C4">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22</w:t>
            </w:r>
          </w:p>
        </w:tc>
        <w:tc>
          <w:tcPr>
            <w:tcW w:w="3174"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394F747">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核桃园供水站</w:t>
            </w:r>
          </w:p>
        </w:tc>
      </w:tr>
      <w:tr w14:paraId="5D87D16F">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9AB0937">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B318C98">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章里集供水站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1075D4">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23</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1790A1">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称东供水站</w:t>
            </w:r>
          </w:p>
        </w:tc>
      </w:tr>
      <w:tr w14:paraId="5E60C22C">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AC9CD7B">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3CF09C1">
            <w:pPr>
              <w:widowControl/>
              <w:adjustRightInd/>
              <w:snapToGrid/>
              <w:spacing w:line="240" w:lineRule="auto"/>
              <w:ind w:firstLine="0" w:firstLineChars="0"/>
              <w:jc w:val="center"/>
              <w:rPr>
                <w:rFonts w:ascii="Times New Roman" w:hAnsi="Times New Roman" w:cs="Times New Roman"/>
                <w:color w:val="000000"/>
                <w:kern w:val="0"/>
                <w:sz w:val="20"/>
                <w:szCs w:val="20"/>
                <w:highlight w:val="yellow"/>
              </w:rPr>
            </w:pPr>
            <w:r>
              <w:rPr>
                <w:rFonts w:hint="eastAsia" w:ascii="Times New Roman" w:hAnsi="Times New Roman" w:cs="Times New Roman"/>
                <w:kern w:val="0"/>
                <w:sz w:val="20"/>
                <w:szCs w:val="20"/>
                <w:highlight w:val="none"/>
              </w:rPr>
              <w:t>郭小屯供水站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5EFC2D">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24</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C5BA9B">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司庄供水站</w:t>
            </w:r>
          </w:p>
        </w:tc>
      </w:tr>
      <w:tr w14:paraId="053CCD8A">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508FEF9">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18E3FA1">
            <w:pPr>
              <w:widowControl/>
              <w:adjustRightInd/>
              <w:snapToGrid/>
              <w:spacing w:line="240" w:lineRule="auto"/>
              <w:ind w:firstLine="0" w:firstLineChars="0"/>
              <w:jc w:val="center"/>
              <w:rPr>
                <w:rFonts w:ascii="Times New Roman" w:hAnsi="Times New Roman" w:cs="Times New Roman"/>
                <w:color w:val="000000"/>
                <w:kern w:val="0"/>
                <w:sz w:val="20"/>
                <w:szCs w:val="20"/>
                <w:highlight w:val="yellow"/>
              </w:rPr>
            </w:pPr>
            <w:r>
              <w:rPr>
                <w:rFonts w:hint="eastAsia" w:ascii="Times New Roman" w:hAnsi="Times New Roman" w:cs="Times New Roman"/>
                <w:b w:val="0"/>
                <w:bCs w:val="0"/>
                <w:kern w:val="0"/>
                <w:sz w:val="20"/>
                <w:szCs w:val="20"/>
                <w:highlight w:val="none"/>
              </w:rPr>
              <w:t>北杨庄供水站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60A9B8">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25</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6F8F7A">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镇河供水站</w:t>
            </w:r>
          </w:p>
        </w:tc>
      </w:tr>
      <w:tr w14:paraId="47A47BAB">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1CD5CD6">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4DF0564">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奶奶庙供水站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72217C">
            <w:pPr>
              <w:widowControl/>
              <w:adjustRightInd/>
              <w:snapToGrid/>
              <w:spacing w:line="240" w:lineRule="auto"/>
              <w:ind w:firstLine="0" w:firstLineChars="0"/>
              <w:jc w:val="center"/>
              <w:rPr>
                <w:rFonts w:ascii="Times New Roman" w:hAnsi="Times New Roman" w:eastAsia="宋体" w:cs="Times New Roman"/>
                <w:color w:val="000000"/>
                <w:kern w:val="0"/>
                <w:sz w:val="20"/>
                <w:szCs w:val="20"/>
                <w:lang w:val="en-US" w:eastAsia="zh-CN" w:bidi="ar-SA"/>
              </w:rPr>
            </w:pPr>
            <w:r>
              <w:rPr>
                <w:rFonts w:ascii="Times New Roman" w:hAnsi="Times New Roman" w:cs="Times New Roman"/>
                <w:color w:val="000000"/>
                <w:kern w:val="0"/>
                <w:sz w:val="20"/>
                <w:szCs w:val="20"/>
              </w:rPr>
              <w:t>26</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36ACBE">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赵彭城供水站</w:t>
            </w:r>
          </w:p>
        </w:tc>
      </w:tr>
      <w:tr w14:paraId="3A7C20EA">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0D8A74A">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12500CC">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贾河口供水站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35D33B">
            <w:pPr>
              <w:widowControl/>
              <w:adjustRightInd/>
              <w:snapToGrid/>
              <w:spacing w:line="240" w:lineRule="auto"/>
              <w:ind w:firstLine="0"/>
              <w:jc w:val="center"/>
              <w:rPr>
                <w:rFonts w:hint="eastAsia" w:ascii="Times New Roman" w:hAnsi="Times New Roman" w:eastAsia="宋体" w:cs="Times New Roman"/>
                <w:color w:val="000000"/>
                <w:kern w:val="0"/>
                <w:sz w:val="20"/>
                <w:szCs w:val="20"/>
                <w:lang w:eastAsia="zh-CN"/>
              </w:rPr>
            </w:pPr>
            <w:r>
              <w:rPr>
                <w:rFonts w:ascii="Times New Roman" w:hAnsi="Times New Roman" w:cs="Times New Roman"/>
                <w:color w:val="000000"/>
                <w:kern w:val="0"/>
                <w:sz w:val="20"/>
                <w:szCs w:val="20"/>
              </w:rPr>
              <w:t>2</w:t>
            </w:r>
            <w:r>
              <w:rPr>
                <w:rFonts w:hint="eastAsia" w:cs="Times New Roman"/>
                <w:color w:val="000000"/>
                <w:kern w:val="0"/>
                <w:sz w:val="20"/>
                <w:szCs w:val="20"/>
                <w:lang w:val="en-US" w:eastAsia="zh-CN"/>
              </w:rPr>
              <w:t>7</w:t>
            </w:r>
          </w:p>
        </w:tc>
        <w:tc>
          <w:tcPr>
            <w:tcW w:w="31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106223">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lang w:val="en-US" w:eastAsia="zh-CN"/>
              </w:rPr>
              <w:t>黄村</w:t>
            </w:r>
            <w:r>
              <w:rPr>
                <w:rFonts w:hint="eastAsia" w:ascii="Times New Roman" w:hAnsi="Times New Roman" w:cs="Times New Roman"/>
                <w:kern w:val="0"/>
                <w:sz w:val="20"/>
                <w:szCs w:val="20"/>
                <w:highlight w:val="none"/>
              </w:rPr>
              <w:t>供水站</w:t>
            </w:r>
          </w:p>
        </w:tc>
      </w:tr>
      <w:tr w14:paraId="6C37A5FD">
        <w:tblPrEx>
          <w:tblCellMar>
            <w:top w:w="0" w:type="dxa"/>
            <w:left w:w="108" w:type="dxa"/>
            <w:bottom w:w="0" w:type="dxa"/>
            <w:right w:w="108" w:type="dxa"/>
          </w:tblCellMar>
        </w:tblPrEx>
        <w:trPr>
          <w:trHeight w:val="454" w:hRule="atLeast"/>
          <w:jc w:val="center"/>
        </w:trPr>
        <w:tc>
          <w:tcPr>
            <w:tcW w:w="69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4B2DD4A">
            <w:pPr>
              <w:pStyle w:val="36"/>
              <w:widowControl/>
              <w:numPr>
                <w:ilvl w:val="0"/>
                <w:numId w:val="1"/>
              </w:numPr>
              <w:adjustRightInd/>
              <w:snapToGrid/>
              <w:spacing w:line="240" w:lineRule="auto"/>
              <w:jc w:val="center"/>
              <w:rPr>
                <w:rFonts w:ascii="Times New Roman" w:hAnsi="Times New Roman" w:cs="Times New Roman"/>
                <w:color w:val="000000"/>
                <w:kern w:val="0"/>
                <w:sz w:val="20"/>
                <w:szCs w:val="20"/>
              </w:rPr>
            </w:pPr>
          </w:p>
        </w:tc>
        <w:tc>
          <w:tcPr>
            <w:tcW w:w="249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B7D6610">
            <w:pPr>
              <w:widowControl/>
              <w:adjustRightInd/>
              <w:snapToGrid/>
              <w:spacing w:line="240" w:lineRule="auto"/>
              <w:ind w:firstLine="0" w:firstLineChars="0"/>
              <w:jc w:val="center"/>
              <w:rPr>
                <w:rFonts w:ascii="Times New Roman" w:hAnsi="Times New Roman" w:cs="Times New Roman"/>
                <w:color w:val="000000"/>
                <w:kern w:val="0"/>
                <w:sz w:val="20"/>
                <w:szCs w:val="20"/>
              </w:rPr>
            </w:pPr>
            <w:r>
              <w:rPr>
                <w:rFonts w:hint="eastAsia" w:ascii="Times New Roman" w:hAnsi="Times New Roman" w:cs="Times New Roman"/>
                <w:kern w:val="0"/>
                <w:sz w:val="20"/>
                <w:szCs w:val="20"/>
                <w:highlight w:val="none"/>
              </w:rPr>
              <w:t>黄开河供水站</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E83413">
            <w:pPr>
              <w:widowControl/>
              <w:adjustRightInd/>
              <w:snapToGrid/>
              <w:spacing w:line="240" w:lineRule="auto"/>
              <w:ind w:firstLine="0"/>
              <w:jc w:val="center"/>
              <w:rPr>
                <w:rFonts w:ascii="Times New Roman" w:hAnsi="Times New Roman" w:cs="Times New Roman"/>
                <w:color w:val="000000"/>
                <w:kern w:val="0"/>
                <w:sz w:val="20"/>
                <w:szCs w:val="20"/>
              </w:rPr>
            </w:pPr>
          </w:p>
        </w:tc>
        <w:tc>
          <w:tcPr>
            <w:tcW w:w="179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567CCD">
            <w:pPr>
              <w:widowControl/>
              <w:adjustRightInd/>
              <w:snapToGrid/>
              <w:spacing w:line="240" w:lineRule="auto"/>
              <w:ind w:firstLine="0"/>
              <w:jc w:val="center"/>
              <w:rPr>
                <w:rFonts w:ascii="Times New Roman" w:hAnsi="Times New Roman" w:cs="Times New Roman"/>
                <w:color w:val="000000"/>
                <w:kern w:val="0"/>
                <w:sz w:val="20"/>
                <w:szCs w:val="20"/>
              </w:rPr>
            </w:pPr>
          </w:p>
        </w:tc>
      </w:tr>
    </w:tbl>
    <w:p w14:paraId="40DEAA69">
      <w:pPr>
        <w:spacing w:line="360" w:lineRule="auto"/>
        <w:ind w:firstLine="560" w:firstLineChars="200"/>
        <w:rPr>
          <w:rFonts w:ascii="Times New Roman" w:hAnsi="Times New Roman" w:eastAsia="仿宋_GB2312" w:cs="Times New Roman"/>
          <w:bCs/>
          <w:sz w:val="28"/>
          <w:highlight w:val="none"/>
        </w:rPr>
      </w:pPr>
      <w:r>
        <w:rPr>
          <w:rFonts w:ascii="Times New Roman" w:hAnsi="Times New Roman" w:eastAsia="仿宋_GB2312" w:cs="Times New Roman"/>
          <w:bCs/>
          <w:sz w:val="28"/>
          <w:highlight w:val="none"/>
        </w:rPr>
        <w:t>委托评估对象和评估范围与经济行为涉及的评估对象和评估范围一致。</w:t>
      </w:r>
    </w:p>
    <w:p w14:paraId="36F2E14A">
      <w:pPr>
        <w:pStyle w:val="3"/>
        <w:spacing w:line="416" w:lineRule="auto"/>
        <w:ind w:firstLine="562" w:firstLineChars="200"/>
        <w:rPr>
          <w:rFonts w:hint="default" w:ascii="Times New Roman" w:hAnsi="Times New Roman" w:eastAsia="仿宋_GB2312" w:cs="Times New Roman"/>
          <w:b/>
          <w:highlight w:val="none"/>
          <w:lang w:val="en-US" w:eastAsia="zh-CN"/>
        </w:rPr>
      </w:pPr>
      <w:r>
        <w:rPr>
          <w:rFonts w:hint="default" w:ascii="Times New Roman" w:hAnsi="Times New Roman" w:eastAsia="仿宋" w:cs="Times New Roman"/>
          <w:sz w:val="28"/>
          <w:szCs w:val="28"/>
          <w:highlight w:val="none"/>
          <w:lang w:val="en-US" w:eastAsia="zh-CN"/>
        </w:rPr>
        <w:t>二、核实过程</w:t>
      </w:r>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bookmarkEnd w:id="230"/>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p>
    <w:p w14:paraId="399377A9">
      <w:pPr>
        <w:pStyle w:val="21"/>
        <w:adjustRightInd/>
        <w:spacing w:line="360" w:lineRule="auto"/>
        <w:ind w:firstLine="560" w:firstLineChars="200"/>
        <w:rPr>
          <w:rFonts w:hint="default" w:ascii="Times New Roman" w:hAnsi="Times New Roman" w:eastAsia="仿宋_GB2312" w:cs="Times New Roman"/>
          <w:b w:val="0"/>
          <w:bCs/>
          <w:highlight w:val="none"/>
          <w:lang w:val="en-US" w:eastAsia="zh-CN"/>
        </w:rPr>
      </w:pPr>
      <w:r>
        <w:rPr>
          <w:rFonts w:hint="default" w:ascii="Times New Roman" w:hAnsi="Times New Roman" w:eastAsia="仿宋_GB2312" w:cs="Times New Roman"/>
          <w:b w:val="0"/>
          <w:bCs/>
          <w:highlight w:val="none"/>
          <w:lang w:val="en-US" w:eastAsia="zh-CN"/>
        </w:rPr>
        <w:t>1、听取</w:t>
      </w:r>
      <w:r>
        <w:rPr>
          <w:rFonts w:hint="eastAsia" w:ascii="Times New Roman" w:eastAsia="仿宋_GB2312" w:cs="Times New Roman"/>
          <w:b w:val="0"/>
          <w:bCs/>
          <w:highlight w:val="none"/>
          <w:lang w:val="en-US" w:eastAsia="zh-CN"/>
        </w:rPr>
        <w:t>委托人</w:t>
      </w:r>
      <w:r>
        <w:rPr>
          <w:rFonts w:hint="default" w:ascii="Times New Roman" w:hAnsi="Times New Roman" w:eastAsia="仿宋_GB2312" w:cs="Times New Roman"/>
          <w:b w:val="0"/>
          <w:bCs/>
          <w:highlight w:val="none"/>
          <w:lang w:val="en-US" w:eastAsia="zh-CN"/>
        </w:rPr>
        <w:t>及</w:t>
      </w:r>
      <w:r>
        <w:rPr>
          <w:rFonts w:hint="eastAsia" w:ascii="Times New Roman" w:eastAsia="仿宋_GB2312" w:cs="Times New Roman"/>
          <w:b w:val="0"/>
          <w:bCs/>
          <w:highlight w:val="none"/>
          <w:lang w:val="en-US" w:eastAsia="zh-CN"/>
        </w:rPr>
        <w:t>产权持有人</w:t>
      </w:r>
      <w:r>
        <w:rPr>
          <w:rFonts w:hint="default" w:ascii="Times New Roman" w:hAnsi="Times New Roman" w:eastAsia="仿宋_GB2312" w:cs="Times New Roman"/>
          <w:b w:val="0"/>
          <w:bCs/>
          <w:highlight w:val="none"/>
          <w:lang w:val="en-US" w:eastAsia="zh-CN"/>
        </w:rPr>
        <w:t>有关人员介绍企业总体情况和委估资产的历史及现状，了解企业的财务制度、经营状况、无形资产涉及的固定资产技术状态等情况。</w:t>
      </w:r>
    </w:p>
    <w:p w14:paraId="7053C69D">
      <w:pPr>
        <w:pStyle w:val="21"/>
        <w:adjustRightInd/>
        <w:spacing w:line="360" w:lineRule="auto"/>
        <w:ind w:firstLine="560" w:firstLineChars="200"/>
        <w:rPr>
          <w:rFonts w:hint="default" w:ascii="Times New Roman" w:hAnsi="Times New Roman" w:eastAsia="仿宋_GB2312" w:cs="Times New Roman"/>
          <w:b w:val="0"/>
          <w:bCs/>
          <w:highlight w:val="none"/>
          <w:lang w:val="en-US" w:eastAsia="zh-CN"/>
        </w:rPr>
      </w:pPr>
      <w:r>
        <w:rPr>
          <w:rFonts w:hint="default" w:ascii="Times New Roman" w:hAnsi="Times New Roman" w:eastAsia="仿宋_GB2312" w:cs="Times New Roman"/>
          <w:b w:val="0"/>
          <w:bCs/>
          <w:highlight w:val="none"/>
          <w:lang w:val="en-US" w:eastAsia="zh-CN"/>
        </w:rPr>
        <w:t>2、对企业提供的资产清查评估申报明细表进行审核、鉴别，并与企业有关财务记录数据进行核对，对发现的问题协同企业做出调整。</w:t>
      </w:r>
    </w:p>
    <w:p w14:paraId="5F2AB238">
      <w:pPr>
        <w:pStyle w:val="21"/>
        <w:adjustRightInd/>
        <w:spacing w:line="360" w:lineRule="auto"/>
        <w:ind w:firstLine="560" w:firstLineChars="200"/>
        <w:rPr>
          <w:rFonts w:hint="default" w:ascii="Times New Roman" w:hAnsi="Times New Roman" w:eastAsia="仿宋_GB2312" w:cs="Times New Roman"/>
          <w:b w:val="0"/>
          <w:bCs/>
          <w:highlight w:val="none"/>
          <w:lang w:val="en-US" w:eastAsia="zh-CN"/>
        </w:rPr>
      </w:pPr>
      <w:r>
        <w:rPr>
          <w:rFonts w:hint="default" w:ascii="Times New Roman" w:hAnsi="Times New Roman" w:eastAsia="仿宋_GB2312" w:cs="Times New Roman"/>
          <w:b w:val="0"/>
          <w:bCs/>
          <w:highlight w:val="none"/>
          <w:lang w:val="en-US" w:eastAsia="zh-CN"/>
        </w:rPr>
        <w:t>3、根据资产清查评估申报明细表，对无形资产的相关费用、技术水平、经济效益、法律状况等情况，同时了解了该行业的总体情况。</w:t>
      </w:r>
    </w:p>
    <w:p w14:paraId="1AE65119">
      <w:pPr>
        <w:pStyle w:val="21"/>
        <w:adjustRightInd/>
        <w:spacing w:line="360" w:lineRule="auto"/>
        <w:ind w:firstLine="560" w:firstLineChars="200"/>
        <w:rPr>
          <w:rFonts w:hint="default" w:ascii="Times New Roman" w:hAnsi="Times New Roman" w:eastAsia="仿宋_GB2312" w:cs="Times New Roman"/>
          <w:b w:val="0"/>
          <w:bCs/>
          <w:highlight w:val="none"/>
          <w:lang w:val="en-US" w:eastAsia="zh-CN"/>
        </w:rPr>
      </w:pPr>
      <w:r>
        <w:rPr>
          <w:rFonts w:hint="default" w:ascii="Times New Roman" w:hAnsi="Times New Roman" w:eastAsia="仿宋_GB2312" w:cs="Times New Roman"/>
          <w:b w:val="0"/>
          <w:bCs/>
          <w:highlight w:val="none"/>
          <w:lang w:val="en-US" w:eastAsia="zh-CN"/>
        </w:rPr>
        <w:t>4、查阅收集委估资产的产权证明文件。</w:t>
      </w:r>
    </w:p>
    <w:p w14:paraId="4E5C4EA6">
      <w:pPr>
        <w:pStyle w:val="21"/>
        <w:adjustRightInd/>
        <w:spacing w:line="360" w:lineRule="auto"/>
        <w:ind w:firstLine="560" w:firstLineChars="200"/>
        <w:rPr>
          <w:rFonts w:hint="default" w:ascii="Times New Roman" w:hAnsi="Times New Roman" w:eastAsia="仿宋_GB2312" w:cs="Times New Roman"/>
          <w:b w:val="0"/>
          <w:bCs/>
          <w:highlight w:val="none"/>
          <w:lang w:val="en-US" w:eastAsia="zh-CN"/>
        </w:rPr>
      </w:pPr>
      <w:r>
        <w:rPr>
          <w:rFonts w:hint="default" w:ascii="Times New Roman" w:hAnsi="Times New Roman" w:eastAsia="仿宋_GB2312" w:cs="Times New Roman"/>
          <w:b w:val="0"/>
          <w:bCs/>
          <w:highlight w:val="none"/>
          <w:lang w:val="en-US" w:eastAsia="zh-CN"/>
        </w:rPr>
        <w:t>5、根据委估资产的实际状况和特点，确定各类资产的具体评估方法。</w:t>
      </w:r>
    </w:p>
    <w:p w14:paraId="136271D5">
      <w:pPr>
        <w:pStyle w:val="21"/>
        <w:widowControl w:val="0"/>
        <w:snapToGrid/>
        <w:spacing w:line="360" w:lineRule="auto"/>
        <w:ind w:firstLine="560" w:firstLineChars="200"/>
        <w:rPr>
          <w:rFonts w:hint="default" w:ascii="Times New Roman" w:hAnsi="Times New Roman" w:eastAsia="仿宋_GB2312" w:cs="Times New Roman"/>
          <w:bCs/>
          <w:sz w:val="28"/>
          <w:szCs w:val="20"/>
          <w:highlight w:val="none"/>
          <w:lang w:val="en-US" w:eastAsia="zh-CN"/>
        </w:rPr>
      </w:pPr>
      <w:r>
        <w:rPr>
          <w:rFonts w:hint="default" w:ascii="Times New Roman" w:hAnsi="Times New Roman" w:eastAsia="仿宋_GB2312" w:cs="Times New Roman"/>
          <w:b w:val="0"/>
          <w:bCs/>
          <w:highlight w:val="none"/>
          <w:lang w:val="en-US" w:eastAsia="zh-CN"/>
        </w:rPr>
        <w:t>6、对企业提供的权属资料进行查验。</w:t>
      </w:r>
    </w:p>
    <w:p w14:paraId="66BB30A6">
      <w:pPr>
        <w:pStyle w:val="3"/>
        <w:widowControl w:val="0"/>
        <w:snapToGrid/>
        <w:spacing w:line="240" w:lineRule="auto"/>
        <w:ind w:firstLine="562" w:firstLineChars="200"/>
        <w:rPr>
          <w:rFonts w:hint="default" w:ascii="Times New Roman" w:hAnsi="Times New Roman" w:eastAsia="仿宋" w:cs="Times New Roman"/>
          <w:sz w:val="28"/>
          <w:szCs w:val="28"/>
          <w:highlight w:val="none"/>
          <w:lang w:val="en-US" w:eastAsia="zh-CN"/>
        </w:rPr>
      </w:pPr>
      <w:bookmarkStart w:id="247" w:name="_Toc30712"/>
      <w:bookmarkStart w:id="248" w:name="_Toc12655"/>
      <w:bookmarkStart w:id="249" w:name="_Toc17118"/>
      <w:bookmarkStart w:id="250" w:name="_Toc9260"/>
      <w:bookmarkStart w:id="251" w:name="_Toc21115"/>
      <w:bookmarkStart w:id="252" w:name="_Toc30004"/>
      <w:bookmarkStart w:id="253" w:name="_Toc19070"/>
      <w:bookmarkStart w:id="254" w:name="_Toc23212"/>
      <w:bookmarkStart w:id="255" w:name="_Toc18948"/>
      <w:bookmarkStart w:id="256" w:name="_Toc6559"/>
      <w:bookmarkStart w:id="257" w:name="_Toc4378"/>
      <w:bookmarkStart w:id="258" w:name="_Toc1513"/>
      <w:bookmarkStart w:id="259" w:name="_Toc11460"/>
      <w:bookmarkStart w:id="260" w:name="_Toc5484"/>
      <w:bookmarkStart w:id="261" w:name="_Toc26885"/>
      <w:bookmarkStart w:id="262" w:name="_Toc15928"/>
      <w:bookmarkStart w:id="263" w:name="_Toc27062"/>
      <w:bookmarkStart w:id="264" w:name="_Toc25362"/>
      <w:bookmarkStart w:id="265" w:name="_Toc1642"/>
      <w:bookmarkStart w:id="266" w:name="_Toc28853"/>
      <w:bookmarkStart w:id="267" w:name="_Toc22705"/>
      <w:bookmarkStart w:id="268" w:name="_Toc13360"/>
      <w:bookmarkStart w:id="269" w:name="_Toc32077"/>
      <w:bookmarkStart w:id="270" w:name="_Toc18402"/>
      <w:bookmarkStart w:id="271" w:name="_Toc4731"/>
      <w:bookmarkStart w:id="272" w:name="_Toc1677"/>
      <w:bookmarkStart w:id="273" w:name="_Toc26718"/>
      <w:bookmarkStart w:id="274" w:name="_Toc7575"/>
      <w:bookmarkStart w:id="275" w:name="_Toc3246"/>
      <w:bookmarkStart w:id="276" w:name="_Toc1864"/>
      <w:bookmarkStart w:id="277" w:name="_Toc23162"/>
      <w:bookmarkStart w:id="278" w:name="_Toc25692"/>
      <w:bookmarkStart w:id="279" w:name="_Toc16428"/>
      <w:bookmarkStart w:id="280" w:name="_Toc324"/>
      <w:bookmarkStart w:id="281" w:name="_Toc25874"/>
      <w:bookmarkStart w:id="282" w:name="_Toc13656"/>
      <w:r>
        <w:rPr>
          <w:rFonts w:hint="default" w:ascii="Times New Roman" w:hAnsi="Times New Roman" w:eastAsia="仿宋" w:cs="Times New Roman"/>
          <w:sz w:val="28"/>
          <w:szCs w:val="28"/>
          <w:highlight w:val="none"/>
          <w:lang w:val="en-US" w:eastAsia="zh-CN"/>
        </w:rPr>
        <w:t>三、评估方法</w:t>
      </w:r>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p>
    <w:p w14:paraId="529D9611">
      <w:pPr>
        <w:keepNext w:val="0"/>
        <w:keepLines w:val="0"/>
        <w:pageBreakBefore w:val="0"/>
        <w:widowControl w:val="0"/>
        <w:tabs>
          <w:tab w:val="left" w:pos="1255"/>
        </w:tabs>
        <w:kinsoku/>
        <w:wordWrap/>
        <w:overflowPunct/>
        <w:topLinePunct w:val="0"/>
        <w:autoSpaceDE w:val="0"/>
        <w:autoSpaceDN w:val="0"/>
        <w:bidi w:val="0"/>
        <w:adjustRightInd/>
        <w:snapToGrid/>
        <w:spacing w:line="360" w:lineRule="auto"/>
        <w:ind w:firstLine="560" w:firstLineChars="200"/>
        <w:textAlignment w:val="auto"/>
        <w:rPr>
          <w:rFonts w:hint="default" w:ascii="Times New Roman" w:hAnsi="Times New Roman" w:eastAsia="仿宋_GB2312" w:cs="Times New Roman"/>
          <w:sz w:val="28"/>
          <w:szCs w:val="28"/>
          <w:highlight w:val="none"/>
        </w:rPr>
      </w:pPr>
      <w:r>
        <w:rPr>
          <w:rFonts w:hint="default" w:ascii="Times New Roman" w:hAnsi="Times New Roman" w:eastAsia="仿宋_GB2312" w:cs="Times New Roman"/>
          <w:kern w:val="2"/>
          <w:sz w:val="28"/>
          <w:szCs w:val="28"/>
          <w:highlight w:val="none"/>
          <w:lang w:val="en-US" w:eastAsia="zh-CN" w:bidi="ar-SA"/>
        </w:rPr>
        <w:t>（一）评估方法介绍</w:t>
      </w:r>
    </w:p>
    <w:p w14:paraId="23B57CC1">
      <w:pPr>
        <w:keepNext w:val="0"/>
        <w:keepLines w:val="0"/>
        <w:pageBreakBefore w:val="0"/>
        <w:widowControl w:val="0"/>
        <w:tabs>
          <w:tab w:val="left" w:pos="1255"/>
        </w:tabs>
        <w:kinsoku/>
        <w:wordWrap/>
        <w:overflowPunct/>
        <w:topLinePunct w:val="0"/>
        <w:autoSpaceDE w:val="0"/>
        <w:autoSpaceDN w:val="0"/>
        <w:bidi w:val="0"/>
        <w:adjustRightInd/>
        <w:snapToGrid/>
        <w:spacing w:line="360" w:lineRule="auto"/>
        <w:ind w:firstLine="560" w:firstLineChars="200"/>
        <w:textAlignment w:val="auto"/>
        <w:rPr>
          <w:rFonts w:hint="default" w:ascii="Times New Roman" w:hAnsi="Times New Roman" w:eastAsia="仿宋_GB2312" w:cs="Times New Roman"/>
          <w:sz w:val="28"/>
          <w:szCs w:val="28"/>
          <w:highlight w:val="none"/>
        </w:rPr>
      </w:pPr>
      <w:r>
        <w:rPr>
          <w:rFonts w:hint="default" w:ascii="Times New Roman" w:hAnsi="Times New Roman" w:eastAsia="仿宋_GB2312" w:cs="Times New Roman"/>
          <w:sz w:val="28"/>
          <w:szCs w:val="28"/>
          <w:highlight w:val="none"/>
        </w:rPr>
        <w:t>依据</w:t>
      </w:r>
      <w:r>
        <w:rPr>
          <w:rFonts w:hint="default" w:eastAsia="仿宋_GB2312"/>
          <w:sz w:val="28"/>
          <w:szCs w:val="28"/>
          <w:highlight w:val="none"/>
        </w:rPr>
        <w:t>《资产评估执业准则—无形资产》</w:t>
      </w:r>
      <w:r>
        <w:rPr>
          <w:rFonts w:hint="default" w:ascii="Times New Roman" w:hAnsi="Times New Roman" w:eastAsia="仿宋_GB2312" w:cs="Times New Roman"/>
          <w:sz w:val="28"/>
          <w:szCs w:val="28"/>
          <w:highlight w:val="none"/>
        </w:rPr>
        <w:t>的规定，</w:t>
      </w:r>
      <w:r>
        <w:rPr>
          <w:rFonts w:hint="eastAsia" w:eastAsia="仿宋_GB2312" w:cs="Times New Roman"/>
          <w:sz w:val="28"/>
          <w:szCs w:val="28"/>
          <w:highlight w:val="none"/>
          <w:lang w:val="en-US" w:eastAsia="zh-CN"/>
        </w:rPr>
        <w:t>无形</w:t>
      </w:r>
      <w:r>
        <w:rPr>
          <w:rFonts w:hint="default" w:ascii="Times New Roman" w:hAnsi="Times New Roman" w:eastAsia="仿宋_GB2312" w:cs="Times New Roman"/>
          <w:sz w:val="28"/>
          <w:szCs w:val="28"/>
          <w:highlight w:val="none"/>
        </w:rPr>
        <w:t>资产评估可以采用收益法、市场法、成本法三种方法。收益法以被评估资产未来所能创造的收益的现值来确定评估价值，强调的是资产预期盈利能力。市场法是以同类资产的交易价值来分析确定被评估资产的价值，它具有估值数据直接取材于市场，估值结果说服力强的特点。成本法是</w:t>
      </w:r>
      <w:r>
        <w:rPr>
          <w:rFonts w:hint="default" w:eastAsia="仿宋_GB2312"/>
          <w:sz w:val="28"/>
          <w:szCs w:val="28"/>
          <w:highlight w:val="none"/>
        </w:rPr>
        <w:t>指以根据无形资产形成的全部投入，考虑无形资产价值与成本的相关程度，包括合理的成本、利润和相关税费</w:t>
      </w:r>
      <w:r>
        <w:rPr>
          <w:rFonts w:hint="default" w:ascii="Times New Roman" w:hAnsi="Times New Roman" w:eastAsia="仿宋_GB2312" w:cs="Times New Roman"/>
          <w:sz w:val="28"/>
          <w:szCs w:val="28"/>
          <w:highlight w:val="none"/>
          <w:lang w:val="en-US" w:eastAsia="zh-CN"/>
        </w:rPr>
        <w:t>。</w:t>
      </w:r>
    </w:p>
    <w:p w14:paraId="69F49E58">
      <w:pPr>
        <w:pStyle w:val="5"/>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w:hAnsi="Times New Roman" w:eastAsia="仿宋_GB2312" w:cs="Times New Roman"/>
          <w:kern w:val="2"/>
          <w:sz w:val="28"/>
          <w:szCs w:val="28"/>
          <w:highlight w:val="none"/>
          <w:lang w:val="en-US" w:eastAsia="zh-CN" w:bidi="ar-SA"/>
        </w:rPr>
      </w:pPr>
      <w:r>
        <w:rPr>
          <w:rFonts w:hint="default" w:ascii="Times New Roman" w:hAnsi="Times New Roman" w:eastAsia="仿宋_GB2312" w:cs="Times New Roman"/>
          <w:kern w:val="2"/>
          <w:sz w:val="28"/>
          <w:szCs w:val="28"/>
          <w:highlight w:val="none"/>
          <w:lang w:val="en-US" w:eastAsia="zh-CN" w:bidi="ar-SA"/>
        </w:rPr>
        <w:t>（二）评估方法的选用：</w:t>
      </w:r>
    </w:p>
    <w:p w14:paraId="42F39DDC">
      <w:pPr>
        <w:pStyle w:val="5"/>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w:hAnsi="Times New Roman" w:eastAsia="仿宋_GB2312" w:cs="Times New Roman"/>
          <w:kern w:val="2"/>
          <w:sz w:val="28"/>
          <w:szCs w:val="28"/>
          <w:highlight w:val="none"/>
          <w:lang w:val="en-US" w:eastAsia="zh-CN" w:bidi="ar-SA"/>
        </w:rPr>
      </w:pPr>
      <w:r>
        <w:rPr>
          <w:rFonts w:hint="default" w:ascii="Times New Roman" w:hAnsi="Times New Roman" w:eastAsia="仿宋_GB2312" w:cs="Times New Roman"/>
          <w:kern w:val="2"/>
          <w:sz w:val="28"/>
          <w:szCs w:val="28"/>
          <w:highlight w:val="none"/>
          <w:lang w:val="en-US" w:eastAsia="zh-CN" w:bidi="ar-SA"/>
        </w:rPr>
        <w:t>对</w:t>
      </w:r>
      <w:r>
        <w:rPr>
          <w:rFonts w:hint="eastAsia" w:eastAsia="仿宋_GB2312" w:cs="Times New Roman"/>
          <w:kern w:val="2"/>
          <w:sz w:val="28"/>
          <w:szCs w:val="28"/>
          <w:highlight w:val="none"/>
          <w:lang w:val="en-US" w:eastAsia="zh-CN" w:bidi="ar-SA"/>
        </w:rPr>
        <w:t>无形</w:t>
      </w:r>
      <w:r>
        <w:rPr>
          <w:rFonts w:hint="default" w:ascii="Times New Roman" w:hAnsi="Times New Roman" w:eastAsia="仿宋_GB2312" w:cs="Times New Roman"/>
          <w:kern w:val="2"/>
          <w:sz w:val="28"/>
          <w:szCs w:val="28"/>
          <w:highlight w:val="none"/>
          <w:lang w:val="en-US" w:eastAsia="zh-CN" w:bidi="ar-SA"/>
        </w:rPr>
        <w:t>资产评估，根据《资产评估准则——资产评估方法》的规定要求，资产评估师执行相关评估业务，应当根据评估目的、评估对象、价值类型、资料收集情况等相关条件，分析成本法、收益法和市场法三种资产评估基本方法的</w:t>
      </w:r>
      <w:r>
        <w:rPr>
          <w:rFonts w:hint="eastAsia" w:eastAsia="仿宋_GB2312" w:cs="Times New Roman"/>
          <w:kern w:val="2"/>
          <w:sz w:val="28"/>
          <w:szCs w:val="28"/>
          <w:highlight w:val="none"/>
          <w:lang w:val="en-US" w:eastAsia="zh-CN" w:bidi="ar-SA"/>
        </w:rPr>
        <w:t>适</w:t>
      </w:r>
      <w:r>
        <w:rPr>
          <w:rFonts w:hint="default" w:ascii="Times New Roman" w:hAnsi="Times New Roman" w:eastAsia="仿宋_GB2312" w:cs="Times New Roman"/>
          <w:kern w:val="2"/>
          <w:sz w:val="28"/>
          <w:szCs w:val="28"/>
          <w:highlight w:val="none"/>
          <w:lang w:val="en-US" w:eastAsia="zh-CN" w:bidi="ar-SA"/>
        </w:rPr>
        <w:t>用性，对于适合采用不同评估方法进行评估的，资产评估专业人员应当采用两种或两种以上评估方法进行评估。</w:t>
      </w:r>
    </w:p>
    <w:p w14:paraId="7E5E8449">
      <w:pPr>
        <w:spacing w:line="360" w:lineRule="auto"/>
        <w:ind w:firstLine="560" w:firstLineChars="200"/>
        <w:rPr>
          <w:rFonts w:hint="default" w:eastAsia="仿宋_GB2312"/>
          <w:sz w:val="28"/>
          <w:szCs w:val="28"/>
          <w:highlight w:val="none"/>
        </w:rPr>
      </w:pPr>
      <w:r>
        <w:rPr>
          <w:rFonts w:hint="default" w:eastAsia="仿宋_GB2312"/>
          <w:sz w:val="28"/>
          <w:szCs w:val="28"/>
          <w:highlight w:val="none"/>
        </w:rPr>
        <w:t>无形资产评估中的市场法，是指将评估对象与可比交易案例进行比较，确定评估对象价值的评估方法。由于在目前国内公开市场的公开资料中尚无法找到在相同经济行为下的同类资产交易案例，因此不具备使用市场法的必要前提，本次评估不适宜采用市场法。</w:t>
      </w:r>
    </w:p>
    <w:p w14:paraId="55F0CECA">
      <w:pPr>
        <w:spacing w:line="360" w:lineRule="auto"/>
        <w:ind w:firstLine="560" w:firstLineChars="200"/>
        <w:rPr>
          <w:rFonts w:hint="default" w:eastAsia="仿宋_GB2312"/>
          <w:sz w:val="28"/>
          <w:szCs w:val="28"/>
          <w:highlight w:val="none"/>
        </w:rPr>
      </w:pPr>
      <w:r>
        <w:rPr>
          <w:rFonts w:hint="default" w:eastAsia="仿宋_GB2312"/>
          <w:sz w:val="28"/>
          <w:szCs w:val="28"/>
          <w:highlight w:val="none"/>
        </w:rPr>
        <w:t>无形资产评估中的成本法，是指以根据无形资产形成的全部投入，考虑无形资产价值与成本的相关程度，包括合理的成本、利润和相关税费。本项目不适宜采用成本法进行评估。</w:t>
      </w:r>
    </w:p>
    <w:p w14:paraId="74742EBA">
      <w:pPr>
        <w:spacing w:line="360" w:lineRule="auto"/>
        <w:ind w:firstLine="560" w:firstLineChars="200"/>
        <w:rPr>
          <w:rFonts w:hint="default" w:ascii="Times New Roman" w:hAnsi="Times New Roman" w:eastAsia="仿宋_GB2312" w:cs="Times New Roman"/>
          <w:sz w:val="28"/>
          <w:szCs w:val="28"/>
          <w:highlight w:val="none"/>
        </w:rPr>
      </w:pPr>
      <w:r>
        <w:rPr>
          <w:rFonts w:hint="default" w:eastAsia="仿宋_GB2312"/>
          <w:sz w:val="28"/>
          <w:szCs w:val="28"/>
          <w:highlight w:val="none"/>
        </w:rPr>
        <w:t>无形资产评估中的收益法，是指将预期收益资本化或者折现，确定评估对象价值的评估方法。采用该方法应当结合资产的历史经营情况、未来收益可预测情况、所获取评估资料的充分性，恰当考虑收益法的适用性。被评估资产对应的经营资料齐备、未来收益可预测，宜采用收益法进行评估</w:t>
      </w:r>
      <w:r>
        <w:rPr>
          <w:rFonts w:hint="default" w:ascii="Times New Roman" w:hAnsi="Times New Roman" w:eastAsia="仿宋_GB2312" w:cs="Times New Roman"/>
          <w:sz w:val="28"/>
          <w:szCs w:val="28"/>
          <w:highlight w:val="none"/>
        </w:rPr>
        <w:t>。</w:t>
      </w:r>
    </w:p>
    <w:p w14:paraId="43F15777">
      <w:pPr>
        <w:spacing w:line="360" w:lineRule="auto"/>
        <w:ind w:firstLine="560" w:firstLineChars="200"/>
        <w:rPr>
          <w:rFonts w:hint="default" w:ascii="Times New Roman" w:hAnsi="Times New Roman" w:eastAsia="仿宋_GB2312" w:cs="Times New Roman"/>
          <w:sz w:val="28"/>
          <w:szCs w:val="28"/>
          <w:highlight w:val="none"/>
        </w:rPr>
      </w:pPr>
      <w:r>
        <w:rPr>
          <w:rFonts w:hint="default" w:ascii="Times New Roman" w:hAnsi="Times New Roman" w:eastAsia="仿宋_GB2312" w:cs="Times New Roman"/>
          <w:sz w:val="28"/>
          <w:szCs w:val="28"/>
          <w:highlight w:val="none"/>
        </w:rPr>
        <w:t>根据本次评估目的、评估对象、价值类型、资料收集情况等相关条件，本次</w:t>
      </w:r>
      <w:r>
        <w:rPr>
          <w:rFonts w:hint="default" w:ascii="Times New Roman" w:hAnsi="Times New Roman" w:eastAsia="仿宋_GB2312" w:cs="Times New Roman"/>
          <w:sz w:val="28"/>
          <w:szCs w:val="28"/>
          <w:highlight w:val="none"/>
          <w:lang w:val="en-US" w:eastAsia="zh-CN"/>
        </w:rPr>
        <w:t>临漳县40年供水经营权</w:t>
      </w:r>
      <w:r>
        <w:rPr>
          <w:rFonts w:hint="default" w:ascii="Times New Roman" w:hAnsi="Times New Roman" w:eastAsia="仿宋_GB2312" w:cs="Times New Roman"/>
          <w:sz w:val="28"/>
          <w:szCs w:val="28"/>
          <w:highlight w:val="none"/>
        </w:rPr>
        <w:t>评估采用收益法，收益法</w:t>
      </w:r>
      <w:r>
        <w:rPr>
          <w:rFonts w:hint="default" w:ascii="Times New Roman" w:hAnsi="Times New Roman" w:eastAsia="仿宋_GB2312" w:cs="Times New Roman"/>
          <w:sz w:val="28"/>
          <w:szCs w:val="28"/>
          <w:highlight w:val="none"/>
          <w:lang w:val="en-US" w:eastAsia="zh-CN"/>
        </w:rPr>
        <w:t>是</w:t>
      </w:r>
      <w:r>
        <w:rPr>
          <w:rFonts w:hint="default" w:ascii="Times New Roman" w:hAnsi="Times New Roman" w:eastAsia="仿宋_GB2312" w:cs="Times New Roman"/>
          <w:sz w:val="28"/>
          <w:szCs w:val="28"/>
          <w:highlight w:val="none"/>
        </w:rPr>
        <w:t>通过估算被评估资产未来预期</w:t>
      </w:r>
      <w:r>
        <w:rPr>
          <w:rFonts w:hint="default" w:ascii="Times New Roman" w:hAnsi="Times New Roman" w:eastAsia="仿宋_GB2312" w:cs="Times New Roman"/>
          <w:sz w:val="28"/>
          <w:szCs w:val="28"/>
          <w:highlight w:val="none"/>
          <w:lang w:val="en-US" w:eastAsia="zh-CN"/>
        </w:rPr>
        <w:t>现金流</w:t>
      </w:r>
      <w:r>
        <w:rPr>
          <w:rFonts w:hint="default" w:ascii="Times New Roman" w:hAnsi="Times New Roman" w:eastAsia="仿宋_GB2312" w:cs="Times New Roman"/>
          <w:sz w:val="28"/>
          <w:szCs w:val="28"/>
          <w:highlight w:val="none"/>
        </w:rPr>
        <w:t>并折算成现值，借以确定被评估资产</w:t>
      </w:r>
      <w:r>
        <w:rPr>
          <w:rFonts w:hint="default" w:ascii="Times New Roman" w:hAnsi="Times New Roman" w:eastAsia="仿宋_GB2312" w:cs="Times New Roman"/>
          <w:sz w:val="28"/>
          <w:szCs w:val="28"/>
          <w:highlight w:val="none"/>
          <w:lang w:val="en-US" w:eastAsia="zh-CN"/>
        </w:rPr>
        <w:t>价值</w:t>
      </w:r>
      <w:r>
        <w:rPr>
          <w:rFonts w:hint="default" w:ascii="Times New Roman" w:hAnsi="Times New Roman" w:eastAsia="仿宋_GB2312" w:cs="Times New Roman"/>
          <w:sz w:val="28"/>
          <w:szCs w:val="28"/>
          <w:highlight w:val="none"/>
        </w:rPr>
        <w:t>的一种评估方法。</w:t>
      </w:r>
    </w:p>
    <w:p w14:paraId="3FDD1F4F">
      <w:pPr>
        <w:spacing w:line="360" w:lineRule="auto"/>
        <w:ind w:firstLine="560" w:firstLineChars="200"/>
        <w:rPr>
          <w:rFonts w:hint="default" w:ascii="Times New Roman" w:hAnsi="Times New Roman" w:eastAsia="仿宋_GB2312" w:cs="Times New Roman"/>
          <w:sz w:val="28"/>
          <w:szCs w:val="28"/>
          <w:highlight w:val="none"/>
          <w:lang w:eastAsia="zh-CN"/>
        </w:rPr>
      </w:pPr>
      <w:r>
        <w:rPr>
          <w:rFonts w:hint="default" w:ascii="Times New Roman" w:hAnsi="Times New Roman" w:eastAsia="仿宋_GB2312" w:cs="Times New Roman"/>
          <w:sz w:val="28"/>
          <w:szCs w:val="28"/>
          <w:highlight w:val="none"/>
        </w:rPr>
        <w:t>评估模型与基本公式</w:t>
      </w:r>
      <w:r>
        <w:rPr>
          <w:rFonts w:hint="default" w:ascii="Times New Roman" w:hAnsi="Times New Roman" w:eastAsia="仿宋_GB2312" w:cs="Times New Roman"/>
          <w:sz w:val="28"/>
          <w:szCs w:val="28"/>
          <w:highlight w:val="none"/>
          <w:lang w:eastAsia="zh-CN"/>
        </w:rPr>
        <w:t>：</w:t>
      </w:r>
      <w:r>
        <w:rPr>
          <w:rFonts w:hint="default" w:ascii="Times New Roman" w:hAnsi="Times New Roman" w:eastAsia="仿宋_GB2312" w:cs="Times New Roman"/>
          <w:sz w:val="28"/>
          <w:szCs w:val="28"/>
          <w:highlight w:val="none"/>
          <w:lang w:val="en-US" w:eastAsia="zh-CN"/>
        </w:rPr>
        <w:t xml:space="preserve"> </w:t>
      </w:r>
    </w:p>
    <w:p w14:paraId="4E154253">
      <w:pPr>
        <w:spacing w:line="360" w:lineRule="auto"/>
        <w:ind w:firstLine="560" w:firstLineChars="200"/>
        <w:rPr>
          <w:rFonts w:hint="default" w:ascii="Times New Roman" w:hAnsi="Times New Roman" w:eastAsia="仿宋_GB2312" w:cs="Times New Roman"/>
          <w:bCs/>
          <w:sz w:val="28"/>
          <w:szCs w:val="28"/>
          <w:highlight w:val="none"/>
        </w:rPr>
      </w:pPr>
      <w:r>
        <w:rPr>
          <w:rFonts w:hint="default" w:ascii="Times New Roman" w:hAnsi="Times New Roman" w:eastAsia="仿宋_GB2312" w:cs="Times New Roman"/>
          <w:position w:val="-28"/>
          <w:sz w:val="28"/>
          <w:szCs w:val="28"/>
          <w:highlight w:val="none"/>
        </w:rPr>
        <w:object>
          <v:shape id="_x0000_i1025" o:spt="75" type="#_x0000_t75" style="height:34pt;width:71.9pt;" o:ole="t" filled="f" o:preferrelative="t" stroked="f" coordsize="21600,21600">
            <v:path/>
            <v:fill on="f" focussize="0,0"/>
            <v:stroke on="f"/>
            <v:imagedata r:id="rId12" o:title=""/>
            <o:lock v:ext="edit" aspectratio="t"/>
            <w10:wrap type="none"/>
            <w10:anchorlock/>
          </v:shape>
          <o:OLEObject Type="Embed" ProgID="Equation.3" ShapeID="_x0000_i1025" DrawAspect="Content" ObjectID="_1468075725" r:id="rId11">
            <o:LockedField>false</o:LockedField>
          </o:OLEObject>
        </w:object>
      </w:r>
    </w:p>
    <w:p w14:paraId="2603B73A">
      <w:pPr>
        <w:spacing w:line="360" w:lineRule="auto"/>
        <w:ind w:firstLine="560" w:firstLineChars="200"/>
        <w:rPr>
          <w:rFonts w:hint="default" w:ascii="Times New Roman" w:hAnsi="Times New Roman" w:eastAsia="仿宋_GB2312" w:cs="Times New Roman"/>
          <w:bCs/>
          <w:sz w:val="28"/>
          <w:szCs w:val="28"/>
          <w:highlight w:val="none"/>
        </w:rPr>
      </w:pPr>
      <w:r>
        <w:rPr>
          <w:rFonts w:hint="default" w:ascii="Times New Roman" w:hAnsi="Times New Roman" w:eastAsia="仿宋_GB2312" w:cs="Times New Roman"/>
          <w:bCs/>
          <w:sz w:val="28"/>
          <w:szCs w:val="28"/>
          <w:highlight w:val="none"/>
        </w:rPr>
        <w:t>式中： P——委估</w:t>
      </w:r>
      <w:r>
        <w:rPr>
          <w:rFonts w:hint="default" w:ascii="Times New Roman" w:hAnsi="Times New Roman" w:eastAsia="仿宋_GB2312" w:cs="Times New Roman"/>
          <w:bCs/>
          <w:sz w:val="28"/>
          <w:szCs w:val="28"/>
          <w:highlight w:val="none"/>
          <w:lang w:val="en-US" w:eastAsia="zh-CN"/>
        </w:rPr>
        <w:t>收益权折现值</w:t>
      </w:r>
    </w:p>
    <w:p w14:paraId="267BA85D">
      <w:pPr>
        <w:spacing w:line="360" w:lineRule="auto"/>
        <w:rPr>
          <w:rFonts w:hint="default" w:ascii="Times New Roman" w:hAnsi="Times New Roman" w:eastAsia="仿宋_GB2312" w:cs="Times New Roman"/>
          <w:bCs/>
          <w:sz w:val="28"/>
          <w:szCs w:val="28"/>
          <w:highlight w:val="none"/>
        </w:rPr>
      </w:pPr>
      <w:r>
        <w:rPr>
          <w:rFonts w:hint="default" w:ascii="Times New Roman" w:hAnsi="Times New Roman" w:eastAsia="仿宋_GB2312" w:cs="Times New Roman"/>
          <w:bCs/>
          <w:sz w:val="28"/>
          <w:szCs w:val="28"/>
          <w:highlight w:val="none"/>
        </w:rPr>
        <w:t xml:space="preserve">     Ri——</w:t>
      </w:r>
      <w:r>
        <w:rPr>
          <w:rFonts w:hint="default" w:ascii="Times New Roman" w:hAnsi="Times New Roman" w:eastAsia="仿宋_GB2312" w:cs="Times New Roman"/>
          <w:bCs/>
          <w:sz w:val="28"/>
          <w:szCs w:val="28"/>
          <w:highlight w:val="none"/>
          <w:lang w:val="en-US" w:eastAsia="zh-CN"/>
        </w:rPr>
        <w:t>委估资产第i年创造的净现金流</w:t>
      </w:r>
      <w:r>
        <w:rPr>
          <w:rFonts w:hint="default" w:ascii="Times New Roman" w:hAnsi="Times New Roman" w:eastAsia="仿宋_GB2312" w:cs="Times New Roman"/>
          <w:sz w:val="28"/>
          <w:szCs w:val="28"/>
          <w:highlight w:val="none"/>
        </w:rPr>
        <w:t>。</w:t>
      </w:r>
    </w:p>
    <w:p w14:paraId="14319699">
      <w:pPr>
        <w:tabs>
          <w:tab w:val="left" w:pos="1260"/>
        </w:tabs>
        <w:spacing w:line="360" w:lineRule="auto"/>
        <w:ind w:firstLine="700" w:firstLineChars="250"/>
        <w:rPr>
          <w:rFonts w:hint="default" w:ascii="Times New Roman" w:hAnsi="Times New Roman" w:eastAsia="仿宋_GB2312" w:cs="Times New Roman"/>
          <w:bCs/>
          <w:sz w:val="28"/>
          <w:szCs w:val="28"/>
          <w:highlight w:val="none"/>
        </w:rPr>
      </w:pPr>
      <w:r>
        <w:rPr>
          <w:rFonts w:hint="default" w:ascii="Times New Roman" w:hAnsi="Times New Roman" w:eastAsia="仿宋_GB2312" w:cs="Times New Roman"/>
          <w:bCs/>
          <w:sz w:val="28"/>
          <w:szCs w:val="28"/>
          <w:highlight w:val="none"/>
        </w:rPr>
        <w:t>r——折现率</w:t>
      </w:r>
    </w:p>
    <w:p w14:paraId="61DDE399">
      <w:pPr>
        <w:tabs>
          <w:tab w:val="left" w:pos="1260"/>
        </w:tabs>
        <w:spacing w:line="360" w:lineRule="auto"/>
        <w:rPr>
          <w:rFonts w:hint="default" w:ascii="Times New Roman" w:hAnsi="Times New Roman" w:eastAsia="仿宋_GB2312" w:cs="Times New Roman"/>
          <w:bCs/>
          <w:sz w:val="28"/>
          <w:szCs w:val="28"/>
          <w:highlight w:val="none"/>
        </w:rPr>
      </w:pPr>
      <w:r>
        <w:rPr>
          <w:rFonts w:hint="default" w:ascii="Times New Roman" w:hAnsi="Times New Roman" w:eastAsia="仿宋_GB2312" w:cs="Times New Roman"/>
          <w:bCs/>
          <w:sz w:val="28"/>
          <w:szCs w:val="28"/>
          <w:highlight w:val="none"/>
        </w:rPr>
        <w:t xml:space="preserve">     n——</w:t>
      </w:r>
      <w:r>
        <w:rPr>
          <w:rFonts w:hint="default" w:ascii="Times New Roman" w:hAnsi="Times New Roman" w:eastAsia="仿宋_GB2312" w:cs="Times New Roman"/>
          <w:bCs/>
          <w:sz w:val="28"/>
          <w:szCs w:val="28"/>
          <w:highlight w:val="none"/>
          <w:lang w:val="en-US" w:eastAsia="zh-CN"/>
        </w:rPr>
        <w:t>项目收益</w:t>
      </w:r>
      <w:r>
        <w:rPr>
          <w:rFonts w:hint="default" w:ascii="Times New Roman" w:hAnsi="Times New Roman" w:eastAsia="仿宋_GB2312" w:cs="Times New Roman"/>
          <w:bCs/>
          <w:sz w:val="28"/>
          <w:szCs w:val="28"/>
          <w:highlight w:val="none"/>
        </w:rPr>
        <w:t>年限</w:t>
      </w:r>
    </w:p>
    <w:p w14:paraId="20F23B9C">
      <w:pPr>
        <w:tabs>
          <w:tab w:val="left" w:pos="1260"/>
        </w:tabs>
        <w:spacing w:line="360" w:lineRule="auto"/>
        <w:ind w:firstLine="560" w:firstLineChars="200"/>
        <w:rPr>
          <w:rFonts w:hint="default" w:ascii="Times New Roman" w:hAnsi="Times New Roman" w:eastAsia="仿宋_GB2312" w:cs="Times New Roman"/>
          <w:bCs/>
          <w:sz w:val="28"/>
          <w:szCs w:val="28"/>
          <w:highlight w:val="none"/>
        </w:rPr>
      </w:pPr>
      <w:r>
        <w:rPr>
          <w:rFonts w:hint="default" w:ascii="Times New Roman" w:hAnsi="Times New Roman" w:eastAsia="仿宋_GB2312" w:cs="Times New Roman"/>
          <w:bCs/>
          <w:sz w:val="28"/>
          <w:szCs w:val="28"/>
          <w:highlight w:val="none"/>
        </w:rPr>
        <w:t xml:space="preserve"> i——序列年期</w:t>
      </w:r>
    </w:p>
    <w:p w14:paraId="6219BB3C">
      <w:pPr>
        <w:tabs>
          <w:tab w:val="left" w:pos="1260"/>
        </w:tabs>
        <w:spacing w:line="360" w:lineRule="auto"/>
        <w:ind w:firstLine="560" w:firstLineChars="200"/>
        <w:rPr>
          <w:rFonts w:hint="default" w:ascii="Times New Roman" w:hAnsi="Times New Roman" w:eastAsia="仿宋" w:cs="Times New Roman"/>
          <w:sz w:val="28"/>
          <w:szCs w:val="28"/>
          <w:highlight w:val="none"/>
          <w:lang w:val="en-US"/>
        </w:rPr>
      </w:pPr>
      <w:r>
        <w:rPr>
          <w:rFonts w:hint="default" w:ascii="Times New Roman" w:hAnsi="Times New Roman" w:eastAsia="仿宋" w:cs="Times New Roman"/>
          <w:sz w:val="28"/>
          <w:szCs w:val="28"/>
          <w:highlight w:val="none"/>
        </w:rPr>
        <w:t>（1）</w:t>
      </w:r>
      <w:r>
        <w:rPr>
          <w:rFonts w:hint="eastAsia" w:ascii="Times New Roman" w:hAnsi="Times New Roman" w:eastAsia="仿宋" w:cs="Times New Roman"/>
          <w:sz w:val="28"/>
          <w:szCs w:val="28"/>
          <w:highlight w:val="none"/>
          <w:lang w:val="en-US" w:eastAsia="zh-CN"/>
        </w:rPr>
        <w:t>净现金流量预测</w:t>
      </w:r>
    </w:p>
    <w:p w14:paraId="4D0890B9">
      <w:pPr>
        <w:tabs>
          <w:tab w:val="left" w:pos="1260"/>
        </w:tabs>
        <w:spacing w:line="360" w:lineRule="auto"/>
        <w:ind w:firstLine="560" w:firstLineChars="200"/>
        <w:rPr>
          <w:rFonts w:hint="default" w:ascii="Times New Roman" w:hAnsi="Times New Roman" w:eastAsia="仿宋" w:cs="Times New Roman"/>
          <w:sz w:val="28"/>
          <w:szCs w:val="28"/>
          <w:highlight w:val="none"/>
        </w:rPr>
      </w:pPr>
      <w:r>
        <w:rPr>
          <w:rFonts w:hint="eastAsia" w:ascii="Times New Roman" w:hAnsi="Times New Roman" w:eastAsia="仿宋" w:cs="Times New Roman"/>
          <w:sz w:val="28"/>
          <w:szCs w:val="28"/>
          <w:highlight w:val="none"/>
          <w:lang w:eastAsia="zh-CN"/>
        </w:rPr>
        <w:t>供水经营权</w:t>
      </w:r>
      <w:r>
        <w:rPr>
          <w:rFonts w:hint="default" w:ascii="Times New Roman" w:hAnsi="Times New Roman" w:eastAsia="仿宋" w:cs="Times New Roman"/>
          <w:sz w:val="28"/>
          <w:szCs w:val="28"/>
          <w:highlight w:val="none"/>
        </w:rPr>
        <w:t>未来各年收益额以所能带来的</w:t>
      </w:r>
      <w:r>
        <w:rPr>
          <w:rFonts w:hint="default" w:ascii="Times New Roman" w:hAnsi="Times New Roman" w:eastAsia="仿宋" w:cs="Times New Roman"/>
          <w:sz w:val="28"/>
          <w:szCs w:val="28"/>
          <w:highlight w:val="none"/>
          <w:lang w:val="en-US" w:eastAsia="zh-CN"/>
        </w:rPr>
        <w:t>净</w:t>
      </w:r>
      <w:r>
        <w:rPr>
          <w:rFonts w:hint="eastAsia" w:ascii="Times New Roman" w:hAnsi="Times New Roman" w:eastAsia="仿宋" w:cs="Times New Roman"/>
          <w:sz w:val="28"/>
          <w:szCs w:val="28"/>
          <w:highlight w:val="none"/>
          <w:lang w:val="en-US" w:eastAsia="zh-CN"/>
        </w:rPr>
        <w:t>现金流</w:t>
      </w:r>
      <w:r>
        <w:rPr>
          <w:rFonts w:hint="default" w:ascii="Times New Roman" w:hAnsi="Times New Roman" w:eastAsia="仿宋" w:cs="Times New Roman"/>
          <w:sz w:val="28"/>
          <w:szCs w:val="28"/>
          <w:highlight w:val="none"/>
        </w:rPr>
        <w:t>为计算口径。</w:t>
      </w:r>
    </w:p>
    <w:p w14:paraId="61AC74A9">
      <w:pPr>
        <w:pStyle w:val="5"/>
        <w:spacing w:line="360" w:lineRule="auto"/>
        <w:rPr>
          <w:rFonts w:hint="default" w:ascii="Times New Roman" w:hAnsi="Times New Roman" w:eastAsia="仿宋" w:cs="Times New Roman"/>
          <w:highlight w:val="none"/>
          <w:lang w:val="en-US" w:eastAsia="zh-CN"/>
        </w:rPr>
      </w:pPr>
      <w:r>
        <w:rPr>
          <w:rFonts w:hint="default" w:ascii="Times New Roman" w:hAnsi="Times New Roman" w:eastAsia="仿宋" w:cs="Times New Roman"/>
          <w:sz w:val="28"/>
          <w:szCs w:val="28"/>
          <w:highlight w:val="none"/>
          <w:lang w:val="en-US" w:eastAsia="zh-CN"/>
        </w:rPr>
        <w:t>净</w:t>
      </w:r>
      <w:r>
        <w:rPr>
          <w:rFonts w:hint="eastAsia" w:ascii="Times New Roman" w:hAnsi="Times New Roman" w:eastAsia="仿宋" w:cs="Times New Roman"/>
          <w:sz w:val="28"/>
          <w:szCs w:val="28"/>
          <w:highlight w:val="none"/>
          <w:lang w:val="en-US" w:eastAsia="zh-CN"/>
        </w:rPr>
        <w:t>现金流</w:t>
      </w:r>
      <w:r>
        <w:rPr>
          <w:rFonts w:hint="default" w:ascii="Times New Roman" w:hAnsi="Times New Roman" w:eastAsia="仿宋" w:cs="Times New Roman"/>
          <w:sz w:val="28"/>
          <w:szCs w:val="28"/>
          <w:highlight w:val="none"/>
          <w:lang w:val="en-US" w:eastAsia="zh-CN"/>
        </w:rPr>
        <w:t>=</w:t>
      </w:r>
      <w:r>
        <w:rPr>
          <w:rFonts w:hint="eastAsia" w:ascii="Times New Roman" w:hAnsi="Times New Roman" w:eastAsia="仿宋" w:cs="Times New Roman"/>
          <w:sz w:val="28"/>
          <w:szCs w:val="28"/>
          <w:highlight w:val="none"/>
          <w:lang w:val="en-US" w:eastAsia="zh-CN"/>
        </w:rPr>
        <w:t>营业</w:t>
      </w:r>
      <w:r>
        <w:rPr>
          <w:rFonts w:hint="default" w:ascii="Times New Roman" w:hAnsi="Times New Roman" w:eastAsia="仿宋" w:cs="Times New Roman"/>
          <w:sz w:val="28"/>
          <w:szCs w:val="28"/>
          <w:highlight w:val="none"/>
          <w:lang w:val="en-US" w:eastAsia="zh-CN"/>
        </w:rPr>
        <w:t>收入-</w:t>
      </w:r>
      <w:r>
        <w:rPr>
          <w:rFonts w:hint="eastAsia" w:ascii="Times New Roman" w:hAnsi="Times New Roman" w:eastAsia="仿宋" w:cs="Times New Roman"/>
          <w:sz w:val="28"/>
          <w:szCs w:val="28"/>
          <w:highlight w:val="none"/>
          <w:lang w:val="en-US" w:eastAsia="zh-CN"/>
        </w:rPr>
        <w:t>营业</w:t>
      </w:r>
      <w:r>
        <w:rPr>
          <w:rFonts w:hint="default" w:ascii="Times New Roman" w:hAnsi="Times New Roman" w:eastAsia="仿宋" w:cs="Times New Roman"/>
          <w:sz w:val="28"/>
          <w:szCs w:val="28"/>
          <w:highlight w:val="none"/>
          <w:lang w:val="en-US" w:eastAsia="zh-CN"/>
        </w:rPr>
        <w:t>成本-</w:t>
      </w:r>
      <w:r>
        <w:rPr>
          <w:rFonts w:hint="default" w:ascii="Times New Roman" w:hAnsi="Times New Roman" w:eastAsia="仿宋" w:cs="Times New Roman"/>
          <w:sz w:val="28"/>
          <w:szCs w:val="28"/>
          <w:highlight w:val="none"/>
        </w:rPr>
        <w:t>销售税金及附加</w:t>
      </w:r>
      <w:r>
        <w:rPr>
          <w:rFonts w:hint="eastAsia" w:ascii="Times New Roman" w:hAnsi="Times New Roman" w:eastAsia="仿宋" w:cs="Times New Roman"/>
          <w:sz w:val="28"/>
          <w:szCs w:val="28"/>
          <w:highlight w:val="none"/>
          <w:lang w:val="en-US" w:eastAsia="zh-CN"/>
        </w:rPr>
        <w:t>-财务费用-所得税+财务费用-营运资金增加额</w:t>
      </w:r>
    </w:p>
    <w:p w14:paraId="11E111E9">
      <w:pPr>
        <w:tabs>
          <w:tab w:val="left" w:pos="1260"/>
        </w:tabs>
        <w:spacing w:line="360" w:lineRule="auto"/>
        <w:ind w:firstLine="560"/>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lang w:val="en-US" w:eastAsia="zh-CN"/>
        </w:rPr>
        <w:t>1、</w:t>
      </w:r>
      <w:r>
        <w:rPr>
          <w:rFonts w:hint="eastAsia" w:ascii="Times New Roman" w:hAnsi="Times New Roman" w:eastAsia="仿宋" w:cs="Times New Roman"/>
          <w:sz w:val="28"/>
          <w:szCs w:val="28"/>
          <w:highlight w:val="none"/>
          <w:lang w:val="en-US" w:eastAsia="zh-CN"/>
        </w:rPr>
        <w:t>营业</w:t>
      </w:r>
      <w:r>
        <w:rPr>
          <w:rFonts w:hint="default" w:ascii="Times New Roman" w:hAnsi="Times New Roman" w:eastAsia="仿宋" w:cs="Times New Roman"/>
          <w:sz w:val="28"/>
          <w:szCs w:val="28"/>
          <w:highlight w:val="none"/>
          <w:lang w:val="en-US" w:eastAsia="zh-CN"/>
        </w:rPr>
        <w:t>收入</w:t>
      </w:r>
    </w:p>
    <w:p w14:paraId="4A1EF661">
      <w:pPr>
        <w:pStyle w:val="5"/>
        <w:numPr>
          <w:ilvl w:val="0"/>
          <w:numId w:val="0"/>
        </w:numPr>
        <w:spacing w:line="360" w:lineRule="auto"/>
        <w:ind w:firstLine="560" w:firstLineChars="200"/>
        <w:jc w:val="left"/>
        <w:rPr>
          <w:rFonts w:hint="eastAsia"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lang w:val="en-US" w:eastAsia="zh-CN"/>
        </w:rPr>
        <w:t>（1）</w:t>
      </w:r>
      <w:r>
        <w:rPr>
          <w:rFonts w:hint="eastAsia" w:ascii="Times New Roman" w:hAnsi="Times New Roman" w:eastAsia="仿宋" w:cs="Times New Roman"/>
          <w:sz w:val="28"/>
          <w:szCs w:val="28"/>
          <w:highlight w:val="none"/>
          <w:lang w:val="en-US" w:eastAsia="zh-CN"/>
        </w:rPr>
        <w:t>根据委托人提供的</w:t>
      </w:r>
      <w:r>
        <w:rPr>
          <w:rFonts w:hint="eastAsia" w:ascii="Times New Roman" w:eastAsia="仿宋" w:cs="Times New Roman"/>
          <w:sz w:val="28"/>
          <w:szCs w:val="28"/>
          <w:highlight w:val="none"/>
          <w:lang w:val="en-US" w:eastAsia="zh-CN"/>
        </w:rPr>
        <w:t>2022年、2023年和</w:t>
      </w:r>
      <w:r>
        <w:rPr>
          <w:rFonts w:hint="eastAsia" w:ascii="Times New Roman" w:hAnsi="Times New Roman" w:eastAsia="仿宋" w:cs="Times New Roman"/>
          <w:sz w:val="28"/>
          <w:szCs w:val="28"/>
          <w:highlight w:val="none"/>
          <w:lang w:val="en-US" w:eastAsia="zh-CN"/>
        </w:rPr>
        <w:t>2024年1-8月份三水厂的售水量推算出2024年9-12月份</w:t>
      </w:r>
      <w:r>
        <w:rPr>
          <w:rFonts w:hint="eastAsia" w:ascii="Times New Roman" w:eastAsia="仿宋" w:cs="Times New Roman"/>
          <w:sz w:val="28"/>
          <w:szCs w:val="28"/>
          <w:highlight w:val="none"/>
          <w:lang w:val="en-US" w:eastAsia="zh-CN"/>
        </w:rPr>
        <w:t>及以后年份</w:t>
      </w:r>
      <w:r>
        <w:rPr>
          <w:rFonts w:hint="eastAsia" w:ascii="Times New Roman" w:hAnsi="Times New Roman" w:eastAsia="仿宋" w:cs="Times New Roman"/>
          <w:sz w:val="28"/>
          <w:szCs w:val="28"/>
          <w:highlight w:val="none"/>
          <w:lang w:val="en-US" w:eastAsia="zh-CN"/>
        </w:rPr>
        <w:t>的三水厂的售水量，</w:t>
      </w:r>
      <w:r>
        <w:rPr>
          <w:rFonts w:hint="eastAsia" w:ascii="Times New Roman" w:eastAsia="仿宋" w:cs="Times New Roman"/>
          <w:sz w:val="28"/>
          <w:szCs w:val="28"/>
          <w:highlight w:val="none"/>
          <w:lang w:val="en-US" w:eastAsia="zh-CN"/>
        </w:rPr>
        <w:t>由于四水厂为新建水厂根据委托人提供的四水厂</w:t>
      </w:r>
      <w:r>
        <w:rPr>
          <w:rFonts w:hint="eastAsia" w:ascii="Times New Roman" w:hAnsi="Times New Roman" w:eastAsia="仿宋" w:cs="Times New Roman"/>
          <w:sz w:val="28"/>
          <w:szCs w:val="28"/>
          <w:highlight w:val="none"/>
          <w:lang w:val="en-US" w:eastAsia="zh-CN"/>
        </w:rPr>
        <w:t>2024年1-8月份</w:t>
      </w:r>
      <w:r>
        <w:rPr>
          <w:rFonts w:hint="eastAsia" w:ascii="Times New Roman" w:eastAsia="仿宋" w:cs="Times New Roman"/>
          <w:sz w:val="28"/>
          <w:szCs w:val="28"/>
          <w:highlight w:val="none"/>
          <w:lang w:val="en-US" w:eastAsia="zh-CN"/>
        </w:rPr>
        <w:t>四</w:t>
      </w:r>
      <w:r>
        <w:rPr>
          <w:rFonts w:hint="eastAsia" w:ascii="Times New Roman" w:hAnsi="Times New Roman" w:eastAsia="仿宋" w:cs="Times New Roman"/>
          <w:sz w:val="28"/>
          <w:szCs w:val="28"/>
          <w:highlight w:val="none"/>
          <w:lang w:val="en-US" w:eastAsia="zh-CN"/>
        </w:rPr>
        <w:t>水厂的售水量推算出2024年9-12月份</w:t>
      </w:r>
      <w:r>
        <w:rPr>
          <w:rFonts w:hint="eastAsia" w:ascii="Times New Roman" w:eastAsia="仿宋" w:cs="Times New Roman"/>
          <w:sz w:val="28"/>
          <w:szCs w:val="28"/>
          <w:highlight w:val="none"/>
          <w:lang w:val="en-US" w:eastAsia="zh-CN"/>
        </w:rPr>
        <w:t>及以后年份</w:t>
      </w:r>
      <w:r>
        <w:rPr>
          <w:rFonts w:hint="eastAsia" w:ascii="Times New Roman" w:hAnsi="Times New Roman" w:eastAsia="仿宋" w:cs="Times New Roman"/>
          <w:sz w:val="28"/>
          <w:szCs w:val="28"/>
          <w:highlight w:val="none"/>
          <w:lang w:val="en-US" w:eastAsia="zh-CN"/>
        </w:rPr>
        <w:t>的</w:t>
      </w:r>
      <w:r>
        <w:rPr>
          <w:rFonts w:hint="eastAsia" w:ascii="Times New Roman" w:eastAsia="仿宋" w:cs="Times New Roman"/>
          <w:sz w:val="28"/>
          <w:szCs w:val="28"/>
          <w:highlight w:val="none"/>
          <w:lang w:val="en-US" w:eastAsia="zh-CN"/>
        </w:rPr>
        <w:t>四</w:t>
      </w:r>
      <w:r>
        <w:rPr>
          <w:rFonts w:hint="eastAsia" w:ascii="Times New Roman" w:hAnsi="Times New Roman" w:eastAsia="仿宋" w:cs="Times New Roman"/>
          <w:sz w:val="28"/>
          <w:szCs w:val="28"/>
          <w:highlight w:val="none"/>
          <w:lang w:val="en-US" w:eastAsia="zh-CN"/>
        </w:rPr>
        <w:t>水厂的售水量</w:t>
      </w:r>
      <w:r>
        <w:rPr>
          <w:rFonts w:hint="eastAsia" w:ascii="Times New Roman" w:eastAsia="仿宋" w:cs="Times New Roman"/>
          <w:sz w:val="28"/>
          <w:szCs w:val="28"/>
          <w:highlight w:val="none"/>
          <w:lang w:val="en-US" w:eastAsia="zh-CN"/>
        </w:rPr>
        <w:t>，</w:t>
      </w:r>
      <w:r>
        <w:rPr>
          <w:rFonts w:hint="eastAsia" w:ascii="Times New Roman" w:hAnsi="Times New Roman" w:eastAsia="仿宋" w:cs="Times New Roman"/>
          <w:sz w:val="28"/>
          <w:szCs w:val="28"/>
          <w:highlight w:val="none"/>
          <w:lang w:val="en-US" w:eastAsia="zh-CN"/>
        </w:rPr>
        <w:t>由此可推算出三四水厂售水量，依据现行水价执行政策可得出营业收入如下：</w:t>
      </w:r>
    </w:p>
    <w:p w14:paraId="08D18655">
      <w:pPr>
        <w:pStyle w:val="5"/>
        <w:numPr>
          <w:ilvl w:val="0"/>
          <w:numId w:val="0"/>
        </w:numPr>
        <w:spacing w:line="360" w:lineRule="auto"/>
        <w:ind w:firstLine="400" w:firstLineChars="200"/>
        <w:jc w:val="right"/>
        <w:rPr>
          <w:rFonts w:hint="eastAsia" w:ascii="宋体" w:hAnsi="宋体" w:eastAsia="宋体" w:cs="宋体"/>
          <w:color w:val="000000"/>
          <w:sz w:val="20"/>
          <w:szCs w:val="20"/>
          <w:u w:val="none"/>
          <w:lang w:val="en-US" w:eastAsia="zh-CN" w:bidi="ar"/>
        </w:rPr>
      </w:pPr>
      <w:r>
        <w:rPr>
          <w:rFonts w:hint="eastAsia" w:ascii="宋体" w:hAnsi="宋体" w:eastAsia="宋体" w:cs="宋体"/>
          <w:color w:val="000000"/>
          <w:sz w:val="20"/>
          <w:szCs w:val="20"/>
          <w:u w:val="none"/>
          <w:lang w:val="en-US" w:eastAsia="zh-CN" w:bidi="ar"/>
        </w:rPr>
        <w:t>单位：万元</w:t>
      </w:r>
    </w:p>
    <w:tbl>
      <w:tblPr>
        <w:tblStyle w:val="1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3050"/>
        <w:gridCol w:w="1348"/>
        <w:gridCol w:w="887"/>
        <w:gridCol w:w="887"/>
        <w:gridCol w:w="887"/>
        <w:gridCol w:w="887"/>
        <w:gridCol w:w="887"/>
      </w:tblGrid>
      <w:tr w14:paraId="2EE66F7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C6946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项目名称 </w:t>
            </w:r>
          </w:p>
        </w:tc>
        <w:tc>
          <w:tcPr>
            <w:tcW w:w="76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9AEF9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2024</w:t>
            </w:r>
            <w:r>
              <w:rPr>
                <w:rFonts w:hint="eastAsia" w:ascii="宋体" w:hAnsi="宋体" w:eastAsia="宋体" w:cs="宋体"/>
                <w:i w:val="0"/>
                <w:iCs w:val="0"/>
                <w:color w:val="000000"/>
                <w:kern w:val="0"/>
                <w:sz w:val="18"/>
                <w:szCs w:val="18"/>
                <w:u w:val="none"/>
                <w:lang w:val="en-US" w:eastAsia="zh-CN" w:bidi="ar"/>
              </w:rPr>
              <w:t>年</w:t>
            </w:r>
            <w:r>
              <w:rPr>
                <w:rFonts w:hint="default" w:ascii="Times New Roman" w:hAnsi="Times New Roman" w:eastAsia="宋体" w:cs="Times New Roman"/>
                <w:i w:val="0"/>
                <w:iCs w:val="0"/>
                <w:color w:val="000000"/>
                <w:kern w:val="0"/>
                <w:sz w:val="18"/>
                <w:szCs w:val="18"/>
                <w:u w:val="none"/>
                <w:lang w:val="en-US" w:eastAsia="zh-CN" w:bidi="ar"/>
              </w:rPr>
              <w:t>9-12</w:t>
            </w:r>
            <w:r>
              <w:rPr>
                <w:rFonts w:hint="eastAsia" w:ascii="宋体" w:hAnsi="宋体" w:eastAsia="宋体" w:cs="宋体"/>
                <w:i w:val="0"/>
                <w:iCs w:val="0"/>
                <w:color w:val="000000"/>
                <w:kern w:val="0"/>
                <w:sz w:val="18"/>
                <w:szCs w:val="18"/>
                <w:u w:val="none"/>
                <w:lang w:val="en-US" w:eastAsia="zh-CN" w:bidi="ar"/>
              </w:rPr>
              <w:t>月</w:t>
            </w:r>
          </w:p>
        </w:tc>
        <w:tc>
          <w:tcPr>
            <w:tcW w:w="5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09F5F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2025</w:t>
            </w:r>
            <w:r>
              <w:rPr>
                <w:rFonts w:hint="eastAsia" w:ascii="宋体" w:hAnsi="宋体" w:eastAsia="宋体" w:cs="宋体"/>
                <w:i w:val="0"/>
                <w:iCs w:val="0"/>
                <w:color w:val="000000"/>
                <w:kern w:val="0"/>
                <w:sz w:val="18"/>
                <w:szCs w:val="18"/>
                <w:u w:val="none"/>
                <w:lang w:val="en-US" w:eastAsia="zh-CN" w:bidi="ar"/>
              </w:rPr>
              <w:t>年</w:t>
            </w:r>
          </w:p>
        </w:tc>
        <w:tc>
          <w:tcPr>
            <w:tcW w:w="5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E00AE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2026</w:t>
            </w:r>
            <w:r>
              <w:rPr>
                <w:rFonts w:hint="eastAsia" w:ascii="宋体" w:hAnsi="宋体" w:eastAsia="宋体" w:cs="宋体"/>
                <w:i w:val="0"/>
                <w:iCs w:val="0"/>
                <w:color w:val="000000"/>
                <w:kern w:val="0"/>
                <w:sz w:val="18"/>
                <w:szCs w:val="18"/>
                <w:u w:val="none"/>
                <w:lang w:val="en-US" w:eastAsia="zh-CN" w:bidi="ar"/>
              </w:rPr>
              <w:t>年</w:t>
            </w:r>
          </w:p>
        </w:tc>
        <w:tc>
          <w:tcPr>
            <w:tcW w:w="5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11ED6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2027</w:t>
            </w:r>
            <w:r>
              <w:rPr>
                <w:rFonts w:hint="eastAsia" w:ascii="宋体" w:hAnsi="宋体" w:eastAsia="宋体" w:cs="宋体"/>
                <w:i w:val="0"/>
                <w:iCs w:val="0"/>
                <w:color w:val="000000"/>
                <w:kern w:val="0"/>
                <w:sz w:val="18"/>
                <w:szCs w:val="18"/>
                <w:u w:val="none"/>
                <w:lang w:val="en-US" w:eastAsia="zh-CN" w:bidi="ar"/>
              </w:rPr>
              <w:t>年</w:t>
            </w:r>
          </w:p>
        </w:tc>
        <w:tc>
          <w:tcPr>
            <w:tcW w:w="5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B8626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2028</w:t>
            </w:r>
            <w:r>
              <w:rPr>
                <w:rFonts w:hint="eastAsia" w:ascii="宋体" w:hAnsi="宋体" w:eastAsia="宋体" w:cs="宋体"/>
                <w:i w:val="0"/>
                <w:iCs w:val="0"/>
                <w:color w:val="000000"/>
                <w:kern w:val="0"/>
                <w:sz w:val="18"/>
                <w:szCs w:val="18"/>
                <w:u w:val="none"/>
                <w:lang w:val="en-US" w:eastAsia="zh-CN" w:bidi="ar"/>
              </w:rPr>
              <w:t>年</w:t>
            </w:r>
          </w:p>
        </w:tc>
        <w:tc>
          <w:tcPr>
            <w:tcW w:w="5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AA1DF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2029</w:t>
            </w:r>
            <w:r>
              <w:rPr>
                <w:rFonts w:hint="eastAsia" w:ascii="宋体" w:hAnsi="宋体" w:eastAsia="宋体" w:cs="宋体"/>
                <w:i w:val="0"/>
                <w:iCs w:val="0"/>
                <w:color w:val="000000"/>
                <w:kern w:val="0"/>
                <w:sz w:val="18"/>
                <w:szCs w:val="18"/>
                <w:u w:val="none"/>
                <w:lang w:val="en-US" w:eastAsia="zh-CN" w:bidi="ar"/>
              </w:rPr>
              <w:t>年</w:t>
            </w:r>
          </w:p>
        </w:tc>
      </w:tr>
      <w:tr w14:paraId="7DDBBCF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976112">
            <w:pPr>
              <w:keepNext w:val="0"/>
              <w:keepLines w:val="0"/>
              <w:widowControl/>
              <w:suppressLineNumbers w:val="0"/>
              <w:jc w:val="left"/>
              <w:textAlignment w:val="center"/>
              <w:rPr>
                <w:rFonts w:hint="eastAsia" w:ascii="宋体" w:hAnsi="宋体" w:eastAsia="宋体" w:cs="宋体"/>
                <w:b/>
                <w:bCs/>
                <w:i w:val="0"/>
                <w:iCs w:val="0"/>
                <w:color w:val="000000"/>
                <w:sz w:val="18"/>
                <w:szCs w:val="18"/>
                <w:u w:val="none"/>
              </w:rPr>
            </w:pPr>
            <w:r>
              <w:rPr>
                <w:rFonts w:hint="eastAsia" w:ascii="宋体" w:hAnsi="宋体" w:eastAsia="宋体" w:cs="宋体"/>
                <w:b/>
                <w:bCs/>
                <w:i w:val="0"/>
                <w:iCs w:val="0"/>
                <w:color w:val="000000"/>
                <w:kern w:val="0"/>
                <w:sz w:val="18"/>
                <w:szCs w:val="18"/>
                <w:u w:val="none"/>
                <w:lang w:val="en-US" w:eastAsia="zh-CN" w:bidi="ar"/>
              </w:rPr>
              <w:t xml:space="preserve"> 主营业务收入合计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C0E946">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878.48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E95C7D">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2,635.46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56268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2,635.46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C49E30">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2,635.46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60D6AF">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2,780.36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CF6D3F">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2,780.36 </w:t>
            </w:r>
          </w:p>
        </w:tc>
      </w:tr>
      <w:tr w14:paraId="126E036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5BA1E0">
            <w:pPr>
              <w:keepNext w:val="0"/>
              <w:keepLines w:val="0"/>
              <w:widowControl/>
              <w:suppressLineNumbers w:val="0"/>
              <w:jc w:val="left"/>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 </w:t>
            </w:r>
            <w:r>
              <w:rPr>
                <w:rFonts w:hint="eastAsia" w:ascii="宋体" w:hAnsi="宋体" w:eastAsia="宋体" w:cs="宋体"/>
                <w:b/>
                <w:bCs/>
                <w:i w:val="0"/>
                <w:iCs w:val="0"/>
                <w:color w:val="000000"/>
                <w:kern w:val="0"/>
                <w:sz w:val="18"/>
                <w:szCs w:val="18"/>
                <w:u w:val="none"/>
                <w:lang w:val="en-US" w:eastAsia="zh-CN" w:bidi="ar"/>
              </w:rPr>
              <w:t xml:space="preserve">1、三水厂居民用水收入（不含税）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58B8A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429.05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453859">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1,287.16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1B2E70">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1,287.16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AB2608">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1,287.16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5CB00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1,364.39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E697C8">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1,364.39 </w:t>
            </w:r>
          </w:p>
        </w:tc>
      </w:tr>
      <w:tr w14:paraId="4AF71E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3"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E3D936">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w:t>
            </w:r>
            <w:r>
              <w:rPr>
                <w:rFonts w:hint="default" w:ascii="Times New Roman" w:hAnsi="Times New Roman" w:eastAsia="宋体" w:cs="Times New Roman"/>
                <w:i w:val="0"/>
                <w:iCs w:val="0"/>
                <w:color w:val="000000"/>
                <w:kern w:val="0"/>
                <w:sz w:val="18"/>
                <w:szCs w:val="18"/>
                <w:u w:val="none"/>
                <w:lang w:val="en-US" w:eastAsia="zh-CN" w:bidi="ar"/>
              </w:rPr>
              <w:t>量</w:t>
            </w:r>
            <w:r>
              <w:rPr>
                <w:rFonts w:hint="eastAsia" w:ascii="宋体" w:hAnsi="宋体" w:eastAsia="宋体" w:cs="宋体"/>
                <w:i w:val="0"/>
                <w:iCs w:val="0"/>
                <w:color w:val="000000"/>
                <w:kern w:val="0"/>
                <w:sz w:val="18"/>
                <w:szCs w:val="18"/>
                <w:u w:val="none"/>
                <w:lang w:val="en-US" w:eastAsia="zh-CN" w:bidi="ar"/>
              </w:rPr>
              <w:t>(单位：万</w:t>
            </w:r>
            <w:r>
              <w:rPr>
                <w:rFonts w:hint="default" w:ascii="Times New Roman" w:hAnsi="Times New Roman" w:eastAsia="宋体" w:cs="Times New Roman"/>
                <w:i w:val="0"/>
                <w:iCs w:val="0"/>
                <w:color w:val="000000"/>
                <w:kern w:val="0"/>
                <w:sz w:val="18"/>
                <w:szCs w:val="18"/>
                <w:u w:val="none"/>
                <w:lang w:val="en-US" w:eastAsia="zh-CN" w:bidi="ar"/>
              </w:rPr>
              <w:t xml:space="preserve">吨)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6EE06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153.45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E4CA5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460.34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15D1C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460.34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27983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460.34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00B8E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487.96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5DE57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487.96 </w:t>
            </w:r>
          </w:p>
        </w:tc>
      </w:tr>
      <w:tr w14:paraId="519FC05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63C344">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销售单</w:t>
            </w:r>
            <w:r>
              <w:rPr>
                <w:rFonts w:hint="default" w:ascii="Times New Roman" w:hAnsi="Times New Roman" w:eastAsia="宋体" w:cs="Times New Roman"/>
                <w:i w:val="0"/>
                <w:iCs w:val="0"/>
                <w:color w:val="000000"/>
                <w:kern w:val="0"/>
                <w:sz w:val="18"/>
                <w:szCs w:val="18"/>
                <w:u w:val="none"/>
                <w:lang w:val="en-US" w:eastAsia="zh-CN" w:bidi="ar"/>
              </w:rPr>
              <w:t>价</w:t>
            </w:r>
            <w:r>
              <w:rPr>
                <w:rFonts w:hint="eastAsia" w:ascii="宋体" w:hAnsi="宋体" w:eastAsia="宋体" w:cs="宋体"/>
                <w:i w:val="0"/>
                <w:iCs w:val="0"/>
                <w:color w:val="000000"/>
                <w:kern w:val="0"/>
                <w:sz w:val="18"/>
                <w:szCs w:val="18"/>
                <w:u w:val="none"/>
                <w:lang w:val="en-US" w:eastAsia="zh-CN" w:bidi="ar"/>
              </w:rPr>
              <w:t>(单位：</w:t>
            </w:r>
            <w:r>
              <w:rPr>
                <w:rFonts w:hint="default" w:ascii="Times New Roman" w:hAnsi="Times New Roman" w:eastAsia="宋体" w:cs="Times New Roman"/>
                <w:i w:val="0"/>
                <w:iCs w:val="0"/>
                <w:color w:val="000000"/>
                <w:kern w:val="0"/>
                <w:sz w:val="18"/>
                <w:szCs w:val="18"/>
                <w:u w:val="none"/>
                <w:lang w:val="en-US" w:eastAsia="zh-CN" w:bidi="ar"/>
              </w:rPr>
              <w:t xml:space="preserve">元)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D90AB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2.88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F353F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2.88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2D3E9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2.88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81C50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2.88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7A3D1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2.88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05834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2.88 </w:t>
            </w:r>
          </w:p>
        </w:tc>
      </w:tr>
      <w:tr w14:paraId="3B5C753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F1E5FA">
            <w:pPr>
              <w:keepNext w:val="0"/>
              <w:keepLines w:val="0"/>
              <w:widowControl/>
              <w:suppressLineNumbers w:val="0"/>
              <w:jc w:val="left"/>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 </w:t>
            </w:r>
            <w:r>
              <w:rPr>
                <w:rFonts w:hint="eastAsia" w:ascii="宋体" w:hAnsi="宋体" w:eastAsia="宋体" w:cs="宋体"/>
                <w:b/>
                <w:bCs/>
                <w:i w:val="0"/>
                <w:iCs w:val="0"/>
                <w:color w:val="000000"/>
                <w:kern w:val="0"/>
                <w:sz w:val="18"/>
                <w:szCs w:val="18"/>
                <w:u w:val="none"/>
                <w:lang w:val="en-US" w:eastAsia="zh-CN" w:bidi="ar"/>
              </w:rPr>
              <w:t xml:space="preserve">2、三水厂非居民用水收入（不含税）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FB558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102.21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0AA022">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306.62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5636E6">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306.62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EC35D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306.62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D17138">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311.80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02023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311.80 </w:t>
            </w:r>
          </w:p>
        </w:tc>
      </w:tr>
      <w:tr w14:paraId="09B8AE2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C14D6A">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w:t>
            </w:r>
            <w:r>
              <w:rPr>
                <w:rFonts w:hint="default" w:ascii="Times New Roman" w:hAnsi="Times New Roman" w:eastAsia="宋体" w:cs="Times New Roman"/>
                <w:i w:val="0"/>
                <w:iCs w:val="0"/>
                <w:color w:val="000000"/>
                <w:kern w:val="0"/>
                <w:sz w:val="18"/>
                <w:szCs w:val="18"/>
                <w:u w:val="none"/>
                <w:lang w:val="en-US" w:eastAsia="zh-CN" w:bidi="ar"/>
              </w:rPr>
              <w:t>量</w:t>
            </w:r>
            <w:r>
              <w:rPr>
                <w:rFonts w:hint="eastAsia" w:ascii="宋体" w:hAnsi="宋体" w:eastAsia="宋体" w:cs="宋体"/>
                <w:i w:val="0"/>
                <w:iCs w:val="0"/>
                <w:color w:val="000000"/>
                <w:kern w:val="0"/>
                <w:sz w:val="18"/>
                <w:szCs w:val="18"/>
                <w:u w:val="none"/>
                <w:lang w:val="en-US" w:eastAsia="zh-CN" w:bidi="ar"/>
              </w:rPr>
              <w:t>(单位：万</w:t>
            </w:r>
            <w:r>
              <w:rPr>
                <w:rFonts w:hint="default" w:ascii="Times New Roman" w:hAnsi="Times New Roman" w:eastAsia="宋体" w:cs="Times New Roman"/>
                <w:i w:val="0"/>
                <w:iCs w:val="0"/>
                <w:color w:val="000000"/>
                <w:kern w:val="0"/>
                <w:sz w:val="18"/>
                <w:szCs w:val="18"/>
                <w:u w:val="none"/>
                <w:lang w:val="en-US" w:eastAsia="zh-CN" w:bidi="ar"/>
              </w:rPr>
              <w:t xml:space="preserve">吨)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E831A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20.93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D96B1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62.79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C6467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62.79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00DFA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62.79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1C4B1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63.85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13FF3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63.85 </w:t>
            </w:r>
          </w:p>
        </w:tc>
      </w:tr>
      <w:tr w14:paraId="53ECEA9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7A9DCA">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销售单</w:t>
            </w:r>
            <w:r>
              <w:rPr>
                <w:rFonts w:hint="default" w:ascii="Times New Roman" w:hAnsi="Times New Roman" w:eastAsia="宋体" w:cs="Times New Roman"/>
                <w:i w:val="0"/>
                <w:iCs w:val="0"/>
                <w:color w:val="000000"/>
                <w:kern w:val="0"/>
                <w:sz w:val="18"/>
                <w:szCs w:val="18"/>
                <w:u w:val="none"/>
                <w:lang w:val="en-US" w:eastAsia="zh-CN" w:bidi="ar"/>
              </w:rPr>
              <w:t>价</w:t>
            </w:r>
            <w:r>
              <w:rPr>
                <w:rFonts w:hint="eastAsia" w:ascii="宋体" w:hAnsi="宋体" w:eastAsia="宋体" w:cs="宋体"/>
                <w:i w:val="0"/>
                <w:iCs w:val="0"/>
                <w:color w:val="000000"/>
                <w:kern w:val="0"/>
                <w:sz w:val="18"/>
                <w:szCs w:val="18"/>
                <w:u w:val="none"/>
                <w:lang w:val="en-US" w:eastAsia="zh-CN" w:bidi="ar"/>
              </w:rPr>
              <w:t>(单位：</w:t>
            </w:r>
            <w:r>
              <w:rPr>
                <w:rFonts w:hint="default" w:ascii="Times New Roman" w:hAnsi="Times New Roman" w:eastAsia="宋体" w:cs="Times New Roman"/>
                <w:i w:val="0"/>
                <w:iCs w:val="0"/>
                <w:color w:val="000000"/>
                <w:kern w:val="0"/>
                <w:sz w:val="18"/>
                <w:szCs w:val="18"/>
                <w:u w:val="none"/>
                <w:lang w:val="en-US" w:eastAsia="zh-CN" w:bidi="ar"/>
              </w:rPr>
              <w:t xml:space="preserve">元)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19ECA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FD6BC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FB9F6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2DA59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356F9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83D51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5.03 </w:t>
            </w:r>
          </w:p>
        </w:tc>
      </w:tr>
      <w:tr w14:paraId="71A5B32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F164CF">
            <w:pPr>
              <w:keepNext w:val="0"/>
              <w:keepLines w:val="0"/>
              <w:widowControl/>
              <w:suppressLineNumbers w:val="0"/>
              <w:jc w:val="left"/>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 </w:t>
            </w:r>
            <w:r>
              <w:rPr>
                <w:rFonts w:hint="eastAsia" w:ascii="宋体" w:hAnsi="宋体" w:eastAsia="宋体" w:cs="宋体"/>
                <w:b/>
                <w:bCs/>
                <w:i w:val="0"/>
                <w:iCs w:val="0"/>
                <w:color w:val="000000"/>
                <w:kern w:val="0"/>
                <w:sz w:val="18"/>
                <w:szCs w:val="18"/>
                <w:u w:val="none"/>
                <w:lang w:val="en-US" w:eastAsia="zh-CN" w:bidi="ar"/>
              </w:rPr>
              <w:t xml:space="preserve">3、三水厂特行用水收入（不含税）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99F721">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0.88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7F9EDC">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2.65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219D9E">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2.65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E4CBD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2.65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6CAACD">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2.81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16434C">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2.81 </w:t>
            </w:r>
          </w:p>
        </w:tc>
      </w:tr>
      <w:tr w14:paraId="3A915F1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DF5AAD">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w:t>
            </w:r>
            <w:r>
              <w:rPr>
                <w:rFonts w:hint="default" w:ascii="Times New Roman" w:hAnsi="Times New Roman" w:eastAsia="宋体" w:cs="Times New Roman"/>
                <w:i w:val="0"/>
                <w:iCs w:val="0"/>
                <w:color w:val="000000"/>
                <w:kern w:val="0"/>
                <w:sz w:val="18"/>
                <w:szCs w:val="18"/>
                <w:u w:val="none"/>
                <w:lang w:val="en-US" w:eastAsia="zh-CN" w:bidi="ar"/>
              </w:rPr>
              <w:t>量</w:t>
            </w:r>
            <w:r>
              <w:rPr>
                <w:rFonts w:hint="eastAsia" w:ascii="宋体" w:hAnsi="宋体" w:eastAsia="宋体" w:cs="宋体"/>
                <w:i w:val="0"/>
                <w:iCs w:val="0"/>
                <w:color w:val="000000"/>
                <w:kern w:val="0"/>
                <w:sz w:val="18"/>
                <w:szCs w:val="18"/>
                <w:u w:val="none"/>
                <w:lang w:val="en-US" w:eastAsia="zh-CN" w:bidi="ar"/>
              </w:rPr>
              <w:t>(单位：万</w:t>
            </w:r>
            <w:r>
              <w:rPr>
                <w:rFonts w:hint="default" w:ascii="Times New Roman" w:hAnsi="Times New Roman" w:eastAsia="宋体" w:cs="Times New Roman"/>
                <w:i w:val="0"/>
                <w:iCs w:val="0"/>
                <w:color w:val="000000"/>
                <w:kern w:val="0"/>
                <w:sz w:val="18"/>
                <w:szCs w:val="18"/>
                <w:u w:val="none"/>
                <w:lang w:val="en-US" w:eastAsia="zh-CN" w:bidi="ar"/>
              </w:rPr>
              <w:t xml:space="preserve">吨)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96AC1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0.03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7C708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9413D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CC589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902A6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0.11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C3846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0.11 </w:t>
            </w:r>
          </w:p>
        </w:tc>
      </w:tr>
      <w:tr w14:paraId="38D2B69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6F90F0">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销售单</w:t>
            </w:r>
            <w:r>
              <w:rPr>
                <w:rFonts w:hint="default" w:ascii="Times New Roman" w:hAnsi="Times New Roman" w:eastAsia="宋体" w:cs="Times New Roman"/>
                <w:i w:val="0"/>
                <w:iCs w:val="0"/>
                <w:color w:val="000000"/>
                <w:kern w:val="0"/>
                <w:sz w:val="18"/>
                <w:szCs w:val="18"/>
                <w:u w:val="none"/>
                <w:lang w:val="en-US" w:eastAsia="zh-CN" w:bidi="ar"/>
              </w:rPr>
              <w:t>价</w:t>
            </w:r>
            <w:r>
              <w:rPr>
                <w:rFonts w:hint="eastAsia" w:ascii="宋体" w:hAnsi="宋体" w:eastAsia="宋体" w:cs="宋体"/>
                <w:i w:val="0"/>
                <w:iCs w:val="0"/>
                <w:color w:val="000000"/>
                <w:kern w:val="0"/>
                <w:sz w:val="18"/>
                <w:szCs w:val="18"/>
                <w:u w:val="none"/>
                <w:lang w:val="en-US" w:eastAsia="zh-CN" w:bidi="ar"/>
              </w:rPr>
              <w:t>(单位：</w:t>
            </w:r>
            <w:r>
              <w:rPr>
                <w:rFonts w:hint="default" w:ascii="Times New Roman" w:hAnsi="Times New Roman" w:eastAsia="宋体" w:cs="Times New Roman"/>
                <w:i w:val="0"/>
                <w:iCs w:val="0"/>
                <w:color w:val="000000"/>
                <w:kern w:val="0"/>
                <w:sz w:val="18"/>
                <w:szCs w:val="18"/>
                <w:u w:val="none"/>
                <w:lang w:val="en-US" w:eastAsia="zh-CN" w:bidi="ar"/>
              </w:rPr>
              <w:t xml:space="preserve">元)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20FE6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300B2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9ADB0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5D1B7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B3B2A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A9C1B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26.10 </w:t>
            </w:r>
          </w:p>
        </w:tc>
      </w:tr>
      <w:tr w14:paraId="0872BFA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A286DE">
            <w:pPr>
              <w:keepNext w:val="0"/>
              <w:keepLines w:val="0"/>
              <w:widowControl/>
              <w:suppressLineNumbers w:val="0"/>
              <w:jc w:val="left"/>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 </w:t>
            </w:r>
            <w:r>
              <w:rPr>
                <w:rFonts w:hint="eastAsia" w:ascii="宋体" w:hAnsi="宋体" w:eastAsia="宋体" w:cs="宋体"/>
                <w:b/>
                <w:bCs/>
                <w:i w:val="0"/>
                <w:iCs w:val="0"/>
                <w:color w:val="000000"/>
                <w:kern w:val="0"/>
                <w:sz w:val="18"/>
                <w:szCs w:val="18"/>
                <w:u w:val="none"/>
                <w:lang w:val="en-US" w:eastAsia="zh-CN" w:bidi="ar"/>
              </w:rPr>
              <w:t xml:space="preserve">4、四水厂农村用水（免税）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B5E97D">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346.34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4EFED9">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1,039.02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89AB8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1,039.02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07022F">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1,039.02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793E15">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1,101.37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8155C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 xml:space="preserve">1,101.37 </w:t>
            </w:r>
          </w:p>
        </w:tc>
      </w:tr>
      <w:tr w14:paraId="53E7C2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F30509">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w:t>
            </w:r>
            <w:r>
              <w:rPr>
                <w:rFonts w:hint="default" w:ascii="Times New Roman" w:hAnsi="Times New Roman" w:eastAsia="宋体" w:cs="Times New Roman"/>
                <w:i w:val="0"/>
                <w:iCs w:val="0"/>
                <w:color w:val="000000"/>
                <w:kern w:val="0"/>
                <w:sz w:val="18"/>
                <w:szCs w:val="18"/>
                <w:u w:val="none"/>
                <w:lang w:val="en-US" w:eastAsia="zh-CN" w:bidi="ar"/>
              </w:rPr>
              <w:t>量</w:t>
            </w:r>
            <w:r>
              <w:rPr>
                <w:rFonts w:hint="eastAsia" w:ascii="宋体" w:hAnsi="宋体" w:eastAsia="宋体" w:cs="宋体"/>
                <w:i w:val="0"/>
                <w:iCs w:val="0"/>
                <w:color w:val="000000"/>
                <w:kern w:val="0"/>
                <w:sz w:val="18"/>
                <w:szCs w:val="18"/>
                <w:u w:val="none"/>
                <w:lang w:val="en-US" w:eastAsia="zh-CN" w:bidi="ar"/>
              </w:rPr>
              <w:t>(单位：万</w:t>
            </w:r>
            <w:r>
              <w:rPr>
                <w:rFonts w:hint="default" w:ascii="Times New Roman" w:hAnsi="Times New Roman" w:eastAsia="宋体" w:cs="Times New Roman"/>
                <w:i w:val="0"/>
                <w:iCs w:val="0"/>
                <w:color w:val="000000"/>
                <w:kern w:val="0"/>
                <w:sz w:val="18"/>
                <w:szCs w:val="18"/>
                <w:u w:val="none"/>
                <w:lang w:val="en-US" w:eastAsia="zh-CN" w:bidi="ar"/>
              </w:rPr>
              <w:t xml:space="preserve">吨)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CA673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164.92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3BABC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494.77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0C169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494.77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FEDDF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494.77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9A70E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524.46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27460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524.46 </w:t>
            </w:r>
          </w:p>
        </w:tc>
      </w:tr>
      <w:tr w14:paraId="665BBF4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7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731EB0">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销售单</w:t>
            </w:r>
            <w:r>
              <w:rPr>
                <w:rFonts w:hint="default" w:ascii="Times New Roman" w:hAnsi="Times New Roman" w:eastAsia="宋体" w:cs="Times New Roman"/>
                <w:i w:val="0"/>
                <w:iCs w:val="0"/>
                <w:color w:val="000000"/>
                <w:kern w:val="0"/>
                <w:sz w:val="18"/>
                <w:szCs w:val="18"/>
                <w:u w:val="none"/>
                <w:lang w:val="en-US" w:eastAsia="zh-CN" w:bidi="ar"/>
              </w:rPr>
              <w:t>价</w:t>
            </w:r>
            <w:r>
              <w:rPr>
                <w:rFonts w:hint="eastAsia" w:ascii="宋体" w:hAnsi="宋体" w:eastAsia="宋体" w:cs="宋体"/>
                <w:i w:val="0"/>
                <w:iCs w:val="0"/>
                <w:color w:val="000000"/>
                <w:kern w:val="0"/>
                <w:sz w:val="18"/>
                <w:szCs w:val="18"/>
                <w:u w:val="none"/>
                <w:lang w:val="en-US" w:eastAsia="zh-CN" w:bidi="ar"/>
              </w:rPr>
              <w:t>(单位：</w:t>
            </w:r>
            <w:r>
              <w:rPr>
                <w:rFonts w:hint="default" w:ascii="Times New Roman" w:hAnsi="Times New Roman" w:eastAsia="宋体" w:cs="Times New Roman"/>
                <w:i w:val="0"/>
                <w:iCs w:val="0"/>
                <w:color w:val="000000"/>
                <w:kern w:val="0"/>
                <w:sz w:val="18"/>
                <w:szCs w:val="18"/>
                <w:u w:val="none"/>
                <w:lang w:val="en-US" w:eastAsia="zh-CN" w:bidi="ar"/>
              </w:rPr>
              <w:t xml:space="preserve">元) </w:t>
            </w:r>
          </w:p>
        </w:tc>
        <w:tc>
          <w:tcPr>
            <w:tcW w:w="13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EEC6B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FD63A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98BBF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9A88E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32D49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2.10 </w:t>
            </w:r>
          </w:p>
        </w:tc>
        <w:tc>
          <w:tcPr>
            <w:tcW w:w="88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02A6E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2.10 </w:t>
            </w:r>
          </w:p>
        </w:tc>
      </w:tr>
    </w:tbl>
    <w:p w14:paraId="1C7B8ABC">
      <w:pPr>
        <w:pStyle w:val="7"/>
        <w:ind w:firstLine="560" w:firstLineChars="200"/>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rPr>
        <w:t>20</w:t>
      </w:r>
      <w:r>
        <w:rPr>
          <w:rFonts w:hint="eastAsia" w:ascii="Times New Roman" w:eastAsia="仿宋" w:cs="Times New Roman"/>
          <w:sz w:val="28"/>
          <w:szCs w:val="28"/>
          <w:highlight w:val="none"/>
          <w:lang w:val="en-US" w:eastAsia="zh-CN"/>
        </w:rPr>
        <w:t>29</w:t>
      </w:r>
      <w:r>
        <w:rPr>
          <w:rFonts w:hint="default" w:ascii="Times New Roman" w:hAnsi="Times New Roman" w:eastAsia="仿宋" w:cs="Times New Roman"/>
          <w:sz w:val="28"/>
          <w:szCs w:val="28"/>
          <w:highlight w:val="none"/>
        </w:rPr>
        <w:t>年及以后各年度均保持20</w:t>
      </w:r>
      <w:r>
        <w:rPr>
          <w:rFonts w:hint="eastAsia" w:ascii="Times New Roman" w:eastAsia="仿宋" w:cs="Times New Roman"/>
          <w:sz w:val="28"/>
          <w:szCs w:val="28"/>
          <w:highlight w:val="none"/>
          <w:lang w:val="en-US" w:eastAsia="zh-CN"/>
        </w:rPr>
        <w:t>28</w:t>
      </w:r>
      <w:r>
        <w:rPr>
          <w:rFonts w:hint="default" w:ascii="Times New Roman" w:hAnsi="Times New Roman" w:eastAsia="仿宋" w:cs="Times New Roman"/>
          <w:sz w:val="28"/>
          <w:szCs w:val="28"/>
          <w:highlight w:val="none"/>
        </w:rPr>
        <w:t>年度的水平稳定不变。</w:t>
      </w:r>
    </w:p>
    <w:p w14:paraId="2B8EC682">
      <w:pPr>
        <w:pStyle w:val="5"/>
        <w:numPr>
          <w:ilvl w:val="0"/>
          <w:numId w:val="2"/>
        </w:numPr>
        <w:spacing w:line="360" w:lineRule="auto"/>
        <w:ind w:firstLine="560" w:firstLineChars="200"/>
        <w:rPr>
          <w:rFonts w:hint="default" w:ascii="Times New Roman" w:hAnsi="Times New Roman" w:eastAsia="仿宋" w:cs="Times New Roman"/>
          <w:sz w:val="28"/>
          <w:szCs w:val="28"/>
          <w:highlight w:val="none"/>
          <w:lang w:val="en-US" w:eastAsia="zh-CN"/>
        </w:rPr>
      </w:pPr>
      <w:r>
        <w:rPr>
          <w:rFonts w:hint="eastAsia" w:ascii="Times New Roman" w:hAnsi="Times New Roman" w:eastAsia="仿宋" w:cs="Times New Roman"/>
          <w:sz w:val="28"/>
          <w:szCs w:val="28"/>
          <w:highlight w:val="none"/>
          <w:lang w:val="en-US" w:eastAsia="zh-CN"/>
        </w:rPr>
        <w:t>营业</w:t>
      </w:r>
      <w:r>
        <w:rPr>
          <w:rFonts w:hint="default" w:ascii="Times New Roman" w:hAnsi="Times New Roman" w:eastAsia="仿宋" w:cs="Times New Roman"/>
          <w:sz w:val="28"/>
          <w:szCs w:val="28"/>
          <w:highlight w:val="none"/>
          <w:lang w:val="en-US" w:eastAsia="zh-CN"/>
        </w:rPr>
        <w:t>成本</w:t>
      </w:r>
    </w:p>
    <w:p w14:paraId="75FD20E2">
      <w:pPr>
        <w:pStyle w:val="5"/>
        <w:numPr>
          <w:ilvl w:val="0"/>
          <w:numId w:val="0"/>
        </w:numPr>
        <w:spacing w:line="360" w:lineRule="auto"/>
        <w:ind w:firstLine="560" w:firstLineChars="200"/>
        <w:rPr>
          <w:rFonts w:hint="eastAsia" w:ascii="Times New Roman" w:hAnsi="Times New Roman" w:eastAsia="仿宋" w:cs="Times New Roman"/>
          <w:sz w:val="28"/>
          <w:szCs w:val="28"/>
          <w:highlight w:val="none"/>
          <w:lang w:val="en-US" w:eastAsia="zh-CN"/>
        </w:rPr>
      </w:pPr>
      <w:r>
        <w:rPr>
          <w:rFonts w:hint="eastAsia" w:ascii="Times New Roman" w:hAnsi="Times New Roman" w:eastAsia="仿宋" w:cs="Times New Roman"/>
          <w:sz w:val="28"/>
          <w:szCs w:val="28"/>
          <w:highlight w:val="none"/>
          <w:lang w:val="en-US" w:eastAsia="zh-CN"/>
        </w:rPr>
        <w:t>根据委托人提供的</w:t>
      </w:r>
      <w:r>
        <w:rPr>
          <w:rFonts w:hint="eastAsia" w:ascii="Times New Roman" w:eastAsia="仿宋" w:cs="Times New Roman"/>
          <w:sz w:val="28"/>
          <w:szCs w:val="28"/>
          <w:highlight w:val="none"/>
          <w:lang w:val="en-US" w:eastAsia="zh-CN"/>
        </w:rPr>
        <w:t>2022年、2023年和</w:t>
      </w:r>
      <w:r>
        <w:rPr>
          <w:rFonts w:hint="eastAsia" w:ascii="Times New Roman" w:hAnsi="Times New Roman" w:eastAsia="仿宋" w:cs="Times New Roman"/>
          <w:sz w:val="28"/>
          <w:szCs w:val="28"/>
          <w:highlight w:val="none"/>
          <w:lang w:val="en-US" w:eastAsia="zh-CN"/>
        </w:rPr>
        <w:t>2024年1-8月份的成本数据得出三四水厂单位成本如下：</w:t>
      </w:r>
    </w:p>
    <w:p w14:paraId="2A2DC92B">
      <w:pPr>
        <w:pStyle w:val="5"/>
        <w:numPr>
          <w:ilvl w:val="0"/>
          <w:numId w:val="0"/>
        </w:numPr>
        <w:spacing w:line="360" w:lineRule="auto"/>
        <w:ind w:firstLine="560" w:firstLineChars="200"/>
        <w:jc w:val="center"/>
        <w:rPr>
          <w:rFonts w:hint="default" w:ascii="宋体" w:hAnsi="宋体" w:eastAsia="宋体" w:cs="宋体"/>
          <w:color w:val="000000"/>
          <w:sz w:val="28"/>
          <w:szCs w:val="28"/>
          <w:u w:val="none"/>
          <w:lang w:val="en-US" w:eastAsia="zh-CN" w:bidi="ar"/>
        </w:rPr>
      </w:pPr>
      <w:r>
        <w:rPr>
          <w:rFonts w:hint="eastAsia" w:ascii="宋体" w:hAnsi="宋体" w:eastAsia="宋体" w:cs="宋体"/>
          <w:color w:val="000000"/>
          <w:sz w:val="28"/>
          <w:szCs w:val="28"/>
          <w:u w:val="none"/>
          <w:lang w:val="en-US" w:eastAsia="zh-CN" w:bidi="ar"/>
        </w:rPr>
        <w:t>三水厂单位成本</w:t>
      </w:r>
    </w:p>
    <w:p w14:paraId="045DA95A">
      <w:pPr>
        <w:pStyle w:val="5"/>
        <w:numPr>
          <w:ilvl w:val="0"/>
          <w:numId w:val="0"/>
        </w:numPr>
        <w:spacing w:line="360" w:lineRule="auto"/>
        <w:ind w:firstLine="400" w:firstLineChars="200"/>
        <w:jc w:val="right"/>
        <w:rPr>
          <w:rFonts w:hint="eastAsia" w:ascii="宋体" w:hAnsi="宋体" w:eastAsia="宋体" w:cs="宋体"/>
          <w:color w:val="000000"/>
          <w:sz w:val="20"/>
          <w:szCs w:val="20"/>
          <w:u w:val="none"/>
          <w:lang w:val="en-US" w:eastAsia="zh-CN" w:bidi="ar"/>
        </w:rPr>
      </w:pPr>
      <w:r>
        <w:rPr>
          <w:rFonts w:hint="eastAsia" w:ascii="宋体" w:hAnsi="宋体" w:eastAsia="宋体" w:cs="宋体"/>
          <w:color w:val="000000"/>
          <w:sz w:val="20"/>
          <w:szCs w:val="20"/>
          <w:u w:val="none"/>
          <w:lang w:val="en-US" w:eastAsia="zh-CN" w:bidi="ar"/>
        </w:rPr>
        <w:t>单位：元/m³</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661"/>
        <w:gridCol w:w="1265"/>
        <w:gridCol w:w="977"/>
        <w:gridCol w:w="977"/>
        <w:gridCol w:w="1460"/>
        <w:gridCol w:w="1244"/>
        <w:gridCol w:w="1244"/>
      </w:tblGrid>
      <w:tr w14:paraId="3ADD60C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3" w:hRule="atLeast"/>
        </w:trPr>
        <w:tc>
          <w:tcPr>
            <w:tcW w:w="94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BF1415">
            <w:pPr>
              <w:widowControl/>
              <w:jc w:val="center"/>
              <w:textAlignment w:val="center"/>
              <w:rPr>
                <w:rFonts w:hint="eastAsia"/>
              </w:rPr>
            </w:pPr>
            <w:r>
              <w:rPr>
                <w:rFonts w:hint="eastAsia" w:ascii="宋体" w:hAnsi="宋体" w:eastAsia="宋体" w:cs="宋体"/>
                <w:i w:val="0"/>
                <w:iCs w:val="0"/>
                <w:color w:val="000000"/>
                <w:kern w:val="0"/>
                <w:sz w:val="20"/>
                <w:szCs w:val="20"/>
                <w:u w:val="none"/>
                <w:lang w:val="en-US" w:eastAsia="zh-CN" w:bidi="ar"/>
              </w:rPr>
              <w:t>名称</w:t>
            </w:r>
          </w:p>
        </w:tc>
        <w:tc>
          <w:tcPr>
            <w:tcW w:w="71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4B127B">
            <w:pPr>
              <w:keepNext w:val="0"/>
              <w:keepLines w:val="0"/>
              <w:widowControl/>
              <w:suppressLineNumbers w:val="0"/>
              <w:jc w:val="center"/>
              <w:textAlignment w:val="center"/>
              <w:rPr>
                <w:rFonts w:hint="default" w:ascii="宋体" w:hAnsi="宋体" w:eastAsia="宋体" w:cs="宋体"/>
                <w:i w:val="0"/>
                <w:iCs w:val="0"/>
                <w:color w:val="auto"/>
                <w:sz w:val="20"/>
                <w:szCs w:val="20"/>
                <w:u w:val="none"/>
                <w:lang w:val="en-US"/>
              </w:rPr>
            </w:pPr>
            <w:r>
              <w:rPr>
                <w:rFonts w:hint="eastAsia" w:ascii="宋体" w:hAnsi="宋体" w:eastAsia="宋体" w:cs="宋体"/>
                <w:i w:val="0"/>
                <w:iCs w:val="0"/>
                <w:color w:val="auto"/>
                <w:kern w:val="0"/>
                <w:sz w:val="20"/>
                <w:szCs w:val="20"/>
                <w:u w:val="none"/>
                <w:lang w:val="en-US" w:eastAsia="zh-CN" w:bidi="ar"/>
              </w:rPr>
              <w:t>办公费</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1CA5E6">
            <w:pPr>
              <w:keepNext w:val="0"/>
              <w:keepLines w:val="0"/>
              <w:widowControl/>
              <w:suppressLineNumbers w:val="0"/>
              <w:jc w:val="center"/>
              <w:textAlignment w:val="center"/>
              <w:rPr>
                <w:rFonts w:hint="default" w:ascii="宋体" w:hAnsi="宋体" w:eastAsia="宋体" w:cs="宋体"/>
                <w:i w:val="0"/>
                <w:iCs w:val="0"/>
                <w:color w:val="auto"/>
                <w:sz w:val="20"/>
                <w:szCs w:val="20"/>
                <w:u w:val="none"/>
                <w:lang w:val="en-US"/>
              </w:rPr>
            </w:pPr>
            <w:r>
              <w:rPr>
                <w:rFonts w:hint="eastAsia" w:ascii="宋体" w:hAnsi="宋体" w:eastAsia="宋体" w:cs="宋体"/>
                <w:i w:val="0"/>
                <w:iCs w:val="0"/>
                <w:color w:val="auto"/>
                <w:kern w:val="0"/>
                <w:sz w:val="20"/>
                <w:szCs w:val="20"/>
                <w:u w:val="none"/>
                <w:lang w:val="en-US" w:eastAsia="zh-CN" w:bidi="ar"/>
              </w:rPr>
              <w:t>维修费</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E9EC8D">
            <w:pPr>
              <w:keepNext w:val="0"/>
              <w:keepLines w:val="0"/>
              <w:widowControl/>
              <w:suppressLineNumbers w:val="0"/>
              <w:jc w:val="center"/>
              <w:textAlignment w:val="center"/>
              <w:rPr>
                <w:rFonts w:hint="default" w:ascii="宋体" w:hAnsi="宋体" w:eastAsia="宋体" w:cs="宋体"/>
                <w:i w:val="0"/>
                <w:iCs w:val="0"/>
                <w:color w:val="auto"/>
                <w:sz w:val="20"/>
                <w:szCs w:val="20"/>
                <w:u w:val="none"/>
                <w:lang w:val="en-US"/>
              </w:rPr>
            </w:pPr>
            <w:r>
              <w:rPr>
                <w:rFonts w:hint="eastAsia" w:ascii="宋体" w:hAnsi="宋体" w:eastAsia="宋体" w:cs="宋体"/>
                <w:i w:val="0"/>
                <w:iCs w:val="0"/>
                <w:color w:val="auto"/>
                <w:kern w:val="0"/>
                <w:sz w:val="20"/>
                <w:szCs w:val="20"/>
                <w:u w:val="none"/>
                <w:lang w:val="en-US" w:eastAsia="zh-CN" w:bidi="ar"/>
              </w:rPr>
              <w:t>电费</w:t>
            </w:r>
          </w:p>
        </w:tc>
        <w:tc>
          <w:tcPr>
            <w:tcW w:w="8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F986B4">
            <w:pPr>
              <w:keepNext w:val="0"/>
              <w:keepLines w:val="0"/>
              <w:widowControl/>
              <w:suppressLineNumbers w:val="0"/>
              <w:jc w:val="center"/>
              <w:textAlignment w:val="center"/>
              <w:rPr>
                <w:rFonts w:hint="default" w:ascii="宋体" w:hAnsi="宋体" w:eastAsia="宋体" w:cs="宋体"/>
                <w:i w:val="0"/>
                <w:iCs w:val="0"/>
                <w:color w:val="auto"/>
                <w:sz w:val="20"/>
                <w:szCs w:val="20"/>
                <w:u w:val="none"/>
                <w:lang w:val="en-US"/>
              </w:rPr>
            </w:pPr>
            <w:r>
              <w:rPr>
                <w:rFonts w:hint="eastAsia" w:ascii="宋体" w:hAnsi="宋体" w:eastAsia="宋体" w:cs="宋体"/>
                <w:i w:val="0"/>
                <w:iCs w:val="0"/>
                <w:color w:val="auto"/>
                <w:kern w:val="0"/>
                <w:sz w:val="20"/>
                <w:szCs w:val="20"/>
                <w:u w:val="none"/>
                <w:lang w:val="en-US" w:eastAsia="zh-CN" w:bidi="ar"/>
              </w:rPr>
              <w:t>水质检测费</w:t>
            </w:r>
          </w:p>
        </w:tc>
        <w:tc>
          <w:tcPr>
            <w:tcW w:w="70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E21546">
            <w:pPr>
              <w:keepNext w:val="0"/>
              <w:keepLines w:val="0"/>
              <w:widowControl/>
              <w:suppressLineNumbers w:val="0"/>
              <w:jc w:val="center"/>
              <w:textAlignment w:val="center"/>
              <w:rPr>
                <w:rFonts w:hint="default" w:ascii="宋体" w:hAnsi="宋体" w:eastAsia="宋体" w:cs="宋体"/>
                <w:i w:val="0"/>
                <w:iCs w:val="0"/>
                <w:color w:val="auto"/>
                <w:sz w:val="20"/>
                <w:szCs w:val="20"/>
                <w:u w:val="none"/>
                <w:lang w:val="en-US"/>
              </w:rPr>
            </w:pPr>
            <w:r>
              <w:rPr>
                <w:rFonts w:hint="eastAsia" w:ascii="宋体" w:hAnsi="宋体" w:eastAsia="宋体" w:cs="宋体"/>
                <w:i w:val="0"/>
                <w:iCs w:val="0"/>
                <w:color w:val="auto"/>
                <w:kern w:val="0"/>
                <w:sz w:val="20"/>
                <w:szCs w:val="20"/>
                <w:u w:val="none"/>
                <w:lang w:val="en-US" w:eastAsia="zh-CN" w:bidi="ar"/>
              </w:rPr>
              <w:t>药剂费</w:t>
            </w:r>
          </w:p>
        </w:tc>
        <w:tc>
          <w:tcPr>
            <w:tcW w:w="70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3390AD">
            <w:pPr>
              <w:keepNext w:val="0"/>
              <w:keepLines w:val="0"/>
              <w:widowControl/>
              <w:suppressLineNumbers w:val="0"/>
              <w:jc w:val="both"/>
              <w:textAlignment w:val="center"/>
              <w:rPr>
                <w:rFonts w:hint="default" w:ascii="宋体" w:hAnsi="宋体" w:eastAsia="宋体" w:cs="宋体"/>
                <w:i w:val="0"/>
                <w:iCs w:val="0"/>
                <w:color w:val="auto"/>
                <w:kern w:val="0"/>
                <w:sz w:val="20"/>
                <w:szCs w:val="20"/>
                <w:u w:val="none"/>
                <w:lang w:val="en-US" w:eastAsia="zh-CN" w:bidi="ar"/>
              </w:rPr>
            </w:pPr>
            <w:r>
              <w:rPr>
                <w:rFonts w:hint="eastAsia" w:hAnsi="宋体" w:cs="宋体"/>
                <w:i w:val="0"/>
                <w:iCs w:val="0"/>
                <w:color w:val="auto"/>
                <w:kern w:val="0"/>
                <w:sz w:val="20"/>
                <w:szCs w:val="20"/>
                <w:u w:val="none"/>
                <w:lang w:val="en-US" w:eastAsia="zh-CN" w:bidi="ar"/>
              </w:rPr>
              <w:t>管理费</w:t>
            </w:r>
          </w:p>
        </w:tc>
      </w:tr>
      <w:tr w14:paraId="0F7FCD7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3" w:hRule="atLeast"/>
        </w:trPr>
        <w:tc>
          <w:tcPr>
            <w:tcW w:w="94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974C92">
            <w:pPr>
              <w:keepNext w:val="0"/>
              <w:keepLines w:val="0"/>
              <w:widowControl/>
              <w:suppressLineNumbers w:val="0"/>
              <w:jc w:val="center"/>
              <w:textAlignment w:val="center"/>
              <w:rPr>
                <w:rFonts w:hint="default" w:ascii="宋体" w:hAnsi="宋体" w:eastAsia="宋体" w:cs="宋体"/>
                <w:i w:val="0"/>
                <w:iCs w:val="0"/>
                <w:color w:val="000000"/>
                <w:sz w:val="20"/>
                <w:szCs w:val="20"/>
                <w:u w:val="none"/>
                <w:lang w:val="en-US"/>
              </w:rPr>
            </w:pPr>
            <w:r>
              <w:rPr>
                <w:rFonts w:hint="eastAsia" w:ascii="宋体" w:hAnsi="宋体" w:eastAsia="宋体" w:cs="宋体"/>
                <w:i w:val="0"/>
                <w:iCs w:val="0"/>
                <w:color w:val="000000"/>
                <w:kern w:val="0"/>
                <w:sz w:val="20"/>
                <w:szCs w:val="20"/>
                <w:u w:val="none"/>
                <w:lang w:val="en-US" w:eastAsia="zh-CN" w:bidi="ar"/>
              </w:rPr>
              <w:t>单位成本</w:t>
            </w:r>
          </w:p>
        </w:tc>
        <w:tc>
          <w:tcPr>
            <w:tcW w:w="126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EAA888">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 xml:space="preserve">0.0292 </w:t>
            </w:r>
          </w:p>
        </w:tc>
        <w:tc>
          <w:tcPr>
            <w:tcW w:w="9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6F6960">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 xml:space="preserve">0.1137 </w:t>
            </w:r>
          </w:p>
        </w:tc>
        <w:tc>
          <w:tcPr>
            <w:tcW w:w="9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145529">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 xml:space="preserve">0.1717 </w:t>
            </w:r>
          </w:p>
        </w:tc>
        <w:tc>
          <w:tcPr>
            <w:tcW w:w="14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1FEE0F">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 xml:space="preserve">0.0023 </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4C2808">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 xml:space="preserve">0.0388 </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745D3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20"/>
                <w:szCs w:val="20"/>
                <w:u w:val="none"/>
                <w:lang w:val="en-US" w:eastAsia="zh-CN" w:bidi="ar"/>
              </w:rPr>
            </w:pPr>
            <w:r>
              <w:rPr>
                <w:rFonts w:hint="default" w:ascii="Times New Roman" w:hAnsi="Times New Roman" w:eastAsia="宋体" w:cs="Times New Roman"/>
                <w:i w:val="0"/>
                <w:iCs w:val="0"/>
                <w:color w:val="000000"/>
                <w:kern w:val="0"/>
                <w:sz w:val="20"/>
                <w:szCs w:val="20"/>
                <w:u w:val="none"/>
                <w:lang w:val="en-US" w:eastAsia="zh-CN" w:bidi="ar"/>
              </w:rPr>
              <w:t xml:space="preserve">0.0413 </w:t>
            </w:r>
          </w:p>
        </w:tc>
      </w:tr>
    </w:tbl>
    <w:p w14:paraId="05FD4277">
      <w:pPr>
        <w:pStyle w:val="5"/>
        <w:numPr>
          <w:ilvl w:val="0"/>
          <w:numId w:val="0"/>
        </w:numPr>
        <w:spacing w:line="360" w:lineRule="auto"/>
        <w:ind w:firstLine="560" w:firstLineChars="200"/>
        <w:jc w:val="center"/>
        <w:rPr>
          <w:rFonts w:hint="default" w:ascii="宋体" w:hAnsi="宋体" w:eastAsia="宋体" w:cs="宋体"/>
          <w:color w:val="000000"/>
          <w:sz w:val="28"/>
          <w:szCs w:val="28"/>
          <w:u w:val="none"/>
          <w:lang w:val="en-US" w:eastAsia="zh-CN" w:bidi="ar"/>
        </w:rPr>
      </w:pPr>
      <w:r>
        <w:rPr>
          <w:rFonts w:hint="eastAsia" w:ascii="宋体" w:hAnsi="宋体" w:eastAsia="宋体" w:cs="宋体"/>
          <w:color w:val="000000"/>
          <w:sz w:val="28"/>
          <w:szCs w:val="28"/>
          <w:u w:val="none"/>
          <w:lang w:val="en-US" w:eastAsia="zh-CN" w:bidi="ar"/>
        </w:rPr>
        <w:t>四水厂单位成本</w:t>
      </w:r>
    </w:p>
    <w:p w14:paraId="22D2FB13">
      <w:pPr>
        <w:pStyle w:val="5"/>
        <w:numPr>
          <w:ilvl w:val="0"/>
          <w:numId w:val="0"/>
        </w:numPr>
        <w:spacing w:line="360" w:lineRule="auto"/>
        <w:ind w:firstLine="400" w:firstLineChars="200"/>
        <w:jc w:val="right"/>
        <w:rPr>
          <w:rFonts w:hint="eastAsia" w:ascii="宋体" w:hAnsi="宋体" w:eastAsia="宋体" w:cs="宋体"/>
          <w:color w:val="000000"/>
          <w:sz w:val="20"/>
          <w:szCs w:val="20"/>
          <w:u w:val="none"/>
          <w:lang w:val="en-US" w:eastAsia="zh-CN" w:bidi="ar"/>
        </w:rPr>
      </w:pPr>
      <w:r>
        <w:rPr>
          <w:rFonts w:hint="eastAsia" w:ascii="宋体" w:hAnsi="宋体" w:eastAsia="宋体" w:cs="宋体"/>
          <w:color w:val="000000"/>
          <w:sz w:val="20"/>
          <w:szCs w:val="20"/>
          <w:u w:val="none"/>
          <w:lang w:val="en-US" w:eastAsia="zh-CN" w:bidi="ar"/>
        </w:rPr>
        <w:t>单位：元/m³</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932"/>
        <w:gridCol w:w="1471"/>
        <w:gridCol w:w="1139"/>
        <w:gridCol w:w="1139"/>
        <w:gridCol w:w="1699"/>
        <w:gridCol w:w="1448"/>
      </w:tblGrid>
      <w:tr w14:paraId="1470796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3" w:hRule="atLeast"/>
        </w:trPr>
        <w:tc>
          <w:tcPr>
            <w:tcW w:w="109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8A6820">
            <w:pPr>
              <w:widowControl/>
              <w:jc w:val="center"/>
              <w:textAlignment w:val="center"/>
              <w:rPr>
                <w:rFonts w:hint="default" w:ascii="Times New Roman"/>
              </w:rPr>
            </w:pPr>
            <w:r>
              <w:rPr>
                <w:rFonts w:hint="default" w:ascii="Times New Roman" w:hAnsi="Times New Roman" w:eastAsia="宋体" w:cs="Times New Roman"/>
                <w:i w:val="0"/>
                <w:iCs w:val="0"/>
                <w:color w:val="000000"/>
                <w:kern w:val="0"/>
                <w:sz w:val="20"/>
                <w:szCs w:val="20"/>
                <w:u w:val="none"/>
                <w:lang w:val="en-US" w:eastAsia="zh-CN" w:bidi="ar"/>
              </w:rPr>
              <w:t>名称</w:t>
            </w:r>
          </w:p>
        </w:tc>
        <w:tc>
          <w:tcPr>
            <w:tcW w:w="83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8C495E">
            <w:pPr>
              <w:keepNext w:val="0"/>
              <w:keepLines w:val="0"/>
              <w:widowControl/>
              <w:suppressLineNumbers w:val="0"/>
              <w:jc w:val="center"/>
              <w:textAlignment w:val="center"/>
              <w:rPr>
                <w:rFonts w:hint="default" w:ascii="Times New Roman" w:hAnsi="Times New Roman" w:eastAsia="宋体" w:cs="Times New Roman"/>
                <w:i w:val="0"/>
                <w:iCs w:val="0"/>
                <w:color w:val="auto"/>
                <w:sz w:val="20"/>
                <w:szCs w:val="20"/>
                <w:u w:val="none"/>
                <w:lang w:val="en-US" w:eastAsia="zh-CN"/>
              </w:rPr>
            </w:pPr>
            <w:r>
              <w:rPr>
                <w:rFonts w:hint="default" w:ascii="Times New Roman" w:hAnsi="Times New Roman" w:eastAsia="宋体" w:cs="Times New Roman"/>
                <w:i w:val="0"/>
                <w:iCs w:val="0"/>
                <w:color w:val="auto"/>
                <w:sz w:val="20"/>
                <w:szCs w:val="20"/>
                <w:u w:val="none"/>
                <w:lang w:val="en-US" w:eastAsia="zh-CN"/>
              </w:rPr>
              <w:t>占地费</w:t>
            </w:r>
          </w:p>
        </w:tc>
        <w:tc>
          <w:tcPr>
            <w:tcW w:w="6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AF63B0">
            <w:pPr>
              <w:keepNext w:val="0"/>
              <w:keepLines w:val="0"/>
              <w:widowControl/>
              <w:suppressLineNumbers w:val="0"/>
              <w:jc w:val="center"/>
              <w:textAlignment w:val="center"/>
              <w:rPr>
                <w:rFonts w:hint="default" w:ascii="Times New Roman" w:hAnsi="Times New Roman" w:eastAsia="宋体" w:cs="Times New Roman"/>
                <w:i w:val="0"/>
                <w:iCs w:val="0"/>
                <w:color w:val="auto"/>
                <w:sz w:val="20"/>
                <w:szCs w:val="20"/>
                <w:u w:val="none"/>
                <w:lang w:val="en-US"/>
              </w:rPr>
            </w:pPr>
            <w:r>
              <w:rPr>
                <w:rFonts w:hint="default" w:ascii="Times New Roman" w:hAnsi="Times New Roman" w:eastAsia="宋体" w:cs="Times New Roman"/>
                <w:i w:val="0"/>
                <w:iCs w:val="0"/>
                <w:color w:val="auto"/>
                <w:kern w:val="0"/>
                <w:sz w:val="20"/>
                <w:szCs w:val="20"/>
                <w:u w:val="none"/>
                <w:lang w:val="en-US" w:eastAsia="zh-CN" w:bidi="ar"/>
              </w:rPr>
              <w:t>维修费</w:t>
            </w:r>
          </w:p>
        </w:tc>
        <w:tc>
          <w:tcPr>
            <w:tcW w:w="6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CABE02">
            <w:pPr>
              <w:keepNext w:val="0"/>
              <w:keepLines w:val="0"/>
              <w:widowControl/>
              <w:suppressLineNumbers w:val="0"/>
              <w:jc w:val="center"/>
              <w:textAlignment w:val="center"/>
              <w:rPr>
                <w:rFonts w:hint="default" w:ascii="Times New Roman" w:hAnsi="Times New Roman" w:eastAsia="宋体" w:cs="Times New Roman"/>
                <w:i w:val="0"/>
                <w:iCs w:val="0"/>
                <w:color w:val="auto"/>
                <w:sz w:val="20"/>
                <w:szCs w:val="20"/>
                <w:u w:val="none"/>
                <w:lang w:val="en-US"/>
              </w:rPr>
            </w:pPr>
            <w:r>
              <w:rPr>
                <w:rFonts w:hint="default" w:ascii="Times New Roman" w:hAnsi="Times New Roman" w:eastAsia="宋体" w:cs="Times New Roman"/>
                <w:i w:val="0"/>
                <w:iCs w:val="0"/>
                <w:color w:val="auto"/>
                <w:kern w:val="0"/>
                <w:sz w:val="20"/>
                <w:szCs w:val="20"/>
                <w:u w:val="none"/>
                <w:lang w:val="en-US" w:eastAsia="zh-CN" w:bidi="ar"/>
              </w:rPr>
              <w:t>电费</w:t>
            </w:r>
          </w:p>
        </w:tc>
        <w:tc>
          <w:tcPr>
            <w:tcW w:w="96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3CA93A">
            <w:pPr>
              <w:keepNext w:val="0"/>
              <w:keepLines w:val="0"/>
              <w:widowControl/>
              <w:suppressLineNumbers w:val="0"/>
              <w:jc w:val="center"/>
              <w:textAlignment w:val="center"/>
              <w:rPr>
                <w:rFonts w:hint="default" w:ascii="Times New Roman" w:hAnsi="Times New Roman" w:eastAsia="宋体" w:cs="Times New Roman"/>
                <w:i w:val="0"/>
                <w:iCs w:val="0"/>
                <w:color w:val="auto"/>
                <w:sz w:val="20"/>
                <w:szCs w:val="20"/>
                <w:u w:val="none"/>
                <w:lang w:val="en-US"/>
              </w:rPr>
            </w:pPr>
            <w:r>
              <w:rPr>
                <w:rFonts w:hint="default" w:ascii="Times New Roman" w:hAnsi="Times New Roman" w:eastAsia="宋体" w:cs="Times New Roman"/>
                <w:i w:val="0"/>
                <w:iCs w:val="0"/>
                <w:color w:val="auto"/>
                <w:kern w:val="0"/>
                <w:sz w:val="20"/>
                <w:szCs w:val="20"/>
                <w:u w:val="none"/>
                <w:lang w:val="en-US" w:eastAsia="zh-CN" w:bidi="ar"/>
              </w:rPr>
              <w:t>其他</w:t>
            </w:r>
          </w:p>
        </w:tc>
        <w:tc>
          <w:tcPr>
            <w:tcW w:w="82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9D448E">
            <w:pPr>
              <w:keepNext w:val="0"/>
              <w:keepLines w:val="0"/>
              <w:widowControl/>
              <w:suppressLineNumbers w:val="0"/>
              <w:jc w:val="center"/>
              <w:textAlignment w:val="center"/>
              <w:rPr>
                <w:rFonts w:hint="default" w:ascii="Times New Roman" w:hAnsi="Times New Roman" w:eastAsia="宋体" w:cs="Times New Roman"/>
                <w:i w:val="0"/>
                <w:iCs w:val="0"/>
                <w:color w:val="auto"/>
                <w:sz w:val="20"/>
                <w:szCs w:val="20"/>
                <w:u w:val="none"/>
                <w:lang w:val="en-US"/>
              </w:rPr>
            </w:pPr>
            <w:r>
              <w:rPr>
                <w:rFonts w:hint="default" w:ascii="Times New Roman" w:hAnsi="Times New Roman" w:eastAsia="宋体" w:cs="Times New Roman"/>
                <w:i w:val="0"/>
                <w:iCs w:val="0"/>
                <w:color w:val="auto"/>
                <w:kern w:val="0"/>
                <w:sz w:val="20"/>
                <w:szCs w:val="20"/>
                <w:u w:val="none"/>
                <w:lang w:val="en-US" w:eastAsia="zh-CN" w:bidi="ar"/>
              </w:rPr>
              <w:t>药剂费</w:t>
            </w:r>
          </w:p>
        </w:tc>
      </w:tr>
      <w:tr w14:paraId="0E8CBEE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3" w:hRule="atLeast"/>
        </w:trPr>
        <w:tc>
          <w:tcPr>
            <w:tcW w:w="109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96D52C">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lang w:val="en-US"/>
              </w:rPr>
            </w:pPr>
            <w:r>
              <w:rPr>
                <w:rFonts w:hint="default" w:ascii="Times New Roman" w:hAnsi="Times New Roman" w:eastAsia="宋体" w:cs="Times New Roman"/>
                <w:i w:val="0"/>
                <w:iCs w:val="0"/>
                <w:color w:val="000000"/>
                <w:kern w:val="0"/>
                <w:sz w:val="20"/>
                <w:szCs w:val="20"/>
                <w:u w:val="none"/>
                <w:lang w:val="en-US" w:eastAsia="zh-CN" w:bidi="ar"/>
              </w:rPr>
              <w:t>单位成本</w:t>
            </w:r>
          </w:p>
        </w:tc>
        <w:tc>
          <w:tcPr>
            <w:tcW w:w="83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5B2968">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lang w:bidi="ar"/>
              </w:rPr>
            </w:pPr>
            <w:r>
              <w:rPr>
                <w:rFonts w:hint="default" w:ascii="Times New Roman"/>
                <w:color w:val="000000"/>
                <w:sz w:val="20"/>
                <w:u w:val="none"/>
                <w:lang w:bidi="ar"/>
              </w:rPr>
              <w:t>0.0414</w:t>
            </w:r>
          </w:p>
        </w:tc>
        <w:tc>
          <w:tcPr>
            <w:tcW w:w="6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97F4DE">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lang w:bidi="ar"/>
              </w:rPr>
            </w:pPr>
            <w:r>
              <w:rPr>
                <w:rFonts w:hint="default" w:ascii="Times New Roman"/>
                <w:color w:val="000000"/>
                <w:sz w:val="20"/>
                <w:u w:val="none"/>
                <w:lang w:bidi="ar"/>
              </w:rPr>
              <w:t>0.053</w:t>
            </w:r>
            <w:r>
              <w:rPr>
                <w:rFonts w:hint="eastAsia" w:ascii="Times New Roman"/>
                <w:color w:val="000000"/>
                <w:sz w:val="20"/>
                <w:u w:val="none"/>
                <w:lang w:val="en-US" w:eastAsia="zh-CN" w:bidi="ar"/>
              </w:rPr>
              <w:t>0</w:t>
            </w:r>
            <w:r>
              <w:rPr>
                <w:rFonts w:hint="default" w:ascii="Times New Roman" w:hAnsi="Times New Roman" w:eastAsia="宋体" w:cs="Times New Roman"/>
                <w:color w:val="000000"/>
                <w:sz w:val="20"/>
                <w:u w:val="none"/>
                <w:lang w:bidi="ar"/>
              </w:rPr>
              <w:t xml:space="preserve"> </w:t>
            </w:r>
          </w:p>
        </w:tc>
        <w:tc>
          <w:tcPr>
            <w:tcW w:w="6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813956">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lang w:bidi="ar"/>
              </w:rPr>
            </w:pPr>
            <w:r>
              <w:rPr>
                <w:rFonts w:hint="default" w:ascii="Times New Roman" w:hAnsi="Times New Roman" w:eastAsia="宋体" w:cs="Times New Roman"/>
                <w:color w:val="000000"/>
                <w:sz w:val="20"/>
                <w:u w:val="none"/>
                <w:lang w:bidi="ar"/>
              </w:rPr>
              <w:t>0.</w:t>
            </w:r>
            <w:r>
              <w:rPr>
                <w:rFonts w:hint="eastAsia" w:ascii="Times New Roman" w:cs="Times New Roman"/>
                <w:color w:val="000000"/>
                <w:sz w:val="20"/>
                <w:u w:val="none"/>
                <w:lang w:val="en-US" w:eastAsia="zh-CN" w:bidi="ar"/>
              </w:rPr>
              <w:t>4560</w:t>
            </w:r>
            <w:r>
              <w:rPr>
                <w:rFonts w:hint="default" w:ascii="Times New Roman" w:hAnsi="Times New Roman" w:eastAsia="宋体" w:cs="Times New Roman"/>
                <w:i w:val="0"/>
                <w:iCs w:val="0"/>
                <w:color w:val="000000"/>
                <w:kern w:val="0"/>
                <w:sz w:val="20"/>
                <w:szCs w:val="20"/>
                <w:u w:val="none"/>
                <w:lang w:val="en-US" w:eastAsia="zh-CN" w:bidi="ar"/>
              </w:rPr>
              <w:t xml:space="preserve"> </w:t>
            </w:r>
          </w:p>
        </w:tc>
        <w:tc>
          <w:tcPr>
            <w:tcW w:w="96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1D3B87">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lang w:bidi="ar"/>
              </w:rPr>
            </w:pPr>
            <w:r>
              <w:rPr>
                <w:rFonts w:hint="default" w:ascii="Times New Roman"/>
                <w:color w:val="000000"/>
                <w:sz w:val="20"/>
                <w:u w:val="none"/>
                <w:lang w:bidi="ar"/>
              </w:rPr>
              <w:t>0.1583</w:t>
            </w:r>
            <w:r>
              <w:rPr>
                <w:rFonts w:hint="default" w:ascii="Times New Roman" w:hAnsi="Times New Roman" w:eastAsia="宋体" w:cs="Times New Roman"/>
                <w:color w:val="000000"/>
                <w:sz w:val="20"/>
                <w:u w:val="none"/>
                <w:lang w:bidi="ar"/>
              </w:rPr>
              <w:t xml:space="preserve"> </w:t>
            </w:r>
          </w:p>
        </w:tc>
        <w:tc>
          <w:tcPr>
            <w:tcW w:w="82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D53C0D">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lang w:val="en-US" w:eastAsia="zh-CN" w:bidi="ar"/>
              </w:rPr>
            </w:pPr>
            <w:r>
              <w:rPr>
                <w:rFonts w:hint="default" w:ascii="Times New Roman"/>
                <w:color w:val="000000"/>
                <w:sz w:val="20"/>
                <w:u w:val="none"/>
                <w:lang w:bidi="ar"/>
              </w:rPr>
              <w:t>0.0415</w:t>
            </w:r>
          </w:p>
        </w:tc>
      </w:tr>
    </w:tbl>
    <w:p w14:paraId="69C43624">
      <w:pPr>
        <w:pStyle w:val="5"/>
        <w:numPr>
          <w:ilvl w:val="0"/>
          <w:numId w:val="0"/>
        </w:numPr>
        <w:spacing w:line="360" w:lineRule="auto"/>
        <w:ind w:firstLine="560" w:firstLineChars="200"/>
        <w:rPr>
          <w:rFonts w:hint="default" w:ascii="Times New Roman" w:hAnsi="Times New Roman" w:eastAsia="仿宋" w:cs="Times New Roman"/>
          <w:sz w:val="28"/>
          <w:szCs w:val="28"/>
          <w:highlight w:val="none"/>
          <w:lang w:val="en-US" w:eastAsia="zh-CN"/>
        </w:rPr>
      </w:pPr>
      <w:r>
        <w:rPr>
          <w:rFonts w:hint="eastAsia" w:ascii="Times New Roman" w:hAnsi="Times New Roman" w:eastAsia="仿宋" w:cs="Times New Roman"/>
          <w:sz w:val="28"/>
          <w:szCs w:val="28"/>
          <w:highlight w:val="none"/>
          <w:lang w:val="en-US" w:eastAsia="zh-CN"/>
        </w:rPr>
        <w:t>经与委托人沟通目标公司</w:t>
      </w:r>
      <w:r>
        <w:rPr>
          <w:rFonts w:hint="eastAsia" w:ascii="Times New Roman" w:eastAsia="仿宋" w:cs="Times New Roman"/>
          <w:sz w:val="28"/>
          <w:szCs w:val="28"/>
          <w:highlight w:val="none"/>
          <w:lang w:val="en-US" w:eastAsia="zh-CN"/>
        </w:rPr>
        <w:t>每年</w:t>
      </w:r>
      <w:r>
        <w:rPr>
          <w:rFonts w:hint="eastAsia" w:ascii="Times New Roman" w:hAnsi="Times New Roman" w:eastAsia="仿宋" w:cs="Times New Roman"/>
          <w:sz w:val="28"/>
          <w:szCs w:val="28"/>
          <w:highlight w:val="none"/>
          <w:lang w:val="en-US" w:eastAsia="zh-CN"/>
        </w:rPr>
        <w:t>承担原水费</w:t>
      </w:r>
      <w:r>
        <w:rPr>
          <w:rFonts w:hint="eastAsia" w:ascii="Times New Roman" w:eastAsia="仿宋" w:cs="Times New Roman"/>
          <w:sz w:val="28"/>
          <w:szCs w:val="28"/>
          <w:highlight w:val="none"/>
          <w:lang w:val="en-US" w:eastAsia="zh-CN"/>
        </w:rPr>
        <w:t>200万</w:t>
      </w:r>
      <w:r>
        <w:rPr>
          <w:rFonts w:hint="eastAsia" w:ascii="Times New Roman" w:hAnsi="Times New Roman" w:eastAsia="仿宋" w:cs="Times New Roman"/>
          <w:sz w:val="28"/>
          <w:szCs w:val="28"/>
          <w:highlight w:val="none"/>
          <w:lang w:val="en-US" w:eastAsia="zh-CN"/>
        </w:rPr>
        <w:t>元</w:t>
      </w:r>
      <w:r>
        <w:rPr>
          <w:rFonts w:hint="eastAsia" w:ascii="Times New Roman" w:eastAsia="仿宋" w:cs="Times New Roman"/>
          <w:sz w:val="28"/>
          <w:szCs w:val="28"/>
          <w:highlight w:val="none"/>
          <w:lang w:val="en-US" w:eastAsia="zh-CN"/>
        </w:rPr>
        <w:t>，承担5年，5年后不再承担原水费</w:t>
      </w:r>
      <w:r>
        <w:rPr>
          <w:rFonts w:hint="eastAsia" w:ascii="Times New Roman" w:hAnsi="Times New Roman" w:eastAsia="仿宋" w:cs="Times New Roman"/>
          <w:sz w:val="28"/>
          <w:szCs w:val="28"/>
          <w:highlight w:val="none"/>
          <w:lang w:val="en-US" w:eastAsia="zh-CN"/>
        </w:rPr>
        <w:t>。</w:t>
      </w:r>
    </w:p>
    <w:p w14:paraId="3334A969">
      <w:pPr>
        <w:pStyle w:val="5"/>
        <w:numPr>
          <w:ilvl w:val="0"/>
          <w:numId w:val="0"/>
        </w:numPr>
        <w:spacing w:line="360" w:lineRule="auto"/>
        <w:ind w:firstLine="560" w:firstLineChars="200"/>
        <w:rPr>
          <w:rFonts w:hint="default" w:ascii="Times New Roman" w:hAnsi="Times New Roman" w:eastAsia="仿宋" w:cs="Times New Roman"/>
          <w:sz w:val="28"/>
          <w:szCs w:val="28"/>
          <w:highlight w:val="none"/>
        </w:rPr>
      </w:pPr>
      <w:r>
        <w:rPr>
          <w:rFonts w:hint="default" w:ascii="Times New Roman" w:hAnsi="Times New Roman" w:eastAsia="仿宋" w:cs="Times New Roman"/>
          <w:sz w:val="28"/>
          <w:szCs w:val="28"/>
          <w:highlight w:val="none"/>
        </w:rPr>
        <w:t>得出营业</w:t>
      </w:r>
      <w:r>
        <w:rPr>
          <w:rFonts w:hint="eastAsia" w:ascii="Times New Roman" w:hAnsi="Times New Roman" w:eastAsia="仿宋" w:cs="Times New Roman"/>
          <w:sz w:val="28"/>
          <w:szCs w:val="28"/>
          <w:highlight w:val="none"/>
          <w:lang w:val="en-US" w:eastAsia="zh-CN"/>
        </w:rPr>
        <w:t>成本</w:t>
      </w:r>
      <w:r>
        <w:rPr>
          <w:rFonts w:hint="default" w:ascii="Times New Roman" w:hAnsi="Times New Roman" w:eastAsia="仿宋" w:cs="Times New Roman"/>
          <w:sz w:val="28"/>
          <w:szCs w:val="28"/>
          <w:highlight w:val="none"/>
        </w:rPr>
        <w:t>如下：</w:t>
      </w:r>
    </w:p>
    <w:p w14:paraId="6AFF031B">
      <w:pPr>
        <w:pStyle w:val="5"/>
        <w:numPr>
          <w:ilvl w:val="0"/>
          <w:numId w:val="0"/>
        </w:numPr>
        <w:spacing w:line="360" w:lineRule="auto"/>
        <w:ind w:firstLine="400" w:firstLineChars="200"/>
        <w:jc w:val="right"/>
        <w:rPr>
          <w:rFonts w:hint="eastAsia" w:ascii="宋体" w:hAnsi="宋体" w:eastAsia="宋体" w:cs="宋体"/>
          <w:color w:val="000000"/>
          <w:sz w:val="20"/>
          <w:szCs w:val="20"/>
          <w:u w:val="none"/>
          <w:lang w:val="en-US" w:eastAsia="zh-CN" w:bidi="ar"/>
        </w:rPr>
      </w:pPr>
      <w:r>
        <w:rPr>
          <w:rFonts w:hint="eastAsia" w:ascii="宋体" w:hAnsi="宋体" w:eastAsia="宋体" w:cs="宋体"/>
          <w:color w:val="000000"/>
          <w:sz w:val="20"/>
          <w:szCs w:val="20"/>
          <w:u w:val="none"/>
          <w:lang w:val="en-US" w:eastAsia="zh-CN" w:bidi="ar"/>
        </w:rPr>
        <w:t>单位：万元</w:t>
      </w:r>
    </w:p>
    <w:tbl>
      <w:tblPr>
        <w:tblStyle w:val="16"/>
        <w:tblW w:w="10636" w:type="dxa"/>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727"/>
        <w:gridCol w:w="1449"/>
        <w:gridCol w:w="1059"/>
        <w:gridCol w:w="1153"/>
        <w:gridCol w:w="1056"/>
        <w:gridCol w:w="956"/>
        <w:gridCol w:w="1184"/>
        <w:gridCol w:w="1048"/>
        <w:gridCol w:w="1004"/>
      </w:tblGrid>
      <w:tr w14:paraId="7651D1C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15"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DCD7FB">
            <w:pPr>
              <w:keepNext w:val="0"/>
              <w:keepLines w:val="0"/>
              <w:widowControl/>
              <w:suppressLineNumbers w:val="0"/>
              <w:jc w:val="center"/>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项目名称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89A34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2024年9-12月</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68BA1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2025年</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65CDC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2026年</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1857A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2027年</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527C9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2028年</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D60C1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2029年</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00EBA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20</w:t>
            </w:r>
            <w:r>
              <w:rPr>
                <w:rFonts w:hint="eastAsia" w:ascii="Times New Roman" w:cs="Times New Roman"/>
                <w:i w:val="0"/>
                <w:iCs w:val="0"/>
                <w:color w:val="000000"/>
                <w:kern w:val="0"/>
                <w:sz w:val="18"/>
                <w:szCs w:val="18"/>
                <w:u w:val="none"/>
                <w:lang w:val="en-US" w:eastAsia="zh-CN" w:bidi="ar"/>
              </w:rPr>
              <w:t>30</w:t>
            </w:r>
            <w:r>
              <w:rPr>
                <w:rFonts w:hint="default" w:ascii="Times New Roman" w:hAnsi="Times New Roman" w:eastAsia="宋体" w:cs="Times New Roman"/>
                <w:i w:val="0"/>
                <w:iCs w:val="0"/>
                <w:color w:val="000000"/>
                <w:kern w:val="0"/>
                <w:sz w:val="18"/>
                <w:szCs w:val="18"/>
                <w:u w:val="none"/>
                <w:lang w:val="en-US" w:eastAsia="zh-CN" w:bidi="ar"/>
              </w:rPr>
              <w:t>年</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14649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lang w:val="en-US" w:eastAsia="zh-CN" w:bidi="ar-SA"/>
              </w:rPr>
            </w:pPr>
            <w:r>
              <w:rPr>
                <w:rFonts w:hint="default" w:ascii="Times New Roman" w:hAnsi="Times New Roman" w:eastAsia="宋体" w:cs="Times New Roman"/>
                <w:i w:val="0"/>
                <w:iCs w:val="0"/>
                <w:color w:val="000000"/>
                <w:kern w:val="0"/>
                <w:sz w:val="18"/>
                <w:szCs w:val="18"/>
                <w:u w:val="none"/>
                <w:lang w:val="en-US" w:eastAsia="zh-CN" w:bidi="ar"/>
              </w:rPr>
              <w:t>2031年</w:t>
            </w:r>
          </w:p>
        </w:tc>
      </w:tr>
      <w:tr w14:paraId="73FE3C7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15"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A70651">
            <w:pPr>
              <w:keepNext w:val="0"/>
              <w:keepLines w:val="0"/>
              <w:widowControl/>
              <w:suppressLineNumbers w:val="0"/>
              <w:jc w:val="left"/>
              <w:textAlignment w:val="center"/>
              <w:rPr>
                <w:rFonts w:hint="eastAsia" w:ascii="宋体" w:hAnsi="宋体" w:eastAsia="宋体" w:cs="宋体"/>
                <w:b/>
                <w:bCs/>
                <w:i w:val="0"/>
                <w:iCs w:val="0"/>
                <w:color w:val="000000"/>
                <w:sz w:val="18"/>
                <w:szCs w:val="18"/>
                <w:u w:val="none"/>
              </w:rPr>
            </w:pPr>
            <w:r>
              <w:rPr>
                <w:rFonts w:hint="eastAsia" w:ascii="宋体" w:hAnsi="宋体" w:eastAsia="宋体" w:cs="宋体"/>
                <w:b/>
                <w:bCs/>
                <w:i w:val="0"/>
                <w:iCs w:val="0"/>
                <w:color w:val="000000"/>
                <w:kern w:val="0"/>
                <w:sz w:val="18"/>
                <w:szCs w:val="18"/>
                <w:u w:val="none"/>
                <w:lang w:val="en-US" w:eastAsia="zh-CN" w:bidi="ar"/>
              </w:rPr>
              <w:t xml:space="preserve"> 成本合计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2351A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459.12</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F719ED">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1414.5</w:t>
            </w:r>
            <w:r>
              <w:rPr>
                <w:rFonts w:hint="eastAsia" w:ascii="Times New Roman" w:cs="Times New Roman"/>
                <w:b/>
                <w:bCs/>
                <w:i w:val="0"/>
                <w:iCs w:val="0"/>
                <w:color w:val="000000"/>
                <w:kern w:val="0"/>
                <w:sz w:val="18"/>
                <w:szCs w:val="18"/>
                <w:u w:val="none"/>
                <w:lang w:val="en-US" w:eastAsia="zh-CN" w:bidi="ar"/>
              </w:rPr>
              <w:t>2</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3A563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1414.5</w:t>
            </w:r>
            <w:r>
              <w:rPr>
                <w:rFonts w:hint="eastAsia" w:ascii="Times New Roman" w:cs="Times New Roman"/>
                <w:b/>
                <w:bCs/>
                <w:i w:val="0"/>
                <w:iCs w:val="0"/>
                <w:color w:val="000000"/>
                <w:kern w:val="0"/>
                <w:sz w:val="18"/>
                <w:szCs w:val="18"/>
                <w:u w:val="none"/>
                <w:lang w:val="en-US" w:eastAsia="zh-CN" w:bidi="ar"/>
              </w:rPr>
              <w:t>2</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4802DF">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1414.5</w:t>
            </w:r>
            <w:r>
              <w:rPr>
                <w:rFonts w:hint="eastAsia" w:ascii="Times New Roman" w:cs="Times New Roman"/>
                <w:b/>
                <w:bCs/>
                <w:i w:val="0"/>
                <w:iCs w:val="0"/>
                <w:color w:val="000000"/>
                <w:kern w:val="0"/>
                <w:sz w:val="18"/>
                <w:szCs w:val="18"/>
                <w:u w:val="none"/>
                <w:lang w:val="en-US" w:eastAsia="zh-CN" w:bidi="ar"/>
              </w:rPr>
              <w:t>2</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41774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1486.4</w:t>
            </w:r>
            <w:r>
              <w:rPr>
                <w:rFonts w:hint="eastAsia" w:ascii="Times New Roman" w:cs="Times New Roman"/>
                <w:b/>
                <w:bCs/>
                <w:i w:val="0"/>
                <w:iCs w:val="0"/>
                <w:color w:val="000000"/>
                <w:kern w:val="0"/>
                <w:sz w:val="18"/>
                <w:szCs w:val="18"/>
                <w:u w:val="none"/>
                <w:lang w:val="en-US" w:eastAsia="zh-CN" w:bidi="ar"/>
              </w:rPr>
              <w:t>0</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C96606">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18"/>
                <w:szCs w:val="18"/>
                <w:u w:val="none"/>
              </w:rPr>
            </w:pPr>
            <w:r>
              <w:rPr>
                <w:rFonts w:hint="default" w:ascii="Times New Roman" w:hAnsi="Times New Roman" w:eastAsia="宋体" w:cs="Times New Roman"/>
                <w:b/>
                <w:bCs/>
                <w:i w:val="0"/>
                <w:iCs w:val="0"/>
                <w:color w:val="000000"/>
                <w:kern w:val="0"/>
                <w:sz w:val="18"/>
                <w:szCs w:val="18"/>
                <w:u w:val="none"/>
                <w:lang w:val="en-US" w:eastAsia="zh-CN" w:bidi="ar"/>
              </w:rPr>
              <w:t>1419.73</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C995F8">
            <w:pPr>
              <w:keepNext w:val="0"/>
              <w:keepLines w:val="0"/>
              <w:widowControl/>
              <w:suppressLineNumbers w:val="0"/>
              <w:jc w:val="center"/>
              <w:textAlignment w:val="center"/>
              <w:rPr>
                <w:rFonts w:hint="default" w:ascii="Times New Roman" w:hAnsi="Times New Roman" w:eastAsia="宋体" w:cs="Times New Roman"/>
                <w:b/>
                <w:bCs/>
                <w:i w:val="0"/>
                <w:iCs w:val="0"/>
                <w:color w:val="000000"/>
                <w:kern w:val="0"/>
                <w:sz w:val="18"/>
                <w:szCs w:val="18"/>
                <w:u w:val="none"/>
                <w:lang w:val="en-US" w:eastAsia="zh-CN" w:bidi="ar"/>
              </w:rPr>
            </w:pPr>
            <w:r>
              <w:rPr>
                <w:rFonts w:hint="default" w:ascii="Times New Roman" w:hAnsi="Times New Roman" w:eastAsia="宋体" w:cs="Times New Roman"/>
                <w:b/>
                <w:bCs/>
                <w:i w:val="0"/>
                <w:iCs w:val="0"/>
                <w:color w:val="000000"/>
                <w:kern w:val="0"/>
                <w:sz w:val="18"/>
                <w:szCs w:val="18"/>
                <w:u w:val="none"/>
                <w:lang w:val="en-US" w:eastAsia="zh-CN" w:bidi="ar"/>
              </w:rPr>
              <w:t>1286.4</w:t>
            </w:r>
            <w:r>
              <w:rPr>
                <w:rFonts w:hint="eastAsia" w:ascii="Times New Roman" w:cs="Times New Roman"/>
                <w:b/>
                <w:bCs/>
                <w:i w:val="0"/>
                <w:iCs w:val="0"/>
                <w:color w:val="000000"/>
                <w:kern w:val="0"/>
                <w:sz w:val="18"/>
                <w:szCs w:val="18"/>
                <w:u w:val="none"/>
                <w:lang w:val="en-US" w:eastAsia="zh-CN" w:bidi="ar"/>
              </w:rPr>
              <w:t>0</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56B543">
            <w:pPr>
              <w:keepNext w:val="0"/>
              <w:keepLines w:val="0"/>
              <w:widowControl/>
              <w:suppressLineNumbers w:val="0"/>
              <w:jc w:val="center"/>
              <w:textAlignment w:val="center"/>
              <w:rPr>
                <w:rFonts w:hint="default" w:ascii="Times New Roman" w:hAnsi="Times New Roman" w:eastAsia="宋体" w:cs="Times New Roman"/>
                <w:b/>
                <w:bCs/>
                <w:i w:val="0"/>
                <w:iCs w:val="0"/>
                <w:color w:val="000000"/>
                <w:kern w:val="0"/>
                <w:sz w:val="18"/>
                <w:szCs w:val="18"/>
                <w:u w:val="none"/>
                <w:lang w:val="en-US" w:eastAsia="zh-CN" w:bidi="ar"/>
              </w:rPr>
            </w:pPr>
            <w:r>
              <w:rPr>
                <w:rFonts w:hint="default" w:ascii="Times New Roman" w:hAnsi="Times New Roman" w:eastAsia="宋体" w:cs="Times New Roman"/>
                <w:b/>
                <w:bCs/>
                <w:i w:val="0"/>
                <w:iCs w:val="0"/>
                <w:color w:val="000000"/>
                <w:kern w:val="0"/>
                <w:sz w:val="18"/>
                <w:szCs w:val="18"/>
                <w:u w:val="none"/>
                <w:lang w:val="en-US" w:eastAsia="zh-CN" w:bidi="ar"/>
              </w:rPr>
              <w:t>1328.2</w:t>
            </w:r>
            <w:r>
              <w:rPr>
                <w:rFonts w:hint="eastAsia" w:ascii="Times New Roman" w:cs="Times New Roman"/>
                <w:b/>
                <w:bCs/>
                <w:i w:val="0"/>
                <w:iCs w:val="0"/>
                <w:color w:val="000000"/>
                <w:kern w:val="0"/>
                <w:sz w:val="18"/>
                <w:szCs w:val="18"/>
                <w:u w:val="none"/>
                <w:lang w:val="en-US" w:eastAsia="zh-CN" w:bidi="ar"/>
              </w:rPr>
              <w:t>0</w:t>
            </w:r>
          </w:p>
        </w:tc>
      </w:tr>
      <w:tr w14:paraId="2B60907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5"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C617163">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药剂（三水厂）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CAB6B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6.77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696CB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20.32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0B60B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20.32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18DDB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20.32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EE651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21.43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09FFB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21.43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D8914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21.43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9960B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21.43</w:t>
            </w:r>
          </w:p>
        </w:tc>
      </w:tr>
      <w:tr w14:paraId="07CD253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2"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0E4950F">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药剂（四水厂含供水站）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A8A12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6.84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48265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20.53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47F27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20.53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96194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20.53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EEC88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21.77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2F178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21.77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DE666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21.77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37463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21.77</w:t>
            </w:r>
          </w:p>
        </w:tc>
      </w:tr>
      <w:tr w14:paraId="62EB86D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15"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E99333F">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维修材料（三水厂）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F8099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19.83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35700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59.49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8A7E9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59.49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A175C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59.49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640DB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62.75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9D3CC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62.75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334CC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62.75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D0269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62.75</w:t>
            </w:r>
          </w:p>
        </w:tc>
      </w:tr>
      <w:tr w14:paraId="09FD3E7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2"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6DC9CD">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维修材料（四水厂含供水站）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B12B4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8.74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F2917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26.22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CE0B9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26.22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3B763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26.22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E811C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27.80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57C0B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27.80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9A701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27.80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69568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27.80</w:t>
            </w:r>
          </w:p>
        </w:tc>
      </w:tr>
      <w:tr w14:paraId="6E55956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8"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E8B127">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电费（三水厂）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25FD5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29.95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3368E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89.84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2A84C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89.84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A240B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89.84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1B72D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94.76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A8CF5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94.76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9F3EA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94.76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DEB6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94.76</w:t>
            </w:r>
          </w:p>
        </w:tc>
      </w:tr>
      <w:tr w14:paraId="5EF8A01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2"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0FE3D4">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电费（四水厂含供水站）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FA3D4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75.21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EFF1E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225.62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B77E3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225.62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7014E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225.62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14257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239.15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ABA0F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239.15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AFACF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239.15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728C5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239.15</w:t>
            </w:r>
          </w:p>
        </w:tc>
      </w:tr>
      <w:tr w14:paraId="54DE5C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72"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1766D3">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工资（</w:t>
            </w:r>
            <w:r>
              <w:rPr>
                <w:rFonts w:hint="eastAsia" w:hAnsi="宋体" w:cs="宋体"/>
                <w:i w:val="0"/>
                <w:iCs w:val="0"/>
                <w:color w:val="000000"/>
                <w:kern w:val="0"/>
                <w:sz w:val="18"/>
                <w:szCs w:val="18"/>
                <w:u w:val="none"/>
                <w:lang w:val="en-US" w:eastAsia="zh-CN" w:bidi="ar"/>
              </w:rPr>
              <w:t>三、</w:t>
            </w:r>
            <w:r>
              <w:rPr>
                <w:rFonts w:hint="eastAsia" w:ascii="宋体" w:hAnsi="宋体" w:eastAsia="宋体" w:cs="宋体"/>
                <w:i w:val="0"/>
                <w:iCs w:val="0"/>
                <w:color w:val="000000"/>
                <w:kern w:val="0"/>
                <w:sz w:val="18"/>
                <w:szCs w:val="18"/>
                <w:u w:val="none"/>
                <w:lang w:val="en-US" w:eastAsia="zh-CN" w:bidi="ar"/>
              </w:rPr>
              <w:t xml:space="preserve">四水厂含供水站）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ADE89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206.67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90A9E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657.20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44B18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657.20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7447F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657.20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07142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696.63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67ED1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696.63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8FA1F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696.63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E14C0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738.43</w:t>
            </w:r>
          </w:p>
        </w:tc>
      </w:tr>
      <w:tr w14:paraId="560E9CB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2"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046A63">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水厂占地费（四水厂含供水站）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9DB3C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6.83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71E5E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20.48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5D64C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20.48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C74C2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20.48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5B18B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21.71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991FE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21.71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AFF5B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21.71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701C5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21.71</w:t>
            </w:r>
          </w:p>
        </w:tc>
      </w:tr>
      <w:tr w14:paraId="65D38A0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8"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43C278">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办公费（三水厂）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67417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5.10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6F3C1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15.30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D6737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15.30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75B91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15.30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D9878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16.13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76AD8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16.13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C2F43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16.13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174BD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16.13</w:t>
            </w:r>
          </w:p>
        </w:tc>
      </w:tr>
      <w:tr w14:paraId="3366868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2"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BA812B">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其他费用（四水厂含供水站）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61A20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26.11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F4DB8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78.32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BB857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78.32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E3620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78.32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2C335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83.02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568EB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83.02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2B18C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83.02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928AB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83.02</w:t>
            </w:r>
          </w:p>
        </w:tc>
      </w:tr>
      <w:tr w14:paraId="27A960E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0"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2A4849">
            <w:pPr>
              <w:keepNext w:val="0"/>
              <w:keepLines w:val="0"/>
              <w:widowControl/>
              <w:suppressLineNumbers w:val="0"/>
              <w:jc w:val="left"/>
              <w:textAlignment w:val="center"/>
              <w:rPr>
                <w:rFonts w:hint="eastAsia" w:ascii="宋体" w:hAnsi="宋体" w:eastAsia="宋体" w:cs="宋体"/>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 xml:space="preserve"> 水质检测费（三水厂）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FCA7A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0.40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E7C10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0B3D2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5FC99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15CD5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1.25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8F602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1.25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78068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1.25 </w:t>
            </w: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E1C8D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1.25</w:t>
            </w:r>
          </w:p>
        </w:tc>
      </w:tr>
      <w:tr w14:paraId="69AEBB4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46" w:hRule="atLeast"/>
          <w:jc w:val="center"/>
        </w:trPr>
        <w:tc>
          <w:tcPr>
            <w:tcW w:w="172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A02335">
            <w:pPr>
              <w:keepNext w:val="0"/>
              <w:keepLines w:val="0"/>
              <w:widowControl/>
              <w:suppressLineNumbers w:val="0"/>
              <w:jc w:val="left"/>
              <w:textAlignment w:val="center"/>
              <w:rPr>
                <w:rFonts w:hint="eastAsia" w:ascii="宋体" w:hAnsi="宋体" w:eastAsia="宋体" w:cs="宋体"/>
                <w:i w:val="0"/>
                <w:iCs w:val="0"/>
                <w:color w:val="000000"/>
                <w:kern w:val="0"/>
                <w:sz w:val="18"/>
                <w:szCs w:val="18"/>
                <w:u w:val="none"/>
                <w:lang w:val="en-US" w:eastAsia="zh-CN" w:bidi="ar"/>
              </w:rPr>
            </w:pPr>
            <w:r>
              <w:rPr>
                <w:rFonts w:hint="eastAsia" w:ascii="宋体" w:hAnsi="宋体" w:eastAsia="宋体" w:cs="宋体"/>
                <w:i w:val="0"/>
                <w:iCs w:val="0"/>
                <w:color w:val="000000"/>
                <w:kern w:val="0"/>
                <w:sz w:val="18"/>
                <w:szCs w:val="18"/>
                <w:u w:val="none"/>
                <w:lang w:val="en-US" w:eastAsia="zh-CN" w:bidi="ar"/>
              </w:rPr>
              <w:t xml:space="preserve"> 原水费 </w:t>
            </w:r>
          </w:p>
        </w:tc>
        <w:tc>
          <w:tcPr>
            <w:tcW w:w="14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FE9B1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66.67 </w:t>
            </w:r>
          </w:p>
        </w:tc>
        <w:tc>
          <w:tcPr>
            <w:tcW w:w="105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2DF72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200.00 </w:t>
            </w:r>
          </w:p>
        </w:tc>
        <w:tc>
          <w:tcPr>
            <w:tcW w:w="11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B9EA5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200.00 </w:t>
            </w:r>
          </w:p>
        </w:tc>
        <w:tc>
          <w:tcPr>
            <w:tcW w:w="10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54607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200.00 </w:t>
            </w:r>
          </w:p>
        </w:tc>
        <w:tc>
          <w:tcPr>
            <w:tcW w:w="95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27E0C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200.00 </w:t>
            </w:r>
          </w:p>
        </w:tc>
        <w:tc>
          <w:tcPr>
            <w:tcW w:w="118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16B2D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133.33 </w:t>
            </w:r>
          </w:p>
        </w:tc>
        <w:tc>
          <w:tcPr>
            <w:tcW w:w="104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C8D261">
            <w:pPr>
              <w:keepNext w:val="0"/>
              <w:keepLines w:val="0"/>
              <w:widowControl/>
              <w:suppressLineNumbers w:val="0"/>
              <w:jc w:val="center"/>
              <w:textAlignment w:val="auto"/>
              <w:rPr>
                <w:rFonts w:hint="default" w:ascii="Times New Roman" w:hAnsi="Times New Roman" w:eastAsia="宋体" w:cs="Times New Roman"/>
                <w:i w:val="0"/>
                <w:iCs w:val="0"/>
                <w:color w:val="000000"/>
                <w:kern w:val="0"/>
                <w:sz w:val="18"/>
                <w:szCs w:val="18"/>
                <w:u w:val="none"/>
                <w:lang w:val="en-US" w:eastAsia="zh-CN" w:bidi="ar"/>
              </w:rPr>
            </w:pPr>
          </w:p>
        </w:tc>
        <w:tc>
          <w:tcPr>
            <w:tcW w:w="100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10B437">
            <w:pPr>
              <w:keepNext w:val="0"/>
              <w:keepLines w:val="0"/>
              <w:widowControl/>
              <w:suppressLineNumbers w:val="0"/>
              <w:jc w:val="center"/>
              <w:textAlignment w:val="auto"/>
              <w:rPr>
                <w:rFonts w:hint="default" w:ascii="Times New Roman" w:hAnsi="Times New Roman" w:eastAsia="宋体" w:cs="Times New Roman"/>
                <w:i w:val="0"/>
                <w:iCs w:val="0"/>
                <w:color w:val="000000"/>
                <w:kern w:val="0"/>
                <w:sz w:val="18"/>
                <w:szCs w:val="18"/>
                <w:u w:val="none"/>
                <w:lang w:val="en-US" w:eastAsia="zh-CN" w:bidi="ar"/>
              </w:rPr>
            </w:pPr>
          </w:p>
        </w:tc>
      </w:tr>
    </w:tbl>
    <w:p w14:paraId="7704DEF9">
      <w:pPr>
        <w:pStyle w:val="7"/>
        <w:ind w:firstLine="560" w:firstLineChars="200"/>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rPr>
        <w:t>20</w:t>
      </w:r>
      <w:r>
        <w:rPr>
          <w:rFonts w:hint="eastAsia" w:ascii="Times New Roman" w:eastAsia="仿宋" w:cs="Times New Roman"/>
          <w:sz w:val="28"/>
          <w:szCs w:val="28"/>
          <w:highlight w:val="none"/>
          <w:lang w:val="en-US" w:eastAsia="zh-CN"/>
        </w:rPr>
        <w:t>32</w:t>
      </w:r>
      <w:r>
        <w:rPr>
          <w:rFonts w:hint="default" w:ascii="Times New Roman" w:hAnsi="Times New Roman" w:eastAsia="仿宋" w:cs="Times New Roman"/>
          <w:sz w:val="28"/>
          <w:szCs w:val="28"/>
          <w:highlight w:val="none"/>
        </w:rPr>
        <w:t>年及以后各年度均保持20</w:t>
      </w:r>
      <w:r>
        <w:rPr>
          <w:rFonts w:hint="eastAsia" w:ascii="Times New Roman" w:eastAsia="仿宋" w:cs="Times New Roman"/>
          <w:sz w:val="28"/>
          <w:szCs w:val="28"/>
          <w:highlight w:val="none"/>
          <w:lang w:val="en-US" w:eastAsia="zh-CN"/>
        </w:rPr>
        <w:t>31</w:t>
      </w:r>
      <w:r>
        <w:rPr>
          <w:rFonts w:hint="default" w:ascii="Times New Roman" w:hAnsi="Times New Roman" w:eastAsia="仿宋" w:cs="Times New Roman"/>
          <w:sz w:val="28"/>
          <w:szCs w:val="28"/>
          <w:highlight w:val="none"/>
        </w:rPr>
        <w:t>年度的水平稳定不变。</w:t>
      </w:r>
    </w:p>
    <w:p w14:paraId="22B2DC62">
      <w:pPr>
        <w:pStyle w:val="5"/>
        <w:numPr>
          <w:ilvl w:val="0"/>
          <w:numId w:val="0"/>
        </w:numPr>
        <w:spacing w:line="360" w:lineRule="auto"/>
        <w:ind w:firstLine="560" w:firstLineChars="200"/>
        <w:rPr>
          <w:rFonts w:hint="default" w:ascii="Times New Roman" w:hAnsi="Times New Roman" w:eastAsia="仿宋" w:cs="Times New Roman"/>
          <w:sz w:val="28"/>
          <w:szCs w:val="28"/>
          <w:highlight w:val="none"/>
        </w:rPr>
      </w:pPr>
      <w:r>
        <w:rPr>
          <w:rFonts w:hint="eastAsia" w:ascii="Times New Roman" w:hAnsi="Times New Roman" w:eastAsia="仿宋" w:cs="Times New Roman"/>
          <w:sz w:val="28"/>
          <w:szCs w:val="28"/>
          <w:highlight w:val="none"/>
          <w:lang w:val="en-US" w:eastAsia="zh-CN"/>
        </w:rPr>
        <w:t>3、财务</w:t>
      </w:r>
      <w:r>
        <w:rPr>
          <w:rFonts w:hint="default" w:ascii="Times New Roman" w:hAnsi="Times New Roman" w:eastAsia="仿宋" w:cs="Times New Roman"/>
          <w:sz w:val="28"/>
          <w:szCs w:val="28"/>
          <w:highlight w:val="none"/>
        </w:rPr>
        <w:t>费用：根据历史成本数据推算出三水厂财务费用每年0.44万元，四水厂财务费每年0.35万元。</w:t>
      </w:r>
    </w:p>
    <w:p w14:paraId="2CA18E37">
      <w:pPr>
        <w:pStyle w:val="5"/>
        <w:numPr>
          <w:ilvl w:val="0"/>
          <w:numId w:val="0"/>
        </w:numPr>
        <w:spacing w:line="360" w:lineRule="auto"/>
        <w:ind w:firstLine="560" w:firstLineChars="200"/>
        <w:rPr>
          <w:rFonts w:hint="default" w:ascii="Times New Roman" w:hAnsi="Times New Roman" w:eastAsia="仿宋" w:cs="Times New Roman"/>
          <w:sz w:val="28"/>
          <w:szCs w:val="28"/>
          <w:highlight w:val="none"/>
        </w:rPr>
      </w:pPr>
      <w:r>
        <w:rPr>
          <w:rFonts w:hint="default" w:ascii="Times New Roman" w:hAnsi="Times New Roman" w:eastAsia="仿宋" w:cs="Times New Roman"/>
          <w:sz w:val="28"/>
          <w:szCs w:val="28"/>
          <w:highlight w:val="none"/>
        </w:rPr>
        <w:t>得出财务费用如下：</w:t>
      </w:r>
    </w:p>
    <w:p w14:paraId="28C5BAB0">
      <w:pPr>
        <w:pStyle w:val="5"/>
        <w:numPr>
          <w:ilvl w:val="0"/>
          <w:numId w:val="0"/>
        </w:numPr>
        <w:spacing w:line="360" w:lineRule="auto"/>
        <w:ind w:firstLine="400" w:firstLineChars="200"/>
        <w:jc w:val="right"/>
        <w:rPr>
          <w:rFonts w:hint="eastAsia" w:ascii="宋体" w:hAnsi="宋体" w:eastAsia="宋体" w:cs="宋体"/>
          <w:color w:val="000000"/>
          <w:sz w:val="20"/>
          <w:szCs w:val="20"/>
          <w:u w:val="none"/>
          <w:lang w:val="en-US" w:eastAsia="zh-CN" w:bidi="ar"/>
        </w:rPr>
      </w:pPr>
      <w:r>
        <w:rPr>
          <w:rFonts w:hint="eastAsia" w:ascii="宋体" w:hAnsi="宋体" w:eastAsia="宋体" w:cs="宋体"/>
          <w:color w:val="000000"/>
          <w:sz w:val="20"/>
          <w:szCs w:val="20"/>
          <w:u w:val="none"/>
          <w:lang w:val="en-US" w:eastAsia="zh-CN" w:bidi="ar"/>
        </w:rPr>
        <w:t>单位：万元</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2535"/>
        <w:gridCol w:w="1533"/>
        <w:gridCol w:w="973"/>
        <w:gridCol w:w="973"/>
        <w:gridCol w:w="973"/>
        <w:gridCol w:w="974"/>
        <w:gridCol w:w="867"/>
      </w:tblGrid>
      <w:tr w14:paraId="1424305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144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48F3BE">
            <w:pPr>
              <w:keepNext w:val="0"/>
              <w:keepLines w:val="0"/>
              <w:widowControl/>
              <w:suppressLineNumbers w:val="0"/>
              <w:jc w:val="center"/>
              <w:textAlignment w:val="center"/>
              <w:rPr>
                <w:rFonts w:hint="eastAsia" w:ascii="宋体" w:hAnsi="宋体" w:eastAsia="宋体" w:cs="宋体"/>
                <w:i w:val="0"/>
                <w:iCs w:val="0"/>
                <w:color w:val="000000"/>
                <w:sz w:val="20"/>
                <w:szCs w:val="20"/>
                <w:u w:val="none"/>
              </w:rPr>
            </w:pPr>
            <w:r>
              <w:rPr>
                <w:rFonts w:hint="eastAsia" w:ascii="宋体" w:hAnsi="宋体" w:eastAsia="宋体" w:cs="宋体"/>
                <w:i w:val="0"/>
                <w:iCs w:val="0"/>
                <w:color w:val="000000"/>
                <w:kern w:val="0"/>
                <w:sz w:val="20"/>
                <w:szCs w:val="20"/>
                <w:u w:val="none"/>
                <w:lang w:val="en-US" w:eastAsia="zh-CN" w:bidi="ar"/>
              </w:rPr>
              <w:t>项目名称</w:t>
            </w:r>
          </w:p>
        </w:tc>
        <w:tc>
          <w:tcPr>
            <w:tcW w:w="81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4D75E5">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2024年9-12月</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9C749B">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2025年</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D3080C">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2026年</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BED0CF">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2027年</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37E84D">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2028年</w:t>
            </w:r>
          </w:p>
        </w:tc>
        <w:tc>
          <w:tcPr>
            <w:tcW w:w="49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B704BC">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2029年</w:t>
            </w:r>
          </w:p>
        </w:tc>
      </w:tr>
      <w:tr w14:paraId="2993D0C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144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0CB953">
            <w:pPr>
              <w:keepNext w:val="0"/>
              <w:keepLines w:val="0"/>
              <w:widowControl/>
              <w:suppressLineNumbers w:val="0"/>
              <w:jc w:val="center"/>
              <w:textAlignment w:val="center"/>
              <w:rPr>
                <w:rFonts w:hint="default" w:ascii="宋体" w:hAnsi="宋体" w:eastAsia="宋体" w:cs="宋体"/>
                <w:b/>
                <w:bCs/>
                <w:i w:val="0"/>
                <w:iCs w:val="0"/>
                <w:color w:val="000000"/>
                <w:sz w:val="20"/>
                <w:szCs w:val="20"/>
                <w:u w:val="none"/>
                <w:lang w:val="en-US"/>
              </w:rPr>
            </w:pPr>
            <w:r>
              <w:rPr>
                <w:rFonts w:hint="eastAsia" w:ascii="宋体" w:hAnsi="宋体" w:eastAsia="宋体" w:cs="宋体"/>
                <w:b/>
                <w:bCs/>
                <w:i w:val="0"/>
                <w:iCs w:val="0"/>
                <w:color w:val="000000"/>
                <w:kern w:val="0"/>
                <w:sz w:val="20"/>
                <w:szCs w:val="20"/>
                <w:u w:val="none"/>
                <w:lang w:val="en-US" w:eastAsia="zh-CN" w:bidi="ar"/>
              </w:rPr>
              <w:t>财务费用</w:t>
            </w:r>
          </w:p>
        </w:tc>
        <w:tc>
          <w:tcPr>
            <w:tcW w:w="81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571F59">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0.26</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B534EE">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0.79</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315A62">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0.79</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1FC18E">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0.79</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C9A637">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0.79</w:t>
            </w:r>
          </w:p>
        </w:tc>
        <w:tc>
          <w:tcPr>
            <w:tcW w:w="49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0DC2C3">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0.79</w:t>
            </w:r>
          </w:p>
        </w:tc>
      </w:tr>
    </w:tbl>
    <w:p w14:paraId="4188B93F">
      <w:pPr>
        <w:pStyle w:val="7"/>
        <w:ind w:firstLine="560" w:firstLineChars="200"/>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rPr>
        <w:t>20</w:t>
      </w:r>
      <w:r>
        <w:rPr>
          <w:rFonts w:hint="default" w:ascii="Times New Roman" w:hAnsi="Times New Roman" w:eastAsia="仿宋" w:cs="Times New Roman"/>
          <w:sz w:val="28"/>
          <w:szCs w:val="28"/>
          <w:highlight w:val="none"/>
          <w:lang w:eastAsia="zh-CN"/>
        </w:rPr>
        <w:t>2</w:t>
      </w:r>
      <w:r>
        <w:rPr>
          <w:rFonts w:hint="eastAsia" w:ascii="Times New Roman" w:hAnsi="Times New Roman" w:eastAsia="仿宋" w:cs="Times New Roman"/>
          <w:sz w:val="28"/>
          <w:szCs w:val="28"/>
          <w:highlight w:val="none"/>
          <w:lang w:val="en-US" w:eastAsia="zh-CN"/>
        </w:rPr>
        <w:t>6</w:t>
      </w:r>
      <w:r>
        <w:rPr>
          <w:rFonts w:hint="default" w:ascii="Times New Roman" w:hAnsi="Times New Roman" w:eastAsia="仿宋" w:cs="Times New Roman"/>
          <w:sz w:val="28"/>
          <w:szCs w:val="28"/>
          <w:highlight w:val="none"/>
        </w:rPr>
        <w:t>年及以后各年度均保持202</w:t>
      </w:r>
      <w:r>
        <w:rPr>
          <w:rFonts w:hint="eastAsia" w:ascii="Times New Roman" w:hAnsi="Times New Roman" w:eastAsia="仿宋" w:cs="Times New Roman"/>
          <w:sz w:val="28"/>
          <w:szCs w:val="28"/>
          <w:highlight w:val="none"/>
          <w:lang w:val="en-US" w:eastAsia="zh-CN"/>
        </w:rPr>
        <w:t>5</w:t>
      </w:r>
      <w:r>
        <w:rPr>
          <w:rFonts w:hint="default" w:ascii="Times New Roman" w:hAnsi="Times New Roman" w:eastAsia="仿宋" w:cs="Times New Roman"/>
          <w:sz w:val="28"/>
          <w:szCs w:val="28"/>
          <w:highlight w:val="none"/>
        </w:rPr>
        <w:t>年度的水平稳定不变。</w:t>
      </w:r>
    </w:p>
    <w:p w14:paraId="6FFDF7DF">
      <w:pPr>
        <w:pStyle w:val="5"/>
        <w:numPr>
          <w:ilvl w:val="0"/>
          <w:numId w:val="0"/>
        </w:numPr>
        <w:spacing w:line="360" w:lineRule="auto"/>
        <w:ind w:firstLine="560" w:firstLineChars="200"/>
        <w:rPr>
          <w:rFonts w:hint="eastAsia" w:ascii="Times New Roman" w:hAnsi="Times New Roman" w:eastAsia="仿宋" w:cs="Times New Roman"/>
          <w:sz w:val="28"/>
          <w:szCs w:val="28"/>
          <w:highlight w:val="none"/>
          <w:lang w:val="en-US" w:eastAsia="zh-CN"/>
        </w:rPr>
      </w:pPr>
      <w:r>
        <w:rPr>
          <w:rFonts w:hint="eastAsia" w:ascii="Times New Roman" w:hAnsi="Times New Roman" w:eastAsia="仿宋" w:cs="Times New Roman"/>
          <w:sz w:val="28"/>
          <w:szCs w:val="28"/>
          <w:highlight w:val="none"/>
          <w:lang w:val="en-US" w:eastAsia="zh-CN"/>
        </w:rPr>
        <w:t>4、</w:t>
      </w:r>
      <w:r>
        <w:rPr>
          <w:rFonts w:hint="eastAsia" w:ascii="Times New Roman" w:eastAsia="仿宋" w:cs="Times New Roman"/>
          <w:sz w:val="28"/>
          <w:szCs w:val="28"/>
          <w:highlight w:val="none"/>
          <w:lang w:val="en-US" w:eastAsia="zh-CN"/>
        </w:rPr>
        <w:t>管理</w:t>
      </w:r>
      <w:r>
        <w:rPr>
          <w:rFonts w:hint="default" w:ascii="Times New Roman" w:hAnsi="Times New Roman" w:eastAsia="仿宋" w:cs="Times New Roman"/>
          <w:sz w:val="28"/>
          <w:szCs w:val="28"/>
          <w:highlight w:val="none"/>
        </w:rPr>
        <w:t>费用：根据历史成本数据推算出</w:t>
      </w:r>
      <w:r>
        <w:rPr>
          <w:rFonts w:hint="eastAsia" w:ascii="Times New Roman" w:eastAsia="仿宋" w:cs="Times New Roman"/>
          <w:sz w:val="28"/>
          <w:szCs w:val="28"/>
          <w:highlight w:val="none"/>
          <w:lang w:val="en-US" w:eastAsia="zh-CN"/>
        </w:rPr>
        <w:t>管理</w:t>
      </w:r>
      <w:r>
        <w:rPr>
          <w:rFonts w:hint="default" w:ascii="Times New Roman" w:hAnsi="Times New Roman" w:eastAsia="仿宋" w:cs="Times New Roman"/>
          <w:sz w:val="28"/>
          <w:szCs w:val="28"/>
          <w:highlight w:val="none"/>
        </w:rPr>
        <w:t>费用每年</w:t>
      </w:r>
      <w:r>
        <w:rPr>
          <w:rFonts w:hint="eastAsia" w:ascii="Times New Roman" w:eastAsia="仿宋" w:cs="Times New Roman"/>
          <w:sz w:val="28"/>
          <w:szCs w:val="28"/>
          <w:highlight w:val="none"/>
          <w:lang w:val="en-US" w:eastAsia="zh-CN"/>
        </w:rPr>
        <w:t>21.63</w:t>
      </w:r>
      <w:r>
        <w:rPr>
          <w:rFonts w:hint="default" w:ascii="Times New Roman" w:hAnsi="Times New Roman" w:eastAsia="仿宋" w:cs="Times New Roman"/>
          <w:sz w:val="28"/>
          <w:szCs w:val="28"/>
          <w:highlight w:val="none"/>
        </w:rPr>
        <w:t>万元</w:t>
      </w:r>
      <w:r>
        <w:rPr>
          <w:rFonts w:hint="eastAsia" w:ascii="Times New Roman" w:eastAsia="仿宋" w:cs="Times New Roman"/>
          <w:sz w:val="28"/>
          <w:szCs w:val="28"/>
          <w:highlight w:val="none"/>
          <w:lang w:eastAsia="zh-CN"/>
        </w:rPr>
        <w:t>。</w:t>
      </w:r>
    </w:p>
    <w:p w14:paraId="5F98A859">
      <w:pPr>
        <w:pStyle w:val="5"/>
        <w:numPr>
          <w:ilvl w:val="0"/>
          <w:numId w:val="0"/>
        </w:numPr>
        <w:spacing w:line="360" w:lineRule="auto"/>
        <w:ind w:firstLine="560" w:firstLineChars="200"/>
        <w:rPr>
          <w:rFonts w:hint="default" w:ascii="Times New Roman" w:hAnsi="Times New Roman" w:eastAsia="仿宋" w:cs="Times New Roman"/>
          <w:sz w:val="28"/>
          <w:szCs w:val="28"/>
          <w:highlight w:val="none"/>
        </w:rPr>
      </w:pPr>
      <w:r>
        <w:rPr>
          <w:rFonts w:hint="default" w:ascii="Times New Roman" w:hAnsi="Times New Roman" w:eastAsia="仿宋" w:cs="Times New Roman"/>
          <w:sz w:val="28"/>
          <w:szCs w:val="28"/>
          <w:highlight w:val="none"/>
        </w:rPr>
        <w:t>得出</w:t>
      </w:r>
      <w:r>
        <w:rPr>
          <w:rFonts w:hint="eastAsia" w:ascii="Times New Roman" w:eastAsia="仿宋" w:cs="Times New Roman"/>
          <w:sz w:val="28"/>
          <w:szCs w:val="28"/>
          <w:highlight w:val="none"/>
          <w:lang w:val="en-US" w:eastAsia="zh-CN"/>
        </w:rPr>
        <w:t>管理</w:t>
      </w:r>
      <w:r>
        <w:rPr>
          <w:rFonts w:hint="default" w:ascii="Times New Roman" w:hAnsi="Times New Roman" w:eastAsia="仿宋" w:cs="Times New Roman"/>
          <w:sz w:val="28"/>
          <w:szCs w:val="28"/>
          <w:highlight w:val="none"/>
        </w:rPr>
        <w:t>费用如下：</w:t>
      </w:r>
    </w:p>
    <w:p w14:paraId="3252AA66">
      <w:pPr>
        <w:pStyle w:val="5"/>
        <w:numPr>
          <w:ilvl w:val="0"/>
          <w:numId w:val="0"/>
        </w:numPr>
        <w:spacing w:line="360" w:lineRule="auto"/>
        <w:ind w:firstLine="400" w:firstLineChars="200"/>
        <w:jc w:val="right"/>
        <w:rPr>
          <w:rFonts w:hint="eastAsia" w:ascii="宋体" w:hAnsi="宋体" w:eastAsia="宋体" w:cs="宋体"/>
          <w:color w:val="000000"/>
          <w:sz w:val="20"/>
          <w:szCs w:val="20"/>
          <w:u w:val="none"/>
          <w:lang w:val="en-US" w:eastAsia="zh-CN" w:bidi="ar"/>
        </w:rPr>
      </w:pPr>
      <w:r>
        <w:rPr>
          <w:rFonts w:hint="eastAsia" w:ascii="宋体" w:hAnsi="宋体" w:eastAsia="宋体" w:cs="宋体"/>
          <w:color w:val="000000"/>
          <w:sz w:val="20"/>
          <w:szCs w:val="20"/>
          <w:u w:val="none"/>
          <w:lang w:val="en-US" w:eastAsia="zh-CN" w:bidi="ar"/>
        </w:rPr>
        <w:t>单位：万元</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2535"/>
        <w:gridCol w:w="1533"/>
        <w:gridCol w:w="973"/>
        <w:gridCol w:w="973"/>
        <w:gridCol w:w="973"/>
        <w:gridCol w:w="974"/>
        <w:gridCol w:w="867"/>
      </w:tblGrid>
      <w:tr w14:paraId="3A1A26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144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1C492D">
            <w:pPr>
              <w:keepNext w:val="0"/>
              <w:keepLines w:val="0"/>
              <w:widowControl/>
              <w:suppressLineNumbers w:val="0"/>
              <w:jc w:val="center"/>
              <w:textAlignment w:val="center"/>
              <w:rPr>
                <w:rFonts w:hint="eastAsia" w:ascii="宋体" w:hAnsi="宋体" w:eastAsia="宋体" w:cs="宋体"/>
                <w:i w:val="0"/>
                <w:iCs w:val="0"/>
                <w:color w:val="000000"/>
                <w:sz w:val="20"/>
                <w:szCs w:val="20"/>
                <w:u w:val="none"/>
              </w:rPr>
            </w:pPr>
            <w:r>
              <w:rPr>
                <w:rFonts w:hint="eastAsia" w:ascii="宋体" w:hAnsi="宋体" w:eastAsia="宋体" w:cs="宋体"/>
                <w:i w:val="0"/>
                <w:iCs w:val="0"/>
                <w:color w:val="000000"/>
                <w:kern w:val="0"/>
                <w:sz w:val="20"/>
                <w:szCs w:val="20"/>
                <w:u w:val="none"/>
                <w:lang w:val="en-US" w:eastAsia="zh-CN" w:bidi="ar"/>
              </w:rPr>
              <w:t>项目名称</w:t>
            </w:r>
          </w:p>
        </w:tc>
        <w:tc>
          <w:tcPr>
            <w:tcW w:w="81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1F2F3C">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2024年9-12月</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DD49EA">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2025年</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8DF3F1">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2026年</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40162E">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2027年</w:t>
            </w:r>
          </w:p>
        </w:tc>
        <w:tc>
          <w:tcPr>
            <w:tcW w:w="56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C8564D">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2028年</w:t>
            </w:r>
          </w:p>
        </w:tc>
        <w:tc>
          <w:tcPr>
            <w:tcW w:w="49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E6A087">
            <w:pPr>
              <w:keepNext w:val="0"/>
              <w:keepLines w:val="0"/>
              <w:widowControl/>
              <w:suppressLineNumbers w:val="0"/>
              <w:jc w:val="center"/>
              <w:textAlignment w:val="center"/>
              <w:rPr>
                <w:rFonts w:hint="default" w:ascii="Times New Roman" w:hAnsi="Times New Roman" w:eastAsia="宋体" w:cs="Times New Roman"/>
                <w:i w:val="0"/>
                <w:iCs w:val="0"/>
                <w:color w:val="000000"/>
                <w:sz w:val="20"/>
                <w:szCs w:val="20"/>
                <w:u w:val="none"/>
              </w:rPr>
            </w:pPr>
            <w:r>
              <w:rPr>
                <w:rFonts w:hint="default" w:ascii="Times New Roman" w:hAnsi="Times New Roman" w:eastAsia="宋体" w:cs="Times New Roman"/>
                <w:i w:val="0"/>
                <w:iCs w:val="0"/>
                <w:color w:val="000000"/>
                <w:kern w:val="0"/>
                <w:sz w:val="20"/>
                <w:szCs w:val="20"/>
                <w:u w:val="none"/>
                <w:lang w:val="en-US" w:eastAsia="zh-CN" w:bidi="ar"/>
              </w:rPr>
              <w:t>2029年</w:t>
            </w:r>
          </w:p>
        </w:tc>
      </w:tr>
      <w:tr w14:paraId="01BACCB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144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F578AF">
            <w:pPr>
              <w:keepNext w:val="0"/>
              <w:keepLines w:val="0"/>
              <w:widowControl/>
              <w:suppressLineNumbers w:val="0"/>
              <w:jc w:val="center"/>
              <w:textAlignment w:val="center"/>
              <w:rPr>
                <w:rFonts w:hint="default" w:ascii="宋体" w:hAnsi="宋体" w:eastAsia="宋体" w:cs="宋体"/>
                <w:b/>
                <w:bCs/>
                <w:i w:val="0"/>
                <w:iCs w:val="0"/>
                <w:color w:val="000000"/>
                <w:sz w:val="20"/>
                <w:szCs w:val="20"/>
                <w:u w:val="none"/>
                <w:lang w:val="en-US"/>
              </w:rPr>
            </w:pPr>
            <w:r>
              <w:rPr>
                <w:rFonts w:hint="eastAsia" w:hAnsi="宋体" w:cs="宋体"/>
                <w:b/>
                <w:bCs/>
                <w:i w:val="0"/>
                <w:iCs w:val="0"/>
                <w:color w:val="000000"/>
                <w:kern w:val="0"/>
                <w:sz w:val="20"/>
                <w:szCs w:val="20"/>
                <w:u w:val="none"/>
                <w:lang w:val="en-US" w:eastAsia="zh-CN" w:bidi="ar"/>
              </w:rPr>
              <w:t>管理</w:t>
            </w:r>
            <w:r>
              <w:rPr>
                <w:rFonts w:hint="eastAsia" w:ascii="宋体" w:hAnsi="宋体" w:eastAsia="宋体" w:cs="宋体"/>
                <w:b/>
                <w:bCs/>
                <w:i w:val="0"/>
                <w:iCs w:val="0"/>
                <w:color w:val="000000"/>
                <w:kern w:val="0"/>
                <w:sz w:val="20"/>
                <w:szCs w:val="20"/>
                <w:u w:val="none"/>
                <w:lang w:val="en-US" w:eastAsia="zh-CN" w:bidi="ar"/>
              </w:rPr>
              <w:t>费用</w:t>
            </w:r>
          </w:p>
        </w:tc>
        <w:tc>
          <w:tcPr>
            <w:tcW w:w="153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F8B9FD">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7.21</w:t>
            </w:r>
          </w:p>
        </w:tc>
        <w:tc>
          <w:tcPr>
            <w:tcW w:w="97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C1B760">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21.63</w:t>
            </w:r>
          </w:p>
        </w:tc>
        <w:tc>
          <w:tcPr>
            <w:tcW w:w="97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0F2ED9">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21.63</w:t>
            </w:r>
          </w:p>
        </w:tc>
        <w:tc>
          <w:tcPr>
            <w:tcW w:w="97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3ED9D4">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21.63</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6072F6">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21.63</w:t>
            </w:r>
          </w:p>
        </w:tc>
        <w:tc>
          <w:tcPr>
            <w:tcW w:w="86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607C3A">
            <w:pPr>
              <w:keepNext w:val="0"/>
              <w:keepLines w:val="0"/>
              <w:widowControl/>
              <w:suppressLineNumbers w:val="0"/>
              <w:jc w:val="center"/>
              <w:textAlignment w:val="center"/>
              <w:rPr>
                <w:rFonts w:hint="default" w:ascii="Times New Roman" w:hAnsi="Times New Roman" w:eastAsia="宋体" w:cs="Times New Roman"/>
                <w:b/>
                <w:bCs/>
                <w:i w:val="0"/>
                <w:iCs w:val="0"/>
                <w:color w:val="000000"/>
                <w:sz w:val="20"/>
                <w:szCs w:val="20"/>
                <w:u w:val="none"/>
              </w:rPr>
            </w:pPr>
            <w:r>
              <w:rPr>
                <w:rFonts w:hint="default" w:ascii="Times New Roman" w:hAnsi="Times New Roman" w:eastAsia="宋体" w:cs="Times New Roman"/>
                <w:b/>
                <w:bCs/>
                <w:i w:val="0"/>
                <w:iCs w:val="0"/>
                <w:color w:val="000000"/>
                <w:kern w:val="0"/>
                <w:sz w:val="20"/>
                <w:szCs w:val="20"/>
                <w:u w:val="none"/>
                <w:lang w:val="en-US" w:eastAsia="zh-CN" w:bidi="ar"/>
              </w:rPr>
              <w:t>21.63</w:t>
            </w:r>
          </w:p>
        </w:tc>
      </w:tr>
    </w:tbl>
    <w:p w14:paraId="5DEC7E31">
      <w:pPr>
        <w:pStyle w:val="7"/>
        <w:ind w:firstLine="560" w:firstLineChars="200"/>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rPr>
        <w:t>20</w:t>
      </w:r>
      <w:r>
        <w:rPr>
          <w:rFonts w:hint="default" w:ascii="Times New Roman" w:hAnsi="Times New Roman" w:eastAsia="仿宋" w:cs="Times New Roman"/>
          <w:sz w:val="28"/>
          <w:szCs w:val="28"/>
          <w:highlight w:val="none"/>
          <w:lang w:eastAsia="zh-CN"/>
        </w:rPr>
        <w:t>2</w:t>
      </w:r>
      <w:r>
        <w:rPr>
          <w:rFonts w:hint="eastAsia" w:ascii="Times New Roman" w:hAnsi="Times New Roman" w:eastAsia="仿宋" w:cs="Times New Roman"/>
          <w:sz w:val="28"/>
          <w:szCs w:val="28"/>
          <w:highlight w:val="none"/>
          <w:lang w:val="en-US" w:eastAsia="zh-CN"/>
        </w:rPr>
        <w:t>6</w:t>
      </w:r>
      <w:r>
        <w:rPr>
          <w:rFonts w:hint="default" w:ascii="Times New Roman" w:hAnsi="Times New Roman" w:eastAsia="仿宋" w:cs="Times New Roman"/>
          <w:sz w:val="28"/>
          <w:szCs w:val="28"/>
          <w:highlight w:val="none"/>
        </w:rPr>
        <w:t>年及以后各年度均保持202</w:t>
      </w:r>
      <w:r>
        <w:rPr>
          <w:rFonts w:hint="eastAsia" w:ascii="Times New Roman" w:hAnsi="Times New Roman" w:eastAsia="仿宋" w:cs="Times New Roman"/>
          <w:sz w:val="28"/>
          <w:szCs w:val="28"/>
          <w:highlight w:val="none"/>
          <w:lang w:val="en-US" w:eastAsia="zh-CN"/>
        </w:rPr>
        <w:t>5</w:t>
      </w:r>
      <w:r>
        <w:rPr>
          <w:rFonts w:hint="default" w:ascii="Times New Roman" w:hAnsi="Times New Roman" w:eastAsia="仿宋" w:cs="Times New Roman"/>
          <w:sz w:val="28"/>
          <w:szCs w:val="28"/>
          <w:highlight w:val="none"/>
        </w:rPr>
        <w:t>年度的水平稳定不变。</w:t>
      </w:r>
    </w:p>
    <w:p w14:paraId="6B3DCD49">
      <w:pPr>
        <w:pStyle w:val="5"/>
        <w:numPr>
          <w:ilvl w:val="0"/>
          <w:numId w:val="0"/>
        </w:numPr>
        <w:spacing w:line="360" w:lineRule="auto"/>
        <w:ind w:firstLine="560" w:firstLineChars="200"/>
        <w:rPr>
          <w:rFonts w:hint="default" w:ascii="Times New Roman" w:hAnsi="Times New Roman" w:eastAsia="仿宋" w:cs="Times New Roman"/>
          <w:sz w:val="28"/>
          <w:szCs w:val="28"/>
          <w:highlight w:val="none"/>
          <w:lang w:val="en-US" w:eastAsia="zh-CN"/>
        </w:rPr>
      </w:pPr>
      <w:r>
        <w:rPr>
          <w:rFonts w:hint="eastAsia" w:ascii="Times New Roman" w:eastAsia="仿宋" w:cs="Times New Roman"/>
          <w:sz w:val="28"/>
          <w:szCs w:val="28"/>
          <w:highlight w:val="none"/>
          <w:lang w:val="en-US" w:eastAsia="zh-CN"/>
        </w:rPr>
        <w:t>5、</w:t>
      </w:r>
      <w:r>
        <w:rPr>
          <w:rFonts w:hint="default" w:ascii="Times New Roman" w:hAnsi="Times New Roman" w:eastAsia="仿宋" w:cs="Times New Roman"/>
          <w:sz w:val="28"/>
          <w:szCs w:val="28"/>
          <w:highlight w:val="none"/>
          <w:lang w:val="en-US" w:eastAsia="zh-CN"/>
        </w:rPr>
        <w:t>税费</w:t>
      </w:r>
    </w:p>
    <w:p w14:paraId="7D129A51">
      <w:pPr>
        <w:pStyle w:val="5"/>
        <w:numPr>
          <w:ilvl w:val="0"/>
          <w:numId w:val="0"/>
        </w:numPr>
        <w:spacing w:line="360" w:lineRule="auto"/>
        <w:ind w:firstLine="560" w:firstLineChars="200"/>
        <w:rPr>
          <w:rFonts w:hint="default" w:ascii="Times New Roman" w:hAnsi="Times New Roman" w:eastAsia="仿宋" w:cs="Times New Roman"/>
          <w:sz w:val="28"/>
          <w:szCs w:val="28"/>
          <w:highlight w:val="none"/>
          <w:lang w:val="en-US" w:eastAsia="zh-CN"/>
        </w:rPr>
      </w:pPr>
      <w:r>
        <w:rPr>
          <w:rFonts w:hint="eastAsia" w:ascii="Times New Roman" w:hAnsi="Times New Roman" w:eastAsia="仿宋" w:cs="Times New Roman"/>
          <w:sz w:val="28"/>
          <w:szCs w:val="28"/>
          <w:highlight w:val="none"/>
          <w:lang w:val="en-US" w:eastAsia="zh-CN"/>
        </w:rPr>
        <w:t>供水收入</w:t>
      </w:r>
      <w:r>
        <w:rPr>
          <w:rFonts w:hint="default" w:ascii="Times New Roman" w:hAnsi="Times New Roman" w:eastAsia="仿宋" w:cs="Times New Roman"/>
          <w:sz w:val="28"/>
          <w:szCs w:val="28"/>
          <w:highlight w:val="none"/>
          <w:lang w:val="en-US" w:eastAsia="zh-CN"/>
        </w:rPr>
        <w:t>以</w:t>
      </w:r>
      <w:r>
        <w:rPr>
          <w:rFonts w:hint="eastAsia" w:ascii="Times New Roman" w:hAnsi="Times New Roman" w:eastAsia="仿宋" w:cs="Times New Roman"/>
          <w:sz w:val="28"/>
          <w:szCs w:val="28"/>
          <w:highlight w:val="none"/>
          <w:lang w:val="en-US" w:eastAsia="zh-CN"/>
        </w:rPr>
        <w:t>3</w:t>
      </w:r>
      <w:r>
        <w:rPr>
          <w:rFonts w:hint="default" w:ascii="Times New Roman" w:hAnsi="Times New Roman" w:eastAsia="仿宋" w:cs="Times New Roman"/>
          <w:sz w:val="28"/>
          <w:szCs w:val="28"/>
          <w:highlight w:val="none"/>
          <w:lang w:val="en-US" w:eastAsia="zh-CN"/>
        </w:rPr>
        <w:t>%计取增值税</w:t>
      </w:r>
      <w:r>
        <w:rPr>
          <w:rFonts w:hint="eastAsia" w:ascii="Times New Roman" w:hAnsi="Times New Roman" w:eastAsia="仿宋" w:cs="Times New Roman"/>
          <w:sz w:val="28"/>
          <w:szCs w:val="28"/>
          <w:highlight w:val="none"/>
          <w:lang w:val="en-US" w:eastAsia="zh-CN"/>
        </w:rPr>
        <w:t>，</w:t>
      </w:r>
      <w:r>
        <w:rPr>
          <w:rFonts w:hint="default" w:ascii="Times New Roman" w:hAnsi="Times New Roman" w:eastAsia="仿宋" w:cs="Times New Roman"/>
          <w:sz w:val="28"/>
          <w:szCs w:val="28"/>
          <w:highlight w:val="none"/>
          <w:lang w:val="en-US" w:eastAsia="zh-CN"/>
        </w:rPr>
        <w:t>以增值税为税基计取营业税金及附加，营业税金及附加主要包括城市建设维护税、教育费附加、地方教育费附加等。各项营业税金及附加项目的计提标准如下：</w:t>
      </w:r>
    </w:p>
    <w:p w14:paraId="29C159CC">
      <w:pPr>
        <w:pStyle w:val="5"/>
        <w:spacing w:line="360" w:lineRule="auto"/>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lang w:val="en-US" w:eastAsia="zh-CN"/>
        </w:rPr>
        <w:t>A、城市维护建设税：按应缴纳增值税额的</w:t>
      </w:r>
      <w:r>
        <w:rPr>
          <w:rFonts w:hint="eastAsia" w:ascii="Times New Roman" w:hAnsi="Times New Roman" w:eastAsia="仿宋" w:cs="Times New Roman"/>
          <w:sz w:val="28"/>
          <w:szCs w:val="28"/>
          <w:highlight w:val="none"/>
          <w:lang w:val="en-US" w:eastAsia="zh-CN"/>
        </w:rPr>
        <w:t>5</w:t>
      </w:r>
      <w:r>
        <w:rPr>
          <w:rFonts w:hint="default" w:ascii="Times New Roman" w:hAnsi="Times New Roman" w:eastAsia="仿宋" w:cs="Times New Roman"/>
          <w:sz w:val="28"/>
          <w:szCs w:val="28"/>
          <w:highlight w:val="none"/>
          <w:lang w:val="en-US" w:eastAsia="zh-CN"/>
        </w:rPr>
        <w:t>.0%计缴；</w:t>
      </w:r>
    </w:p>
    <w:p w14:paraId="248ACC5F">
      <w:pPr>
        <w:pStyle w:val="5"/>
        <w:spacing w:line="360" w:lineRule="auto"/>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lang w:val="en-US" w:eastAsia="zh-CN"/>
        </w:rPr>
        <w:t>B、教育费附加：按应缴纳增值税额的3%计缴；</w:t>
      </w:r>
    </w:p>
    <w:p w14:paraId="1D5010DB">
      <w:pPr>
        <w:pStyle w:val="5"/>
        <w:spacing w:line="360" w:lineRule="auto"/>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lang w:val="en-US" w:eastAsia="zh-CN"/>
        </w:rPr>
        <w:t>C、地方教育费附加：按应缴纳增值税额的2%计缴</w:t>
      </w:r>
    </w:p>
    <w:p w14:paraId="3D86EA2A">
      <w:pPr>
        <w:pStyle w:val="5"/>
        <w:spacing w:line="360" w:lineRule="auto"/>
        <w:ind w:firstLine="560" w:firstLineChars="200"/>
        <w:rPr>
          <w:rFonts w:hint="default" w:ascii="Times New Roman" w:hAnsi="Times New Roman" w:eastAsia="仿宋" w:cs="Times New Roman"/>
          <w:sz w:val="28"/>
          <w:szCs w:val="28"/>
          <w:highlight w:val="none"/>
          <w:lang w:val="en-US" w:eastAsia="zh-CN"/>
        </w:rPr>
      </w:pPr>
      <w:r>
        <w:rPr>
          <w:rFonts w:hint="eastAsia" w:ascii="Times New Roman" w:eastAsia="仿宋" w:cs="Times New Roman"/>
          <w:sz w:val="28"/>
          <w:szCs w:val="28"/>
          <w:highlight w:val="none"/>
          <w:lang w:val="en-US" w:eastAsia="zh-CN"/>
        </w:rPr>
        <w:t>6</w:t>
      </w:r>
      <w:r>
        <w:rPr>
          <w:rFonts w:hint="eastAsia" w:ascii="Times New Roman" w:hAnsi="Times New Roman" w:eastAsia="仿宋" w:cs="Times New Roman"/>
          <w:sz w:val="28"/>
          <w:szCs w:val="28"/>
          <w:highlight w:val="none"/>
          <w:lang w:val="en-US" w:eastAsia="zh-CN"/>
        </w:rPr>
        <w:t>、</w:t>
      </w:r>
      <w:r>
        <w:rPr>
          <w:rFonts w:hint="default" w:ascii="Times New Roman" w:hAnsi="Times New Roman" w:eastAsia="仿宋" w:cs="Times New Roman"/>
          <w:sz w:val="28"/>
          <w:szCs w:val="28"/>
          <w:highlight w:val="none"/>
          <w:lang w:val="en-US" w:eastAsia="zh-CN"/>
        </w:rPr>
        <w:t>所得税率按25%计取。</w:t>
      </w:r>
    </w:p>
    <w:p w14:paraId="57461298">
      <w:pPr>
        <w:pStyle w:val="5"/>
        <w:numPr>
          <w:ilvl w:val="0"/>
          <w:numId w:val="0"/>
        </w:numPr>
        <w:spacing w:line="360" w:lineRule="auto"/>
        <w:ind w:firstLine="560" w:firstLineChars="200"/>
        <w:rPr>
          <w:rFonts w:hint="eastAsia" w:ascii="Times New Roman" w:hAnsi="Times New Roman" w:eastAsia="仿宋" w:cs="Times New Roman"/>
          <w:sz w:val="28"/>
          <w:szCs w:val="28"/>
          <w:highlight w:val="none"/>
          <w:lang w:val="en-US" w:eastAsia="zh-CN"/>
        </w:rPr>
      </w:pPr>
      <w:r>
        <w:rPr>
          <w:rFonts w:hint="eastAsia" w:ascii="Times New Roman" w:eastAsia="仿宋" w:cs="Times New Roman"/>
          <w:sz w:val="28"/>
          <w:szCs w:val="28"/>
          <w:highlight w:val="none"/>
          <w:lang w:val="en-US" w:eastAsia="zh-CN"/>
        </w:rPr>
        <w:t>7</w:t>
      </w:r>
      <w:r>
        <w:rPr>
          <w:rFonts w:hint="eastAsia" w:ascii="Times New Roman" w:hAnsi="Times New Roman" w:eastAsia="仿宋" w:cs="Times New Roman"/>
          <w:sz w:val="28"/>
          <w:szCs w:val="28"/>
          <w:highlight w:val="none"/>
          <w:lang w:val="en-US" w:eastAsia="zh-CN"/>
        </w:rPr>
        <w:t>、</w:t>
      </w:r>
      <w:r>
        <w:rPr>
          <w:rFonts w:hint="eastAsia" w:ascii="Times New Roman" w:hAnsi="Times New Roman" w:eastAsia="仿宋" w:cs="Times New Roman"/>
          <w:sz w:val="28"/>
          <w:szCs w:val="28"/>
          <w:highlight w:val="none"/>
        </w:rPr>
        <w:t>营运资金增加额</w:t>
      </w:r>
    </w:p>
    <w:p w14:paraId="0B79E797">
      <w:pPr>
        <w:pStyle w:val="5"/>
        <w:numPr>
          <w:ilvl w:val="0"/>
          <w:numId w:val="0"/>
        </w:numPr>
        <w:spacing w:line="360" w:lineRule="auto"/>
        <w:ind w:firstLine="560" w:firstLineChars="200"/>
        <w:rPr>
          <w:rFonts w:hint="default" w:ascii="Times New Roman" w:hAnsi="Times New Roman" w:eastAsia="仿宋" w:cs="Times New Roman"/>
          <w:sz w:val="28"/>
          <w:szCs w:val="28"/>
          <w:highlight w:val="none"/>
          <w:lang w:val="en-US" w:eastAsia="zh-CN"/>
        </w:rPr>
      </w:pPr>
      <w:r>
        <w:rPr>
          <w:rFonts w:hint="eastAsia" w:ascii="Times New Roman" w:hAnsi="Times New Roman" w:eastAsia="仿宋" w:cs="Times New Roman"/>
          <w:sz w:val="28"/>
          <w:szCs w:val="28"/>
          <w:highlight w:val="none"/>
        </w:rPr>
        <w:t>营运资金增加额</w:t>
      </w:r>
      <w:r>
        <w:rPr>
          <w:rFonts w:hint="eastAsia" w:ascii="Times New Roman" w:hAnsi="Times New Roman" w:eastAsia="仿宋" w:cs="Times New Roman"/>
          <w:sz w:val="28"/>
          <w:szCs w:val="28"/>
          <w:highlight w:val="none"/>
          <w:lang w:val="en-US" w:eastAsia="zh-CN"/>
        </w:rPr>
        <w:t>=（N年收入-（N-1）年收入）×10%</w:t>
      </w:r>
    </w:p>
    <w:p w14:paraId="48BB449C">
      <w:pPr>
        <w:pStyle w:val="5"/>
        <w:spacing w:line="360" w:lineRule="auto"/>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lang w:val="en-US" w:eastAsia="zh-CN"/>
        </w:rPr>
        <w:t>由以上可得：</w:t>
      </w:r>
    </w:p>
    <w:tbl>
      <w:tblPr>
        <w:tblStyle w:val="16"/>
        <w:tblW w:w="10779" w:type="dxa"/>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937"/>
        <w:gridCol w:w="1560"/>
        <w:gridCol w:w="974"/>
        <w:gridCol w:w="1149"/>
        <w:gridCol w:w="1066"/>
        <w:gridCol w:w="1086"/>
        <w:gridCol w:w="1024"/>
        <w:gridCol w:w="997"/>
        <w:gridCol w:w="986"/>
      </w:tblGrid>
      <w:tr w14:paraId="7CE73EB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jc w:val="center"/>
        </w:trPr>
        <w:tc>
          <w:tcPr>
            <w:tcW w:w="1937" w:type="dxa"/>
            <w:tcBorders>
              <w:top w:val="single" w:color="000000" w:sz="8" w:space="0"/>
              <w:left w:val="single" w:color="000000" w:sz="8" w:space="0"/>
              <w:bottom w:val="single" w:color="000000" w:sz="4" w:space="0"/>
              <w:right w:val="single" w:color="000000" w:sz="4" w:space="0"/>
            </w:tcBorders>
            <w:shd w:val="clear" w:color="auto" w:fill="auto"/>
            <w:noWrap/>
            <w:vAlign w:val="center"/>
          </w:tcPr>
          <w:p w14:paraId="617FD5D3">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项目</w:t>
            </w:r>
          </w:p>
        </w:tc>
        <w:tc>
          <w:tcPr>
            <w:tcW w:w="1560"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093FFF3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2024年9-12月</w:t>
            </w:r>
          </w:p>
        </w:tc>
        <w:tc>
          <w:tcPr>
            <w:tcW w:w="974"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6BC2C20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2025年</w:t>
            </w:r>
          </w:p>
        </w:tc>
        <w:tc>
          <w:tcPr>
            <w:tcW w:w="1149"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5F96581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2026年</w:t>
            </w:r>
          </w:p>
        </w:tc>
        <w:tc>
          <w:tcPr>
            <w:tcW w:w="1066"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3935364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2027年</w:t>
            </w:r>
          </w:p>
        </w:tc>
        <w:tc>
          <w:tcPr>
            <w:tcW w:w="1086"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3632AD6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2028年</w:t>
            </w:r>
          </w:p>
        </w:tc>
        <w:tc>
          <w:tcPr>
            <w:tcW w:w="1024"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40CC3BF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2029年</w:t>
            </w:r>
          </w:p>
        </w:tc>
        <w:tc>
          <w:tcPr>
            <w:tcW w:w="997"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14A0FBA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20</w:t>
            </w:r>
            <w:r>
              <w:rPr>
                <w:rFonts w:hint="eastAsia" w:ascii="Times New Roman" w:cs="Times New Roman"/>
                <w:i w:val="0"/>
                <w:iCs w:val="0"/>
                <w:color w:val="000000"/>
                <w:kern w:val="0"/>
                <w:sz w:val="18"/>
                <w:szCs w:val="18"/>
                <w:u w:val="none"/>
                <w:lang w:val="en-US" w:eastAsia="zh-CN" w:bidi="ar"/>
              </w:rPr>
              <w:t>30</w:t>
            </w:r>
            <w:r>
              <w:rPr>
                <w:rFonts w:hint="default" w:ascii="Times New Roman" w:hAnsi="Times New Roman" w:eastAsia="宋体" w:cs="Times New Roman"/>
                <w:i w:val="0"/>
                <w:iCs w:val="0"/>
                <w:color w:val="000000"/>
                <w:kern w:val="0"/>
                <w:sz w:val="18"/>
                <w:szCs w:val="18"/>
                <w:u w:val="none"/>
                <w:lang w:val="en-US" w:eastAsia="zh-CN" w:bidi="ar"/>
              </w:rPr>
              <w:t>年</w:t>
            </w:r>
          </w:p>
        </w:tc>
        <w:tc>
          <w:tcPr>
            <w:tcW w:w="986" w:type="dxa"/>
            <w:tcBorders>
              <w:top w:val="single" w:color="000000" w:sz="8" w:space="0"/>
              <w:left w:val="single" w:color="000000" w:sz="4" w:space="0"/>
              <w:bottom w:val="single" w:color="000000" w:sz="4" w:space="0"/>
              <w:right w:val="single" w:color="000000" w:sz="4" w:space="0"/>
            </w:tcBorders>
            <w:shd w:val="clear" w:color="auto" w:fill="auto"/>
            <w:noWrap/>
            <w:vAlign w:val="center"/>
          </w:tcPr>
          <w:p w14:paraId="0EAE37D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lang w:val="en-US" w:eastAsia="zh-CN" w:bidi="ar-SA"/>
              </w:rPr>
            </w:pPr>
            <w:r>
              <w:rPr>
                <w:rFonts w:hint="default" w:ascii="Times New Roman" w:hAnsi="Times New Roman" w:eastAsia="宋体" w:cs="Times New Roman"/>
                <w:i w:val="0"/>
                <w:iCs w:val="0"/>
                <w:color w:val="000000"/>
                <w:kern w:val="0"/>
                <w:sz w:val="18"/>
                <w:szCs w:val="18"/>
                <w:u w:val="none"/>
                <w:lang w:val="en-US" w:eastAsia="zh-CN" w:bidi="ar"/>
              </w:rPr>
              <w:t>2031年</w:t>
            </w:r>
          </w:p>
        </w:tc>
      </w:tr>
      <w:tr w14:paraId="51A487A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215FC259">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主营业务收入</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A46DA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878.48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F3329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2,635.46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ECC53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2,635.46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29327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2,635.46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65D3E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2,780.36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29B57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2,780.36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4DD6F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2,780.36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59D4A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2,780.36</w:t>
            </w:r>
          </w:p>
        </w:tc>
      </w:tr>
      <w:tr w14:paraId="5F8C34B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6B24CC74">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主营业务成本</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65771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459.12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50CE2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1,414.52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2F2D6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1,414.52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7C40C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1,414.52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78796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1,486.40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3C08F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1,419.73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7D2C2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1,286.40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64185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1,328.20</w:t>
            </w:r>
          </w:p>
        </w:tc>
      </w:tr>
      <w:tr w14:paraId="6CA3347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03D9BA62">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销售税金及附加</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AC7C9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1.60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4E58C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4.79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3BB7E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4.79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5A907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4.79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15FED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5.04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E03DF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5.04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23B3E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5.04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37880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5.04</w:t>
            </w:r>
          </w:p>
        </w:tc>
      </w:tr>
      <w:tr w14:paraId="1F9BCDA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76270A13">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主营业务利润</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90D54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417.77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9E6C9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1,216.15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CB4EB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1,216.15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973A7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1,216.15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3ABC0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1,288.92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E4F32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1,355.59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D9DDF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1,488.92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3466F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1,447.12</w:t>
            </w:r>
          </w:p>
        </w:tc>
      </w:tr>
      <w:tr w14:paraId="549B1B0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76F151A0">
            <w:pPr>
              <w:keepNext w:val="0"/>
              <w:keepLines w:val="0"/>
              <w:widowControl/>
              <w:suppressLineNumbers w:val="0"/>
              <w:ind w:firstLine="0"/>
              <w:jc w:val="left"/>
              <w:textAlignment w:val="center"/>
              <w:rPr>
                <w:rFonts w:hint="eastAsia" w:ascii="宋体" w:hAnsi="宋体" w:eastAsia="宋体" w:cs="宋体"/>
                <w:i w:val="0"/>
                <w:iCs w:val="0"/>
                <w:color w:val="000000"/>
                <w:kern w:val="0"/>
                <w:sz w:val="18"/>
                <w:szCs w:val="18"/>
                <w:u w:val="none"/>
                <w:lang w:val="en-US" w:eastAsia="zh-CN" w:bidi="ar"/>
              </w:rPr>
            </w:pPr>
            <w:r>
              <w:rPr>
                <w:rFonts w:hint="eastAsia" w:ascii="宋体" w:hAnsi="宋体" w:eastAsia="宋体" w:cs="宋体"/>
                <w:i w:val="0"/>
                <w:iCs w:val="0"/>
                <w:color w:val="000000"/>
                <w:kern w:val="0"/>
                <w:sz w:val="18"/>
                <w:szCs w:val="18"/>
                <w:u w:val="none"/>
                <w:lang w:val="en-US" w:eastAsia="zh-CN" w:bidi="ar"/>
              </w:rPr>
              <w:t>管理费用</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4F5E2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7.21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607F1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21.63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BAC76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21.63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57C27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21.63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A37AA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21.63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FFB70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21.63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A03BC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21.63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CC20C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21.63</w:t>
            </w:r>
          </w:p>
        </w:tc>
      </w:tr>
      <w:tr w14:paraId="412DFB8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0F54BA81">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财务费用</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C0B8B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0.26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0D963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0.79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062CB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0.79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C559F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0.79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1079E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0.79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AB868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0.79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68A4D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0.79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5E03A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0.79</w:t>
            </w:r>
          </w:p>
        </w:tc>
      </w:tr>
      <w:tr w14:paraId="2EA0813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276B4057">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营业利润</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F5068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410.30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4A43E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1,193.73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6F477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1,193.73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4FB31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1,193.73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4B60D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1,266.50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22FDD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1,333.17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3F3FF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1,466.50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F6877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1,424.70</w:t>
            </w:r>
          </w:p>
        </w:tc>
      </w:tr>
      <w:tr w14:paraId="0233D29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bottom"/>
          </w:tcPr>
          <w:p w14:paraId="08D1ADE4">
            <w:pPr>
              <w:keepNext w:val="0"/>
              <w:keepLines w:val="0"/>
              <w:widowControl/>
              <w:suppressLineNumbers w:val="0"/>
              <w:jc w:val="left"/>
              <w:textAlignment w:val="bottom"/>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利润总额</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4D3E7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410.30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038AE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1,193.73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FA003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1,193.73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C93D8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1,193.73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B036C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1,266.50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70843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1,333.17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7B2F2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1,466.50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DB9C0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1,424.70</w:t>
            </w:r>
          </w:p>
        </w:tc>
      </w:tr>
      <w:tr w14:paraId="21FD96E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2CCF1901">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息前税后利润</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53E8F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410.56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74F06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08601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4EE8D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22981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1,267.29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6C396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1,333.96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A4C6A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1,467.29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8DEC6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1,425.49</w:t>
            </w:r>
          </w:p>
        </w:tc>
      </w:tr>
      <w:tr w14:paraId="2C832B9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13"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03EBCDDC">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减：营运资金增加额</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CA96D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87.85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73643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175.70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6D04E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089A9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BBACA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14.49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CD705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ACA18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480A7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w:t>
            </w:r>
          </w:p>
        </w:tc>
      </w:tr>
      <w:tr w14:paraId="45BB84D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1" w:hRule="atLeast"/>
          <w:jc w:val="center"/>
        </w:trPr>
        <w:tc>
          <w:tcPr>
            <w:tcW w:w="1937" w:type="dxa"/>
            <w:tcBorders>
              <w:top w:val="single" w:color="000000" w:sz="4" w:space="0"/>
              <w:left w:val="single" w:color="000000" w:sz="8" w:space="0"/>
              <w:bottom w:val="single" w:color="000000" w:sz="4" w:space="0"/>
              <w:right w:val="single" w:color="000000" w:sz="4" w:space="0"/>
            </w:tcBorders>
            <w:shd w:val="clear" w:color="auto" w:fill="auto"/>
            <w:noWrap/>
            <w:vAlign w:val="center"/>
          </w:tcPr>
          <w:p w14:paraId="28B42B01">
            <w:pPr>
              <w:keepNext w:val="0"/>
              <w:keepLines w:val="0"/>
              <w:widowControl/>
              <w:suppressLineNumbers w:val="0"/>
              <w:jc w:val="left"/>
              <w:textAlignment w:val="center"/>
              <w:rPr>
                <w:rFonts w:hint="default" w:ascii="Times New Roman" w:hAnsi="Times New Roman" w:eastAsia="宋体" w:cs="Times New Roman"/>
                <w:i w:val="0"/>
                <w:iCs w:val="0"/>
                <w:color w:val="000000"/>
                <w:sz w:val="18"/>
                <w:szCs w:val="18"/>
                <w:u w:val="none"/>
              </w:rPr>
            </w:pPr>
            <w:r>
              <w:rPr>
                <w:rFonts w:hint="eastAsia" w:ascii="宋体" w:hAnsi="宋体" w:eastAsia="宋体" w:cs="宋体"/>
                <w:i w:val="0"/>
                <w:iCs w:val="0"/>
                <w:color w:val="000000"/>
                <w:kern w:val="0"/>
                <w:sz w:val="18"/>
                <w:szCs w:val="18"/>
                <w:u w:val="none"/>
                <w:lang w:val="en-US" w:eastAsia="zh-CN" w:bidi="ar"/>
              </w:rPr>
              <w:t>净现金流</w:t>
            </w:r>
          </w:p>
        </w:tc>
        <w:tc>
          <w:tcPr>
            <w:tcW w:w="156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3C1DDA">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322.71 </w:t>
            </w:r>
          </w:p>
        </w:tc>
        <w:tc>
          <w:tcPr>
            <w:tcW w:w="9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EBBF2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1,018.82 </w:t>
            </w:r>
          </w:p>
        </w:tc>
        <w:tc>
          <w:tcPr>
            <w:tcW w:w="114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23BF6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0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6B98F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0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FDC60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1,252.80 </w:t>
            </w:r>
          </w:p>
        </w:tc>
        <w:tc>
          <w:tcPr>
            <w:tcW w:w="102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5EE43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u w:val="none"/>
              </w:rPr>
            </w:pPr>
            <w:r>
              <w:rPr>
                <w:rFonts w:hint="default" w:ascii="Times New Roman" w:hAnsi="Times New Roman" w:eastAsia="宋体" w:cs="Times New Roman"/>
                <w:i w:val="0"/>
                <w:iCs w:val="0"/>
                <w:color w:val="000000"/>
                <w:kern w:val="0"/>
                <w:sz w:val="18"/>
                <w:szCs w:val="18"/>
                <w:u w:val="none"/>
                <w:lang w:val="en-US" w:eastAsia="zh-CN" w:bidi="ar"/>
              </w:rPr>
              <w:t xml:space="preserve">1,333.96 </w:t>
            </w:r>
          </w:p>
        </w:tc>
        <w:tc>
          <w:tcPr>
            <w:tcW w:w="99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EEC68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1,467.29 </w:t>
            </w:r>
          </w:p>
        </w:tc>
        <w:tc>
          <w:tcPr>
            <w:tcW w:w="9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61A34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1,425.49</w:t>
            </w:r>
          </w:p>
        </w:tc>
      </w:tr>
    </w:tbl>
    <w:p w14:paraId="1CC289E6">
      <w:pPr>
        <w:pStyle w:val="7"/>
        <w:ind w:firstLine="560" w:firstLineChars="200"/>
        <w:rPr>
          <w:rFonts w:hint="default" w:ascii="Times New Roman" w:hAnsi="Times New Roman" w:eastAsia="仿宋" w:cs="Times New Roman"/>
          <w:sz w:val="28"/>
          <w:szCs w:val="28"/>
          <w:highlight w:val="none"/>
          <w:lang w:val="en-US" w:eastAsia="zh-CN"/>
        </w:rPr>
      </w:pPr>
      <w:r>
        <w:rPr>
          <w:rFonts w:hint="default" w:ascii="Times New Roman" w:hAnsi="Times New Roman" w:eastAsia="仿宋" w:cs="Times New Roman"/>
          <w:sz w:val="28"/>
          <w:szCs w:val="28"/>
          <w:highlight w:val="none"/>
        </w:rPr>
        <w:t>20</w:t>
      </w:r>
      <w:r>
        <w:rPr>
          <w:rFonts w:hint="eastAsia" w:ascii="Times New Roman" w:eastAsia="仿宋" w:cs="Times New Roman"/>
          <w:sz w:val="28"/>
          <w:szCs w:val="28"/>
          <w:highlight w:val="none"/>
          <w:lang w:val="en-US" w:eastAsia="zh-CN"/>
        </w:rPr>
        <w:t>32</w:t>
      </w:r>
      <w:r>
        <w:rPr>
          <w:rFonts w:hint="default" w:ascii="Times New Roman" w:hAnsi="Times New Roman" w:eastAsia="仿宋" w:cs="Times New Roman"/>
          <w:sz w:val="28"/>
          <w:szCs w:val="28"/>
          <w:highlight w:val="none"/>
        </w:rPr>
        <w:t>年及以后各年度均保持20</w:t>
      </w:r>
      <w:r>
        <w:rPr>
          <w:rFonts w:hint="eastAsia" w:ascii="Times New Roman" w:eastAsia="仿宋" w:cs="Times New Roman"/>
          <w:sz w:val="28"/>
          <w:szCs w:val="28"/>
          <w:highlight w:val="none"/>
          <w:lang w:val="en-US" w:eastAsia="zh-CN"/>
        </w:rPr>
        <w:t>31</w:t>
      </w:r>
      <w:r>
        <w:rPr>
          <w:rFonts w:hint="default" w:ascii="Times New Roman" w:hAnsi="Times New Roman" w:eastAsia="仿宋" w:cs="Times New Roman"/>
          <w:sz w:val="28"/>
          <w:szCs w:val="28"/>
          <w:highlight w:val="none"/>
        </w:rPr>
        <w:t>年度的水平稳定不变。</w:t>
      </w:r>
    </w:p>
    <w:p w14:paraId="1DEEE780">
      <w:pPr>
        <w:spacing w:before="120" w:beforeLines="50" w:after="120" w:afterLines="50" w:line="360" w:lineRule="auto"/>
        <w:ind w:firstLine="560" w:firstLineChars="200"/>
        <w:rPr>
          <w:rFonts w:hint="default" w:ascii="Times New Roman" w:hAnsi="Times New Roman" w:eastAsia="仿宋" w:cs="Times New Roman"/>
          <w:sz w:val="28"/>
          <w:szCs w:val="28"/>
          <w:highlight w:val="none"/>
        </w:rPr>
      </w:pPr>
      <w:r>
        <w:rPr>
          <w:rFonts w:hint="eastAsia" w:ascii="Times New Roman" w:eastAsia="仿宋" w:cs="Times New Roman"/>
          <w:sz w:val="28"/>
          <w:szCs w:val="28"/>
          <w:highlight w:val="none"/>
          <w:lang w:val="en-US" w:eastAsia="zh-CN"/>
        </w:rPr>
        <w:t>8</w:t>
      </w:r>
      <w:r>
        <w:rPr>
          <w:rFonts w:hint="eastAsia" w:ascii="Times New Roman" w:hAnsi="Times New Roman" w:eastAsia="仿宋" w:cs="Times New Roman"/>
          <w:sz w:val="28"/>
          <w:szCs w:val="28"/>
          <w:highlight w:val="none"/>
          <w:lang w:val="en-US" w:eastAsia="zh-CN"/>
        </w:rPr>
        <w:t>、</w:t>
      </w:r>
      <w:r>
        <w:rPr>
          <w:rFonts w:hint="default" w:ascii="Times New Roman" w:hAnsi="Times New Roman" w:eastAsia="仿宋" w:cs="Times New Roman"/>
          <w:sz w:val="28"/>
          <w:szCs w:val="28"/>
          <w:highlight w:val="none"/>
        </w:rPr>
        <w:t>收益期限</w:t>
      </w:r>
    </w:p>
    <w:p w14:paraId="1F830B89">
      <w:pPr>
        <w:shd w:val="clear" w:color="auto" w:fill="auto"/>
        <w:spacing w:line="360" w:lineRule="auto"/>
        <w:ind w:firstLine="560" w:firstLineChars="200"/>
        <w:rPr>
          <w:rFonts w:hint="default" w:ascii="Times New Roman" w:hAnsi="Times New Roman" w:eastAsia="仿宋" w:cs="Times New Roman"/>
          <w:bCs/>
          <w:sz w:val="28"/>
          <w:szCs w:val="28"/>
          <w:highlight w:val="none"/>
        </w:rPr>
      </w:pPr>
      <w:r>
        <w:rPr>
          <w:rFonts w:hint="eastAsia" w:ascii="Times New Roman" w:hAnsi="Times New Roman" w:eastAsia="仿宋" w:cs="Times New Roman"/>
          <w:color w:val="auto"/>
          <w:sz w:val="28"/>
          <w:szCs w:val="28"/>
          <w:highlight w:val="none"/>
          <w:lang w:val="en-US" w:eastAsia="zh-CN"/>
        </w:rPr>
        <w:t>根据</w:t>
      </w:r>
      <w:r>
        <w:rPr>
          <w:rFonts w:hint="eastAsia" w:ascii="Times New Roman" w:eastAsia="仿宋" w:cs="Times New Roman"/>
          <w:color w:val="auto"/>
          <w:sz w:val="28"/>
          <w:szCs w:val="28"/>
          <w:highlight w:val="none"/>
          <w:lang w:val="en-US" w:eastAsia="zh-CN"/>
        </w:rPr>
        <w:t>委托人</w:t>
      </w:r>
      <w:r>
        <w:rPr>
          <w:rFonts w:hint="eastAsia" w:ascii="Times New Roman" w:hAnsi="Times New Roman" w:eastAsia="仿宋" w:cs="Times New Roman"/>
          <w:color w:val="auto"/>
          <w:sz w:val="28"/>
          <w:szCs w:val="28"/>
          <w:highlight w:val="none"/>
          <w:lang w:val="en-US" w:eastAsia="zh-CN"/>
        </w:rPr>
        <w:t>要求经营权为40年</w:t>
      </w:r>
      <w:r>
        <w:rPr>
          <w:rFonts w:hint="default" w:ascii="Times New Roman" w:hAnsi="Times New Roman" w:eastAsia="仿宋" w:cs="Times New Roman"/>
          <w:color w:val="auto"/>
          <w:sz w:val="28"/>
          <w:szCs w:val="28"/>
          <w:highlight w:val="none"/>
          <w:lang w:val="en-US" w:eastAsia="zh-CN"/>
        </w:rPr>
        <w:t>。</w:t>
      </w:r>
    </w:p>
    <w:p w14:paraId="0A27B0BE">
      <w:pPr>
        <w:spacing w:before="120" w:beforeLines="50" w:after="120" w:afterLines="50" w:line="360" w:lineRule="auto"/>
        <w:ind w:firstLine="560" w:firstLineChars="200"/>
        <w:rPr>
          <w:rFonts w:hint="default" w:ascii="Times New Roman" w:hAnsi="Times New Roman" w:eastAsia="仿宋" w:cs="Times New Roman"/>
          <w:sz w:val="28"/>
          <w:szCs w:val="28"/>
          <w:highlight w:val="none"/>
        </w:rPr>
      </w:pPr>
      <w:r>
        <w:rPr>
          <w:rFonts w:hint="eastAsia" w:ascii="Times New Roman" w:eastAsia="仿宋" w:cs="Times New Roman"/>
          <w:sz w:val="28"/>
          <w:szCs w:val="28"/>
          <w:highlight w:val="none"/>
          <w:lang w:val="en-US" w:eastAsia="zh-CN"/>
        </w:rPr>
        <w:t>9</w:t>
      </w:r>
      <w:r>
        <w:rPr>
          <w:rFonts w:hint="eastAsia" w:ascii="Times New Roman" w:hAnsi="Times New Roman" w:eastAsia="仿宋" w:cs="Times New Roman"/>
          <w:sz w:val="28"/>
          <w:szCs w:val="28"/>
          <w:highlight w:val="none"/>
          <w:lang w:val="en-US" w:eastAsia="zh-CN"/>
        </w:rPr>
        <w:t>、</w:t>
      </w:r>
      <w:r>
        <w:rPr>
          <w:rFonts w:hint="default" w:ascii="Times New Roman" w:hAnsi="Times New Roman" w:eastAsia="仿宋" w:cs="Times New Roman"/>
          <w:sz w:val="28"/>
          <w:szCs w:val="28"/>
          <w:highlight w:val="none"/>
        </w:rPr>
        <w:t>折现率</w:t>
      </w:r>
    </w:p>
    <w:p w14:paraId="4D75548C">
      <w:pPr>
        <w:pStyle w:val="5"/>
        <w:tabs>
          <w:tab w:val="left" w:pos="993"/>
        </w:tabs>
        <w:adjustRightInd w:val="0"/>
        <w:spacing w:line="360" w:lineRule="auto"/>
        <w:ind w:firstLine="560"/>
        <w:rPr>
          <w:rFonts w:hint="default" w:ascii="Times New Roman" w:hAnsi="Times New Roman" w:eastAsia="仿宋" w:cs="Times New Roman"/>
          <w:sz w:val="28"/>
          <w:szCs w:val="28"/>
        </w:rPr>
      </w:pPr>
      <w:r>
        <w:rPr>
          <w:rFonts w:hint="eastAsia" w:ascii="Times New Roman" w:hAnsi="Times New Roman" w:eastAsia="仿宋" w:cs="Times New Roman"/>
          <w:sz w:val="28"/>
          <w:szCs w:val="28"/>
          <w:lang w:eastAsia="zh-CN"/>
        </w:rPr>
        <w:t>①</w:t>
      </w:r>
      <w:r>
        <w:rPr>
          <w:rFonts w:hint="default" w:ascii="Times New Roman" w:hAnsi="Times New Roman" w:eastAsia="仿宋" w:cs="Times New Roman"/>
          <w:sz w:val="28"/>
          <w:szCs w:val="28"/>
        </w:rPr>
        <w:t>无风险收益率的确定</w:t>
      </w:r>
    </w:p>
    <w:p w14:paraId="14912452">
      <w:pPr>
        <w:pStyle w:val="5"/>
        <w:tabs>
          <w:tab w:val="left" w:pos="993"/>
        </w:tabs>
        <w:adjustRightInd w:val="0"/>
        <w:spacing w:line="360" w:lineRule="auto"/>
        <w:ind w:firstLine="560"/>
        <w:rPr>
          <w:rFonts w:hint="default" w:ascii="Times New Roman" w:hAnsi="Times New Roman" w:eastAsia="仿宋" w:cs="Times New Roman"/>
          <w:sz w:val="28"/>
          <w:szCs w:val="28"/>
        </w:rPr>
      </w:pPr>
      <w:r>
        <w:rPr>
          <w:rFonts w:hint="default" w:ascii="Times New Roman" w:hAnsi="Times New Roman" w:eastAsia="仿宋" w:cs="Times New Roman"/>
          <w:sz w:val="28"/>
          <w:szCs w:val="28"/>
        </w:rPr>
        <w:t>国债收益率通常被认为是无风险的，因为持有该债权到期不能兑付的风险很小，可以忽略不计。</w:t>
      </w:r>
      <w:r>
        <w:rPr>
          <w:rFonts w:hint="default" w:ascii="Times New Roman" w:hAnsi="Times New Roman" w:eastAsia="仿宋" w:cs="Times New Roman"/>
          <w:sz w:val="28"/>
          <w:szCs w:val="28"/>
          <w:lang w:val="en-US" w:eastAsia="zh-CN"/>
        </w:rPr>
        <w:t>通过查询</w:t>
      </w:r>
      <w:r>
        <w:rPr>
          <w:rFonts w:hint="default" w:ascii="Times New Roman" w:hAnsi="Times New Roman" w:eastAsia="仿宋" w:cs="Times New Roman"/>
          <w:sz w:val="28"/>
          <w:szCs w:val="28"/>
        </w:rPr>
        <w:t>WIND</w:t>
      </w:r>
      <w:r>
        <w:rPr>
          <w:rFonts w:hint="default" w:ascii="Times New Roman" w:hAnsi="Times New Roman" w:eastAsia="仿宋" w:cs="Times New Roman"/>
          <w:sz w:val="28"/>
          <w:szCs w:val="28"/>
          <w:lang w:val="en-US" w:eastAsia="zh-CN"/>
        </w:rPr>
        <w:t>金融终端</w:t>
      </w:r>
      <w:r>
        <w:rPr>
          <w:rFonts w:hint="default" w:ascii="Times New Roman" w:hAnsi="Times New Roman" w:eastAsia="仿宋" w:cs="Times New Roman"/>
          <w:sz w:val="28"/>
          <w:szCs w:val="28"/>
        </w:rPr>
        <w:t>，选择从评估基准日到国债到期日10年期的国债，并计算其到期收益率，取所有国债到期收益率的平均值作为本次评估无风险收益率。评估基准日，通过查询WIND</w:t>
      </w:r>
      <w:r>
        <w:rPr>
          <w:rFonts w:hint="default" w:ascii="Times New Roman" w:hAnsi="Times New Roman" w:eastAsia="仿宋" w:cs="Times New Roman"/>
          <w:sz w:val="28"/>
          <w:szCs w:val="28"/>
          <w:lang w:val="en-US" w:eastAsia="zh-CN"/>
        </w:rPr>
        <w:t>金融终端</w:t>
      </w:r>
      <w:r>
        <w:rPr>
          <w:rFonts w:hint="default" w:ascii="Times New Roman" w:hAnsi="Times New Roman" w:eastAsia="仿宋" w:cs="Times New Roman"/>
          <w:sz w:val="28"/>
          <w:szCs w:val="28"/>
        </w:rPr>
        <w:t>10年期长期国债收益率为</w:t>
      </w:r>
      <w:r>
        <w:rPr>
          <w:rFonts w:hint="eastAsia" w:ascii="Times New Roman" w:hAnsi="Times New Roman" w:eastAsia="仿宋" w:cs="Times New Roman"/>
          <w:sz w:val="28"/>
          <w:szCs w:val="28"/>
          <w:lang w:eastAsia="zh-CN"/>
        </w:rPr>
        <w:t>2.17%</w:t>
      </w:r>
      <w:r>
        <w:rPr>
          <w:rFonts w:hint="default" w:ascii="Times New Roman" w:hAnsi="Times New Roman" w:eastAsia="仿宋" w:cs="Times New Roman"/>
          <w:sz w:val="28"/>
          <w:szCs w:val="28"/>
        </w:rPr>
        <w:t>。所以本次评估的无风险收益率为</w:t>
      </w:r>
      <w:r>
        <w:rPr>
          <w:rFonts w:hint="eastAsia" w:ascii="Times New Roman" w:hAnsi="Times New Roman" w:eastAsia="仿宋" w:cs="Times New Roman"/>
          <w:sz w:val="28"/>
          <w:szCs w:val="28"/>
          <w:lang w:eastAsia="zh-CN"/>
        </w:rPr>
        <w:t>2.17%</w:t>
      </w:r>
      <w:r>
        <w:rPr>
          <w:rFonts w:hint="default" w:ascii="Times New Roman" w:hAnsi="Times New Roman" w:eastAsia="仿宋" w:cs="Times New Roman"/>
          <w:sz w:val="28"/>
          <w:szCs w:val="28"/>
        </w:rPr>
        <w:t>。</w:t>
      </w:r>
    </w:p>
    <w:p w14:paraId="25D2D246">
      <w:pPr>
        <w:pStyle w:val="5"/>
        <w:tabs>
          <w:tab w:val="left" w:pos="993"/>
        </w:tabs>
        <w:adjustRightInd w:val="0"/>
        <w:spacing w:line="360" w:lineRule="auto"/>
        <w:ind w:firstLine="560"/>
        <w:rPr>
          <w:rFonts w:hint="default" w:ascii="Times New Roman" w:hAnsi="Times New Roman" w:eastAsia="仿宋" w:cs="Times New Roman"/>
          <w:sz w:val="28"/>
          <w:szCs w:val="28"/>
        </w:rPr>
      </w:pPr>
      <w:r>
        <w:rPr>
          <w:rFonts w:hint="eastAsia" w:ascii="Times New Roman" w:hAnsi="Times New Roman" w:eastAsia="仿宋" w:cs="Times New Roman"/>
          <w:sz w:val="28"/>
          <w:szCs w:val="28"/>
          <w:lang w:eastAsia="zh-CN"/>
        </w:rPr>
        <w:t>②</w:t>
      </w:r>
      <w:r>
        <w:rPr>
          <w:rFonts w:hint="default" w:ascii="Times New Roman" w:hAnsi="Times New Roman" w:eastAsia="仿宋" w:cs="Times New Roman"/>
          <w:sz w:val="28"/>
          <w:szCs w:val="28"/>
        </w:rPr>
        <w:t>Beta值的确定</w:t>
      </w:r>
    </w:p>
    <w:p w14:paraId="46B8E0CA">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Beta系数是衡量委估企业相对于资本市场整体回报的风险溢价程度，也用来衡量个别股票受包括股市价格变动在内的整个经济环境影响程度的指标。由于委估企业目前为非上市公司，且样本上市公司每家企业的资本结构也不尽相同，一般情况下难以直接引用该系数指标值。故本次通过选定与委估企业在业务类型和业务规模上具有一定的可比性的</w:t>
      </w:r>
      <w:r>
        <w:rPr>
          <w:rFonts w:hint="eastAsia" w:ascii="Times New Roman" w:hAnsi="Times New Roman" w:eastAsia="仿宋" w:cs="Times New Roman"/>
          <w:kern w:val="2"/>
          <w:sz w:val="28"/>
          <w:szCs w:val="28"/>
          <w:lang w:val="en-US" w:eastAsia="zh-CN" w:bidi="ar-SA"/>
        </w:rPr>
        <w:t>4</w:t>
      </w:r>
      <w:r>
        <w:rPr>
          <w:rFonts w:hint="default" w:ascii="Times New Roman" w:hAnsi="Times New Roman" w:eastAsia="仿宋" w:cs="Times New Roman"/>
          <w:kern w:val="2"/>
          <w:sz w:val="28"/>
          <w:szCs w:val="28"/>
          <w:lang w:val="en-US" w:eastAsia="zh-CN" w:bidi="ar-SA"/>
        </w:rPr>
        <w:t>家上市公司（对比公司证券简称分别为：</w:t>
      </w:r>
      <w:r>
        <w:rPr>
          <w:rFonts w:hint="eastAsia" w:ascii="Times New Roman" w:hAnsi="Times New Roman" w:eastAsia="仿宋" w:cs="Times New Roman"/>
          <w:sz w:val="28"/>
          <w:szCs w:val="28"/>
          <w:lang w:eastAsia="zh-CN"/>
        </w:rPr>
        <w:t>国中水务（600187.SH）</w:t>
      </w:r>
      <w:r>
        <w:rPr>
          <w:rFonts w:hint="default" w:ascii="Times New Roman" w:hAnsi="Times New Roman" w:eastAsia="仿宋" w:cs="Times New Roman"/>
          <w:kern w:val="2"/>
          <w:sz w:val="28"/>
          <w:szCs w:val="28"/>
          <w:lang w:val="en-US" w:eastAsia="zh-CN" w:bidi="ar-SA"/>
        </w:rPr>
        <w:t>、</w:t>
      </w:r>
      <w:r>
        <w:rPr>
          <w:rFonts w:hint="default" w:ascii="Times New Roman" w:hAnsi="Times New Roman" w:eastAsia="仿宋" w:cs="Times New Roman"/>
          <w:sz w:val="28"/>
          <w:szCs w:val="28"/>
        </w:rPr>
        <w:t>顺控发展</w:t>
      </w:r>
      <w:r>
        <w:rPr>
          <w:rFonts w:hint="eastAsia" w:ascii="Times New Roman" w:hAnsi="Times New Roman" w:eastAsia="仿宋" w:cs="Times New Roman"/>
          <w:sz w:val="28"/>
          <w:szCs w:val="28"/>
          <w:lang w:val="en-US" w:eastAsia="zh-CN"/>
        </w:rPr>
        <w:t>（</w:t>
      </w:r>
      <w:r>
        <w:rPr>
          <w:rFonts w:hint="eastAsia" w:ascii="Times New Roman" w:hAnsi="Times New Roman" w:eastAsia="仿宋" w:cs="Times New Roman"/>
          <w:sz w:val="28"/>
          <w:szCs w:val="28"/>
        </w:rPr>
        <w:t>003039.SZ</w:t>
      </w:r>
      <w:r>
        <w:rPr>
          <w:rFonts w:hint="eastAsia" w:ascii="Times New Roman" w:hAnsi="Times New Roman" w:eastAsia="仿宋" w:cs="Times New Roman"/>
          <w:sz w:val="28"/>
          <w:szCs w:val="28"/>
          <w:lang w:val="en-US" w:eastAsia="zh-CN"/>
        </w:rPr>
        <w:t>）</w:t>
      </w:r>
      <w:r>
        <w:rPr>
          <w:rFonts w:hint="default" w:ascii="Times New Roman" w:hAnsi="Times New Roman" w:eastAsia="仿宋" w:cs="Times New Roman"/>
          <w:kern w:val="2"/>
          <w:sz w:val="28"/>
          <w:szCs w:val="28"/>
          <w:lang w:val="en-US" w:eastAsia="zh-CN" w:bidi="ar-SA"/>
        </w:rPr>
        <w:t>、</w:t>
      </w:r>
      <w:r>
        <w:rPr>
          <w:rFonts w:hint="default" w:ascii="Times New Roman" w:hAnsi="Times New Roman" w:eastAsia="仿宋" w:cs="Times New Roman"/>
          <w:sz w:val="28"/>
          <w:szCs w:val="28"/>
        </w:rPr>
        <w:t>江南水务</w:t>
      </w:r>
      <w:r>
        <w:rPr>
          <w:rFonts w:hint="eastAsia" w:ascii="Times New Roman" w:hAnsi="Times New Roman" w:eastAsia="仿宋" w:cs="Times New Roman"/>
          <w:sz w:val="28"/>
          <w:szCs w:val="28"/>
          <w:lang w:eastAsia="zh-CN"/>
        </w:rPr>
        <w:t>（</w:t>
      </w:r>
      <w:r>
        <w:rPr>
          <w:rFonts w:hint="eastAsia" w:ascii="Times New Roman" w:hAnsi="Times New Roman" w:eastAsia="仿宋" w:cs="Times New Roman"/>
          <w:sz w:val="28"/>
          <w:szCs w:val="28"/>
        </w:rPr>
        <w:t>601199.SH</w:t>
      </w:r>
      <w:r>
        <w:rPr>
          <w:rFonts w:hint="eastAsia" w:ascii="Times New Roman" w:hAnsi="Times New Roman" w:eastAsia="仿宋" w:cs="Times New Roman"/>
          <w:sz w:val="28"/>
          <w:szCs w:val="28"/>
          <w:lang w:eastAsia="zh-CN"/>
        </w:rPr>
        <w:t>）、</w:t>
      </w:r>
      <w:r>
        <w:rPr>
          <w:rFonts w:hint="eastAsia" w:ascii="Times New Roman" w:hAnsi="Times New Roman" w:eastAsia="仿宋" w:cs="Times New Roman"/>
          <w:sz w:val="28"/>
          <w:szCs w:val="28"/>
        </w:rPr>
        <w:t>联合水务</w:t>
      </w:r>
      <w:r>
        <w:rPr>
          <w:rFonts w:hint="eastAsia" w:ascii="Times New Roman" w:hAnsi="Times New Roman" w:eastAsia="仿宋" w:cs="Times New Roman"/>
          <w:sz w:val="28"/>
          <w:szCs w:val="28"/>
          <w:lang w:eastAsia="zh-CN"/>
        </w:rPr>
        <w:t>（</w:t>
      </w:r>
      <w:r>
        <w:rPr>
          <w:rFonts w:hint="eastAsia" w:ascii="Times New Roman" w:hAnsi="Times New Roman" w:eastAsia="仿宋" w:cs="Times New Roman"/>
          <w:sz w:val="28"/>
          <w:szCs w:val="28"/>
        </w:rPr>
        <w:t>603291.SH</w:t>
      </w:r>
      <w:r>
        <w:rPr>
          <w:rFonts w:hint="eastAsia" w:ascii="Times New Roman" w:hAnsi="Times New Roman" w:eastAsia="仿宋" w:cs="Times New Roman"/>
          <w:sz w:val="28"/>
          <w:szCs w:val="28"/>
          <w:lang w:eastAsia="zh-CN"/>
        </w:rPr>
        <w:t>）</w:t>
      </w:r>
      <w:r>
        <w:rPr>
          <w:rFonts w:hint="default" w:ascii="Times New Roman" w:hAnsi="Times New Roman" w:eastAsia="仿宋" w:cs="Times New Roman"/>
          <w:kern w:val="2"/>
          <w:sz w:val="28"/>
          <w:szCs w:val="28"/>
          <w:lang w:val="en-US" w:eastAsia="zh-CN" w:bidi="ar-SA"/>
        </w:rPr>
        <w:t>作为样本，计算出按总市值加权的剔除财务杠杆调整的Beta值，再按选取的样本上市公司的付息负债除以总市值指标的平均值作为计算行业平均资本结构的参照依据，重新计算杠杆Beta。</w:t>
      </w:r>
    </w:p>
    <w:p w14:paraId="1B1D1110">
      <w:pPr>
        <w:spacing w:line="360" w:lineRule="auto"/>
        <w:ind w:firstLine="560" w:firstLineChars="200"/>
        <w:rPr>
          <w:rFonts w:hint="default" w:ascii="Times New Roman" w:hAnsi="Times New Roman" w:eastAsia="仿宋" w:cs="Times New Roman"/>
          <w:sz w:val="24"/>
          <w:szCs w:val="24"/>
        </w:rPr>
      </w:pPr>
      <w:r>
        <w:rPr>
          <w:rFonts w:hint="default" w:ascii="Times New Roman" w:hAnsi="Times New Roman" w:eastAsia="仿宋" w:cs="Times New Roman"/>
          <w:kern w:val="2"/>
          <w:sz w:val="28"/>
          <w:szCs w:val="28"/>
          <w:lang w:val="en-US" w:eastAsia="zh-CN" w:bidi="ar-SA"/>
        </w:rPr>
        <w:t>获取的按总市值加权的剔除财务杠杆调整的Beta值如下</w:t>
      </w:r>
      <w:r>
        <w:rPr>
          <w:rFonts w:hint="default" w:ascii="Times New Roman" w:hAnsi="Times New Roman" w:eastAsia="仿宋" w:cs="Times New Roman"/>
          <w:sz w:val="24"/>
          <w:szCs w:val="24"/>
        </w:rPr>
        <w:t>：</w:t>
      </w:r>
    </w:p>
    <w:tbl>
      <w:tblPr>
        <w:tblStyle w:val="16"/>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62"/>
        <w:gridCol w:w="1395"/>
        <w:gridCol w:w="1116"/>
        <w:gridCol w:w="1116"/>
        <w:gridCol w:w="1116"/>
        <w:gridCol w:w="1116"/>
        <w:gridCol w:w="1107"/>
      </w:tblGrid>
      <w:tr w14:paraId="6DE7F6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44746FD4">
            <w:pPr>
              <w:widowControl/>
              <w:jc w:val="center"/>
              <w:textAlignment w:val="center"/>
              <w:rPr>
                <w:rFonts w:hint="default" w:ascii="Times New Roman" w:hAnsi="Times New Roman" w:eastAsia="仿宋" w:cs="Times New Roman"/>
                <w:b/>
                <w:bCs/>
                <w:color w:val="000000"/>
                <w:sz w:val="18"/>
                <w:szCs w:val="18"/>
              </w:rPr>
            </w:pPr>
            <w:r>
              <w:rPr>
                <w:rFonts w:hint="default" w:ascii="Times New Roman" w:hAnsi="Times New Roman" w:eastAsia="仿宋" w:cs="Times New Roman"/>
                <w:b/>
                <w:bCs/>
                <w:color w:val="000000"/>
                <w:sz w:val="18"/>
                <w:szCs w:val="18"/>
                <w:lang w:bidi="ar"/>
              </w:rPr>
              <w:t>代码</w:t>
            </w:r>
          </w:p>
        </w:tc>
        <w:tc>
          <w:tcPr>
            <w:tcW w:w="791" w:type="pct"/>
            <w:noWrap/>
            <w:vAlign w:val="center"/>
          </w:tcPr>
          <w:p w14:paraId="210639A8">
            <w:pPr>
              <w:jc w:val="center"/>
              <w:rPr>
                <w:rFonts w:hint="default" w:ascii="Times New Roman" w:hAnsi="Times New Roman" w:eastAsia="仿宋" w:cs="Times New Roman"/>
                <w:color w:val="000000"/>
                <w:sz w:val="21"/>
                <w:szCs w:val="21"/>
              </w:rPr>
            </w:pPr>
          </w:p>
        </w:tc>
        <w:tc>
          <w:tcPr>
            <w:tcW w:w="632" w:type="pct"/>
            <w:noWrap/>
            <w:vAlign w:val="center"/>
          </w:tcPr>
          <w:p w14:paraId="49F657ED">
            <w:pPr>
              <w:widowControl/>
              <w:jc w:val="center"/>
              <w:textAlignment w:val="center"/>
              <w:rPr>
                <w:rFonts w:hint="default" w:ascii="Times New Roman" w:hAnsi="Times New Roman" w:eastAsia="仿宋" w:cs="Times New Roman"/>
                <w:b/>
                <w:bCs/>
                <w:color w:val="000000"/>
                <w:sz w:val="18"/>
                <w:szCs w:val="18"/>
                <w:lang w:bidi="ar"/>
              </w:rPr>
            </w:pPr>
            <w:r>
              <w:rPr>
                <w:rFonts w:hint="eastAsia" w:ascii="Times New Roman" w:hAnsi="Times New Roman" w:eastAsia="仿宋" w:cs="Times New Roman"/>
                <w:b/>
                <w:bCs/>
                <w:color w:val="000000"/>
                <w:sz w:val="18"/>
                <w:szCs w:val="18"/>
                <w:lang w:val="en-US" w:eastAsia="zh-CN" w:bidi="ar"/>
              </w:rPr>
              <w:t>600187.SH</w:t>
            </w:r>
          </w:p>
        </w:tc>
        <w:tc>
          <w:tcPr>
            <w:tcW w:w="632" w:type="pct"/>
            <w:noWrap/>
            <w:vAlign w:val="center"/>
          </w:tcPr>
          <w:p w14:paraId="70D4F6E1">
            <w:pPr>
              <w:widowControl/>
              <w:jc w:val="center"/>
              <w:textAlignment w:val="center"/>
              <w:rPr>
                <w:rFonts w:hint="default" w:ascii="Times New Roman" w:hAnsi="Times New Roman" w:eastAsia="仿宋" w:cs="Times New Roman"/>
                <w:b/>
                <w:bCs/>
                <w:color w:val="000000"/>
                <w:sz w:val="18"/>
                <w:szCs w:val="18"/>
                <w:lang w:bidi="ar"/>
              </w:rPr>
            </w:pPr>
            <w:r>
              <w:rPr>
                <w:rFonts w:hint="eastAsia" w:ascii="Times New Roman" w:hAnsi="Times New Roman" w:eastAsia="仿宋" w:cs="Times New Roman"/>
                <w:b/>
                <w:bCs/>
                <w:color w:val="000000"/>
                <w:sz w:val="18"/>
                <w:szCs w:val="18"/>
                <w:lang w:val="en-US" w:eastAsia="zh-CN" w:bidi="ar"/>
              </w:rPr>
              <w:t>003039.SZ</w:t>
            </w:r>
          </w:p>
        </w:tc>
        <w:tc>
          <w:tcPr>
            <w:tcW w:w="632" w:type="pct"/>
            <w:noWrap/>
            <w:vAlign w:val="center"/>
          </w:tcPr>
          <w:p w14:paraId="7C9FEEBA">
            <w:pPr>
              <w:widowControl/>
              <w:jc w:val="center"/>
              <w:textAlignment w:val="center"/>
              <w:rPr>
                <w:rFonts w:hint="default" w:ascii="Times New Roman" w:hAnsi="Times New Roman" w:eastAsia="仿宋" w:cs="Times New Roman"/>
                <w:b/>
                <w:bCs/>
                <w:color w:val="000000"/>
                <w:sz w:val="18"/>
                <w:szCs w:val="18"/>
              </w:rPr>
            </w:pPr>
            <w:r>
              <w:rPr>
                <w:rFonts w:hint="eastAsia" w:ascii="Times New Roman" w:hAnsi="Times New Roman" w:eastAsia="仿宋" w:cs="Times New Roman"/>
                <w:b/>
                <w:bCs/>
                <w:color w:val="000000"/>
                <w:sz w:val="18"/>
                <w:szCs w:val="18"/>
                <w:lang w:val="en-US" w:eastAsia="zh-CN" w:bidi="ar"/>
              </w:rPr>
              <w:t>601199.SH</w:t>
            </w:r>
          </w:p>
        </w:tc>
        <w:tc>
          <w:tcPr>
            <w:tcW w:w="628" w:type="pct"/>
            <w:noWrap/>
            <w:vAlign w:val="center"/>
          </w:tcPr>
          <w:p w14:paraId="4139361E">
            <w:pPr>
              <w:widowControl/>
              <w:jc w:val="center"/>
              <w:textAlignment w:val="center"/>
              <w:rPr>
                <w:rFonts w:hint="default" w:ascii="Times New Roman" w:hAnsi="Times New Roman" w:eastAsia="仿宋" w:cs="Times New Roman"/>
                <w:b/>
                <w:bCs/>
                <w:color w:val="000000"/>
                <w:sz w:val="18"/>
                <w:szCs w:val="18"/>
                <w:lang w:bidi="ar"/>
              </w:rPr>
            </w:pPr>
            <w:r>
              <w:rPr>
                <w:rFonts w:hint="default" w:ascii="Times New Roman" w:hAnsi="Times New Roman" w:eastAsia="仿宋" w:cs="Times New Roman"/>
                <w:b/>
                <w:bCs/>
                <w:color w:val="000000"/>
                <w:sz w:val="18"/>
                <w:szCs w:val="18"/>
                <w:lang w:bidi="ar"/>
              </w:rPr>
              <w:t>603291.SH</w:t>
            </w:r>
          </w:p>
        </w:tc>
        <w:tc>
          <w:tcPr>
            <w:tcW w:w="628" w:type="pct"/>
            <w:noWrap/>
            <w:vAlign w:val="center"/>
          </w:tcPr>
          <w:p w14:paraId="6F5F5663">
            <w:pPr>
              <w:widowControl/>
              <w:jc w:val="center"/>
              <w:textAlignment w:val="center"/>
              <w:rPr>
                <w:rFonts w:hint="default" w:ascii="Times New Roman" w:hAnsi="Times New Roman" w:eastAsia="仿宋" w:cs="Times New Roman"/>
                <w:b/>
                <w:bCs/>
                <w:color w:val="000000"/>
                <w:sz w:val="18"/>
                <w:szCs w:val="18"/>
              </w:rPr>
            </w:pPr>
            <w:r>
              <w:rPr>
                <w:rFonts w:hint="default" w:ascii="Times New Roman" w:hAnsi="Times New Roman" w:eastAsia="仿宋" w:cs="Times New Roman"/>
                <w:b/>
                <w:bCs/>
                <w:color w:val="000000"/>
                <w:sz w:val="18"/>
                <w:szCs w:val="18"/>
                <w:lang w:bidi="ar"/>
              </w:rPr>
              <w:t>平均值</w:t>
            </w:r>
          </w:p>
        </w:tc>
      </w:tr>
      <w:tr w14:paraId="6F50262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42FF3B52">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简称</w:t>
            </w:r>
          </w:p>
        </w:tc>
        <w:tc>
          <w:tcPr>
            <w:tcW w:w="791" w:type="pct"/>
            <w:noWrap/>
            <w:vAlign w:val="center"/>
          </w:tcPr>
          <w:p w14:paraId="2E6FB9B5">
            <w:pPr>
              <w:jc w:val="center"/>
              <w:rPr>
                <w:rFonts w:hint="default" w:ascii="Times New Roman" w:hAnsi="Times New Roman" w:eastAsia="仿宋" w:cs="Times New Roman"/>
                <w:color w:val="000000"/>
                <w:sz w:val="21"/>
                <w:szCs w:val="21"/>
              </w:rPr>
            </w:pPr>
          </w:p>
        </w:tc>
        <w:tc>
          <w:tcPr>
            <w:tcW w:w="632" w:type="pct"/>
            <w:noWrap/>
            <w:vAlign w:val="center"/>
          </w:tcPr>
          <w:p w14:paraId="1649D39C">
            <w:pPr>
              <w:widowControl/>
              <w:jc w:val="center"/>
              <w:textAlignment w:val="center"/>
              <w:rPr>
                <w:rFonts w:hint="eastAsia" w:ascii="Times New Roman" w:hAnsi="Times New Roman" w:eastAsia="仿宋" w:cs="Times New Roman"/>
                <w:color w:val="000000"/>
                <w:sz w:val="18"/>
                <w:szCs w:val="18"/>
              </w:rPr>
            </w:pPr>
            <w:r>
              <w:rPr>
                <w:rFonts w:hint="eastAsia" w:ascii="Times New Roman" w:hAnsi="Times New Roman" w:eastAsia="仿宋" w:cs="Times New Roman"/>
                <w:color w:val="000000"/>
                <w:sz w:val="18"/>
                <w:szCs w:val="18"/>
                <w:lang w:eastAsia="zh-CN" w:bidi="ar"/>
              </w:rPr>
              <w:t>国中水务</w:t>
            </w:r>
          </w:p>
        </w:tc>
        <w:tc>
          <w:tcPr>
            <w:tcW w:w="632" w:type="pct"/>
            <w:noWrap/>
            <w:vAlign w:val="center"/>
          </w:tcPr>
          <w:p w14:paraId="595EBFE6">
            <w:pPr>
              <w:widowControl/>
              <w:jc w:val="center"/>
              <w:textAlignment w:val="center"/>
              <w:rPr>
                <w:rFonts w:hint="eastAsia" w:ascii="Times New Roman" w:hAnsi="Times New Roman" w:eastAsia="仿宋" w:cs="Times New Roman"/>
                <w:color w:val="000000"/>
                <w:sz w:val="18"/>
                <w:szCs w:val="18"/>
              </w:rPr>
            </w:pPr>
            <w:r>
              <w:rPr>
                <w:rFonts w:hint="eastAsia" w:ascii="Times New Roman" w:hAnsi="Times New Roman" w:eastAsia="仿宋" w:cs="Times New Roman"/>
                <w:color w:val="000000"/>
                <w:sz w:val="18"/>
                <w:szCs w:val="18"/>
                <w:lang w:eastAsia="zh-CN" w:bidi="ar"/>
              </w:rPr>
              <w:t>顺控发展</w:t>
            </w:r>
          </w:p>
        </w:tc>
        <w:tc>
          <w:tcPr>
            <w:tcW w:w="632" w:type="pct"/>
            <w:noWrap/>
            <w:vAlign w:val="center"/>
          </w:tcPr>
          <w:p w14:paraId="2B3D35EC">
            <w:pPr>
              <w:widowControl/>
              <w:jc w:val="center"/>
              <w:textAlignment w:val="center"/>
              <w:rPr>
                <w:rFonts w:hint="eastAsia" w:ascii="Times New Roman" w:hAnsi="Times New Roman" w:eastAsia="仿宋" w:cs="Times New Roman"/>
                <w:color w:val="000000"/>
                <w:sz w:val="18"/>
                <w:szCs w:val="18"/>
              </w:rPr>
            </w:pPr>
            <w:r>
              <w:rPr>
                <w:rFonts w:hint="eastAsia" w:ascii="Times New Roman" w:hAnsi="Times New Roman" w:eastAsia="仿宋" w:cs="Times New Roman"/>
                <w:color w:val="000000"/>
                <w:sz w:val="18"/>
                <w:szCs w:val="18"/>
                <w:lang w:eastAsia="zh-CN" w:bidi="ar"/>
              </w:rPr>
              <w:t>江南水务</w:t>
            </w:r>
          </w:p>
        </w:tc>
        <w:tc>
          <w:tcPr>
            <w:tcW w:w="628" w:type="pct"/>
            <w:noWrap/>
            <w:vAlign w:val="center"/>
          </w:tcPr>
          <w:p w14:paraId="1365416F">
            <w:pPr>
              <w:jc w:val="center"/>
              <w:rPr>
                <w:rFonts w:hint="default" w:ascii="Times New Roman" w:hAnsi="Times New Roman" w:eastAsia="仿宋" w:cs="Times New Roman"/>
                <w:color w:val="000000"/>
                <w:sz w:val="21"/>
                <w:szCs w:val="21"/>
              </w:rPr>
            </w:pPr>
            <w:r>
              <w:rPr>
                <w:rFonts w:hint="default" w:ascii="Times New Roman" w:hAnsi="Times New Roman" w:eastAsia="仿宋" w:cs="Times New Roman"/>
                <w:color w:val="000000"/>
                <w:sz w:val="18"/>
                <w:szCs w:val="18"/>
                <w:lang w:bidi="ar"/>
              </w:rPr>
              <w:t>联合水务</w:t>
            </w:r>
          </w:p>
        </w:tc>
        <w:tc>
          <w:tcPr>
            <w:tcW w:w="628" w:type="pct"/>
            <w:noWrap/>
            <w:vAlign w:val="center"/>
          </w:tcPr>
          <w:p w14:paraId="1F2C6DD5">
            <w:pPr>
              <w:jc w:val="center"/>
              <w:rPr>
                <w:rFonts w:hint="default" w:ascii="Times New Roman" w:hAnsi="Times New Roman" w:eastAsia="仿宋" w:cs="Times New Roman"/>
                <w:color w:val="000000"/>
                <w:sz w:val="21"/>
                <w:szCs w:val="21"/>
              </w:rPr>
            </w:pPr>
          </w:p>
        </w:tc>
      </w:tr>
      <w:tr w14:paraId="40CDEA0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309BF1F5">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标的指数</w:t>
            </w:r>
          </w:p>
        </w:tc>
        <w:tc>
          <w:tcPr>
            <w:tcW w:w="791" w:type="pct"/>
            <w:noWrap/>
            <w:vAlign w:val="center"/>
          </w:tcPr>
          <w:p w14:paraId="6B6A4FAF">
            <w:pPr>
              <w:jc w:val="center"/>
              <w:rPr>
                <w:rFonts w:hint="default" w:ascii="Times New Roman" w:hAnsi="Times New Roman" w:eastAsia="仿宋" w:cs="Times New Roman"/>
                <w:color w:val="000000"/>
                <w:sz w:val="21"/>
                <w:szCs w:val="21"/>
              </w:rPr>
            </w:pPr>
          </w:p>
        </w:tc>
        <w:tc>
          <w:tcPr>
            <w:tcW w:w="632" w:type="pct"/>
            <w:noWrap/>
            <w:vAlign w:val="center"/>
          </w:tcPr>
          <w:p w14:paraId="30154FAB">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沪深300</w:t>
            </w:r>
          </w:p>
        </w:tc>
        <w:tc>
          <w:tcPr>
            <w:tcW w:w="632" w:type="pct"/>
            <w:noWrap/>
            <w:vAlign w:val="center"/>
          </w:tcPr>
          <w:p w14:paraId="48D98D3C">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沪深300</w:t>
            </w:r>
          </w:p>
        </w:tc>
        <w:tc>
          <w:tcPr>
            <w:tcW w:w="632" w:type="pct"/>
            <w:noWrap/>
            <w:vAlign w:val="center"/>
          </w:tcPr>
          <w:p w14:paraId="76D9FC4C">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沪深300</w:t>
            </w:r>
          </w:p>
        </w:tc>
        <w:tc>
          <w:tcPr>
            <w:tcW w:w="628" w:type="pct"/>
            <w:shd w:val="clear" w:color="auto" w:fill="auto"/>
            <w:noWrap/>
            <w:vAlign w:val="center"/>
          </w:tcPr>
          <w:p w14:paraId="762805D3">
            <w:pPr>
              <w:widowControl/>
              <w:jc w:val="center"/>
              <w:textAlignment w:val="center"/>
              <w:rPr>
                <w:rFonts w:hint="default" w:ascii="Times New Roman" w:hAnsi="Times New Roman" w:eastAsia="仿宋" w:cs="Times New Roman"/>
                <w:color w:val="000000"/>
                <w:sz w:val="18"/>
                <w:szCs w:val="18"/>
                <w:lang w:val="en-US" w:eastAsia="zh-CN" w:bidi="ar-SA"/>
              </w:rPr>
            </w:pPr>
            <w:r>
              <w:rPr>
                <w:rFonts w:hint="default" w:ascii="Times New Roman" w:hAnsi="Times New Roman" w:eastAsia="仿宋" w:cs="Times New Roman"/>
                <w:color w:val="000000"/>
                <w:sz w:val="18"/>
                <w:szCs w:val="18"/>
                <w:lang w:bidi="ar"/>
              </w:rPr>
              <w:t>沪深300</w:t>
            </w:r>
          </w:p>
        </w:tc>
        <w:tc>
          <w:tcPr>
            <w:tcW w:w="628" w:type="pct"/>
            <w:noWrap/>
            <w:vAlign w:val="center"/>
          </w:tcPr>
          <w:p w14:paraId="7D65C13A">
            <w:pPr>
              <w:jc w:val="center"/>
              <w:rPr>
                <w:rFonts w:hint="default" w:ascii="Times New Roman" w:hAnsi="Times New Roman" w:eastAsia="仿宋" w:cs="Times New Roman"/>
                <w:color w:val="000000"/>
                <w:sz w:val="21"/>
                <w:szCs w:val="21"/>
              </w:rPr>
            </w:pPr>
          </w:p>
        </w:tc>
      </w:tr>
      <w:tr w14:paraId="5ED0B03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0B3693C4">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计算周期</w:t>
            </w:r>
          </w:p>
        </w:tc>
        <w:tc>
          <w:tcPr>
            <w:tcW w:w="791" w:type="pct"/>
            <w:noWrap/>
            <w:vAlign w:val="center"/>
          </w:tcPr>
          <w:p w14:paraId="03EF8917">
            <w:pPr>
              <w:jc w:val="center"/>
              <w:rPr>
                <w:rFonts w:hint="default" w:ascii="Times New Roman" w:hAnsi="Times New Roman" w:eastAsia="仿宋" w:cs="Times New Roman"/>
                <w:color w:val="000000"/>
                <w:sz w:val="21"/>
                <w:szCs w:val="21"/>
              </w:rPr>
            </w:pPr>
          </w:p>
        </w:tc>
        <w:tc>
          <w:tcPr>
            <w:tcW w:w="632" w:type="pct"/>
            <w:noWrap/>
            <w:vAlign w:val="center"/>
          </w:tcPr>
          <w:p w14:paraId="6E873735">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月</w:t>
            </w:r>
          </w:p>
        </w:tc>
        <w:tc>
          <w:tcPr>
            <w:tcW w:w="632" w:type="pct"/>
            <w:noWrap/>
            <w:vAlign w:val="center"/>
          </w:tcPr>
          <w:p w14:paraId="233BB499">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月</w:t>
            </w:r>
          </w:p>
        </w:tc>
        <w:tc>
          <w:tcPr>
            <w:tcW w:w="632" w:type="pct"/>
            <w:noWrap/>
            <w:vAlign w:val="center"/>
          </w:tcPr>
          <w:p w14:paraId="31273AEC">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月</w:t>
            </w:r>
          </w:p>
        </w:tc>
        <w:tc>
          <w:tcPr>
            <w:tcW w:w="628" w:type="pct"/>
            <w:shd w:val="clear" w:color="auto" w:fill="auto"/>
            <w:noWrap/>
            <w:vAlign w:val="center"/>
          </w:tcPr>
          <w:p w14:paraId="019CF73A">
            <w:pPr>
              <w:widowControl/>
              <w:jc w:val="center"/>
              <w:textAlignment w:val="center"/>
              <w:rPr>
                <w:rFonts w:hint="default" w:ascii="Times New Roman" w:hAnsi="Times New Roman" w:eastAsia="仿宋" w:cs="Times New Roman"/>
                <w:color w:val="000000"/>
                <w:sz w:val="18"/>
                <w:szCs w:val="18"/>
                <w:lang w:val="en-US" w:eastAsia="zh-CN" w:bidi="ar-SA"/>
              </w:rPr>
            </w:pPr>
            <w:r>
              <w:rPr>
                <w:rFonts w:hint="default" w:ascii="Times New Roman" w:hAnsi="Times New Roman" w:eastAsia="仿宋" w:cs="Times New Roman"/>
                <w:color w:val="000000"/>
                <w:sz w:val="18"/>
                <w:szCs w:val="18"/>
                <w:lang w:bidi="ar"/>
              </w:rPr>
              <w:t>月</w:t>
            </w:r>
          </w:p>
        </w:tc>
        <w:tc>
          <w:tcPr>
            <w:tcW w:w="628" w:type="pct"/>
            <w:noWrap/>
            <w:vAlign w:val="center"/>
          </w:tcPr>
          <w:p w14:paraId="1C09783B">
            <w:pPr>
              <w:jc w:val="center"/>
              <w:rPr>
                <w:rFonts w:hint="default" w:ascii="Times New Roman" w:hAnsi="Times New Roman" w:eastAsia="仿宋" w:cs="Times New Roman"/>
                <w:color w:val="000000"/>
                <w:sz w:val="21"/>
                <w:szCs w:val="21"/>
              </w:rPr>
            </w:pPr>
          </w:p>
        </w:tc>
      </w:tr>
      <w:tr w14:paraId="6E1225C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38F2A386">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时间范围</w:t>
            </w:r>
          </w:p>
        </w:tc>
        <w:tc>
          <w:tcPr>
            <w:tcW w:w="791" w:type="pct"/>
            <w:noWrap/>
            <w:vAlign w:val="center"/>
          </w:tcPr>
          <w:p w14:paraId="697A0497">
            <w:pPr>
              <w:widowControl/>
              <w:jc w:val="center"/>
              <w:textAlignment w:val="center"/>
              <w:rPr>
                <w:rFonts w:hint="default" w:ascii="Times New Roman" w:hAnsi="Times New Roman" w:eastAsia="仿宋" w:cs="Times New Roman"/>
                <w:color w:val="000000"/>
                <w:sz w:val="21"/>
                <w:szCs w:val="21"/>
              </w:rPr>
            </w:pPr>
            <w:r>
              <w:rPr>
                <w:rFonts w:hint="default" w:ascii="Times New Roman" w:hAnsi="Times New Roman" w:eastAsia="仿宋" w:cs="Times New Roman"/>
                <w:color w:val="000000"/>
                <w:sz w:val="18"/>
                <w:szCs w:val="18"/>
                <w:lang w:bidi="ar"/>
              </w:rPr>
              <w:t>从</w:t>
            </w:r>
          </w:p>
        </w:tc>
        <w:tc>
          <w:tcPr>
            <w:tcW w:w="632" w:type="pct"/>
            <w:noWrap/>
            <w:vAlign w:val="center"/>
          </w:tcPr>
          <w:p w14:paraId="069BD7A2">
            <w:pPr>
              <w:widowControl/>
              <w:jc w:val="center"/>
              <w:textAlignment w:val="center"/>
              <w:rPr>
                <w:rFonts w:hint="eastAsia" w:ascii="Times New Roman" w:hAnsi="Times New Roman" w:eastAsia="仿宋" w:cs="Times New Roman"/>
                <w:color w:val="000000"/>
                <w:sz w:val="21"/>
                <w:szCs w:val="21"/>
                <w:lang w:eastAsia="zh-CN"/>
              </w:rPr>
            </w:pPr>
            <w:r>
              <w:rPr>
                <w:rFonts w:hint="eastAsia" w:ascii="Times New Roman" w:hAnsi="Times New Roman" w:eastAsia="仿宋" w:cs="Times New Roman"/>
                <w:color w:val="000000"/>
                <w:sz w:val="18"/>
                <w:szCs w:val="18"/>
                <w:lang w:eastAsia="zh-CN" w:bidi="ar"/>
              </w:rPr>
              <w:t>2019/9/1</w:t>
            </w:r>
          </w:p>
        </w:tc>
        <w:tc>
          <w:tcPr>
            <w:tcW w:w="632" w:type="pct"/>
            <w:noWrap/>
            <w:vAlign w:val="center"/>
          </w:tcPr>
          <w:p w14:paraId="11763047">
            <w:pPr>
              <w:widowControl/>
              <w:jc w:val="center"/>
              <w:textAlignment w:val="center"/>
              <w:rPr>
                <w:rFonts w:hint="eastAsia" w:ascii="Times New Roman" w:hAnsi="Times New Roman" w:eastAsia="仿宋" w:cs="Times New Roman"/>
                <w:color w:val="000000"/>
                <w:sz w:val="21"/>
                <w:szCs w:val="21"/>
                <w:lang w:eastAsia="zh-CN"/>
              </w:rPr>
            </w:pPr>
            <w:r>
              <w:rPr>
                <w:rFonts w:hint="eastAsia" w:ascii="Times New Roman" w:hAnsi="Times New Roman" w:eastAsia="仿宋" w:cs="Times New Roman"/>
                <w:color w:val="000000"/>
                <w:sz w:val="18"/>
                <w:szCs w:val="18"/>
                <w:lang w:eastAsia="zh-CN" w:bidi="ar"/>
              </w:rPr>
              <w:t>2019/9/1</w:t>
            </w:r>
          </w:p>
        </w:tc>
        <w:tc>
          <w:tcPr>
            <w:tcW w:w="632" w:type="pct"/>
            <w:noWrap/>
            <w:vAlign w:val="center"/>
          </w:tcPr>
          <w:p w14:paraId="4C8F13AB">
            <w:pPr>
              <w:widowControl/>
              <w:jc w:val="center"/>
              <w:textAlignment w:val="center"/>
              <w:rPr>
                <w:rFonts w:hint="eastAsia" w:ascii="Times New Roman" w:hAnsi="Times New Roman" w:eastAsia="仿宋" w:cs="Times New Roman"/>
                <w:color w:val="000000"/>
                <w:sz w:val="21"/>
                <w:szCs w:val="21"/>
                <w:lang w:val="en-US" w:eastAsia="zh-CN"/>
              </w:rPr>
            </w:pPr>
            <w:r>
              <w:rPr>
                <w:rFonts w:hint="eastAsia" w:ascii="Times New Roman" w:hAnsi="Times New Roman" w:eastAsia="仿宋" w:cs="Times New Roman"/>
                <w:color w:val="000000"/>
                <w:sz w:val="18"/>
                <w:szCs w:val="18"/>
                <w:lang w:eastAsia="zh-CN" w:bidi="ar"/>
              </w:rPr>
              <w:t>2019/9/1</w:t>
            </w:r>
          </w:p>
        </w:tc>
        <w:tc>
          <w:tcPr>
            <w:tcW w:w="628" w:type="pct"/>
            <w:shd w:val="clear" w:color="auto" w:fill="auto"/>
            <w:noWrap/>
            <w:vAlign w:val="center"/>
          </w:tcPr>
          <w:p w14:paraId="3EF84055">
            <w:pPr>
              <w:widowControl/>
              <w:jc w:val="center"/>
              <w:textAlignment w:val="center"/>
              <w:rPr>
                <w:rFonts w:hint="default" w:ascii="Times New Roman" w:hAnsi="Times New Roman" w:eastAsia="仿宋" w:cs="Times New Roman"/>
                <w:color w:val="000000"/>
                <w:sz w:val="21"/>
                <w:szCs w:val="21"/>
                <w:lang w:val="en-US" w:eastAsia="zh-CN" w:bidi="ar-SA"/>
              </w:rPr>
            </w:pPr>
            <w:r>
              <w:rPr>
                <w:rFonts w:hint="eastAsia" w:ascii="Times New Roman" w:hAnsi="Times New Roman" w:eastAsia="仿宋" w:cs="Times New Roman"/>
                <w:color w:val="000000"/>
                <w:sz w:val="18"/>
                <w:szCs w:val="18"/>
                <w:lang w:eastAsia="zh-CN" w:bidi="ar"/>
              </w:rPr>
              <w:t>2019/9/1</w:t>
            </w:r>
          </w:p>
        </w:tc>
        <w:tc>
          <w:tcPr>
            <w:tcW w:w="628" w:type="pct"/>
            <w:noWrap/>
            <w:vAlign w:val="center"/>
          </w:tcPr>
          <w:p w14:paraId="5609E31B">
            <w:pPr>
              <w:jc w:val="center"/>
              <w:rPr>
                <w:rFonts w:hint="default" w:ascii="Times New Roman" w:hAnsi="Times New Roman" w:eastAsia="仿宋" w:cs="Times New Roman"/>
                <w:color w:val="000000"/>
                <w:sz w:val="21"/>
                <w:szCs w:val="21"/>
              </w:rPr>
            </w:pPr>
          </w:p>
        </w:tc>
      </w:tr>
      <w:tr w14:paraId="1A1C475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13252929">
            <w:pPr>
              <w:jc w:val="center"/>
              <w:rPr>
                <w:rFonts w:hint="default" w:ascii="Times New Roman" w:hAnsi="Times New Roman" w:eastAsia="仿宋" w:cs="Times New Roman"/>
                <w:color w:val="000000"/>
                <w:sz w:val="21"/>
                <w:szCs w:val="21"/>
              </w:rPr>
            </w:pPr>
          </w:p>
        </w:tc>
        <w:tc>
          <w:tcPr>
            <w:tcW w:w="791" w:type="pct"/>
            <w:noWrap/>
            <w:vAlign w:val="center"/>
          </w:tcPr>
          <w:p w14:paraId="54C782E7">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至</w:t>
            </w:r>
          </w:p>
        </w:tc>
        <w:tc>
          <w:tcPr>
            <w:tcW w:w="632" w:type="pct"/>
            <w:noWrap/>
            <w:vAlign w:val="center"/>
          </w:tcPr>
          <w:p w14:paraId="447C17A9">
            <w:pPr>
              <w:widowControl/>
              <w:jc w:val="center"/>
              <w:textAlignment w:val="center"/>
              <w:rPr>
                <w:rFonts w:hint="eastAsia" w:ascii="Times New Roman" w:hAnsi="Times New Roman" w:eastAsia="仿宋" w:cs="Times New Roman"/>
                <w:color w:val="000000"/>
                <w:sz w:val="18"/>
                <w:szCs w:val="18"/>
                <w:lang w:eastAsia="zh-CN"/>
              </w:rPr>
            </w:pPr>
            <w:r>
              <w:rPr>
                <w:rFonts w:hint="eastAsia" w:ascii="Times New Roman" w:hAnsi="Times New Roman" w:eastAsia="仿宋" w:cs="Times New Roman"/>
                <w:color w:val="000000"/>
                <w:sz w:val="18"/>
                <w:szCs w:val="18"/>
                <w:lang w:eastAsia="zh-CN" w:bidi="ar"/>
              </w:rPr>
              <w:t>2024/8/31</w:t>
            </w:r>
          </w:p>
        </w:tc>
        <w:tc>
          <w:tcPr>
            <w:tcW w:w="632" w:type="pct"/>
            <w:noWrap/>
            <w:vAlign w:val="center"/>
          </w:tcPr>
          <w:p w14:paraId="53866D25">
            <w:pPr>
              <w:widowControl/>
              <w:jc w:val="center"/>
              <w:textAlignment w:val="center"/>
              <w:rPr>
                <w:rFonts w:hint="eastAsia" w:ascii="Times New Roman" w:hAnsi="Times New Roman" w:eastAsia="仿宋" w:cs="Times New Roman"/>
                <w:color w:val="000000"/>
                <w:sz w:val="18"/>
                <w:szCs w:val="18"/>
                <w:lang w:eastAsia="zh-CN"/>
              </w:rPr>
            </w:pPr>
            <w:r>
              <w:rPr>
                <w:rFonts w:hint="eastAsia" w:ascii="Times New Roman" w:hAnsi="Times New Roman" w:eastAsia="仿宋" w:cs="Times New Roman"/>
                <w:color w:val="000000"/>
                <w:sz w:val="18"/>
                <w:szCs w:val="18"/>
                <w:lang w:eastAsia="zh-CN" w:bidi="ar"/>
              </w:rPr>
              <w:t>2024/8/31</w:t>
            </w:r>
          </w:p>
        </w:tc>
        <w:tc>
          <w:tcPr>
            <w:tcW w:w="632" w:type="pct"/>
            <w:noWrap/>
            <w:vAlign w:val="center"/>
          </w:tcPr>
          <w:p w14:paraId="1B61E03E">
            <w:pPr>
              <w:widowControl/>
              <w:jc w:val="center"/>
              <w:textAlignment w:val="center"/>
              <w:rPr>
                <w:rFonts w:hint="eastAsia" w:ascii="Times New Roman" w:hAnsi="Times New Roman" w:eastAsia="仿宋" w:cs="Times New Roman"/>
                <w:color w:val="000000"/>
                <w:sz w:val="18"/>
                <w:szCs w:val="18"/>
                <w:lang w:eastAsia="zh-CN"/>
              </w:rPr>
            </w:pPr>
            <w:r>
              <w:rPr>
                <w:rFonts w:hint="eastAsia" w:ascii="Times New Roman" w:hAnsi="Times New Roman" w:eastAsia="仿宋" w:cs="Times New Roman"/>
                <w:color w:val="000000"/>
                <w:sz w:val="18"/>
                <w:szCs w:val="18"/>
                <w:lang w:eastAsia="zh-CN" w:bidi="ar"/>
              </w:rPr>
              <w:t>2024/8/31</w:t>
            </w:r>
          </w:p>
        </w:tc>
        <w:tc>
          <w:tcPr>
            <w:tcW w:w="628" w:type="pct"/>
            <w:shd w:val="clear" w:color="auto" w:fill="auto"/>
            <w:noWrap/>
            <w:vAlign w:val="center"/>
          </w:tcPr>
          <w:p w14:paraId="58717144">
            <w:pPr>
              <w:widowControl/>
              <w:jc w:val="center"/>
              <w:textAlignment w:val="center"/>
              <w:rPr>
                <w:rFonts w:hint="default" w:ascii="Times New Roman" w:hAnsi="Times New Roman" w:eastAsia="仿宋" w:cs="Times New Roman"/>
                <w:color w:val="000000"/>
                <w:sz w:val="18"/>
                <w:szCs w:val="18"/>
                <w:lang w:val="en-US" w:eastAsia="zh-CN" w:bidi="ar-SA"/>
              </w:rPr>
            </w:pPr>
            <w:r>
              <w:rPr>
                <w:rFonts w:hint="eastAsia" w:ascii="Times New Roman" w:hAnsi="Times New Roman" w:eastAsia="仿宋" w:cs="Times New Roman"/>
                <w:color w:val="000000"/>
                <w:sz w:val="18"/>
                <w:szCs w:val="18"/>
                <w:lang w:eastAsia="zh-CN" w:bidi="ar"/>
              </w:rPr>
              <w:t>2024/8/31</w:t>
            </w:r>
          </w:p>
        </w:tc>
        <w:tc>
          <w:tcPr>
            <w:tcW w:w="628" w:type="pct"/>
            <w:noWrap/>
            <w:vAlign w:val="center"/>
          </w:tcPr>
          <w:p w14:paraId="6FB821D9">
            <w:pPr>
              <w:jc w:val="center"/>
              <w:rPr>
                <w:rFonts w:hint="default" w:ascii="Times New Roman" w:hAnsi="Times New Roman" w:eastAsia="仿宋" w:cs="Times New Roman"/>
                <w:color w:val="000000"/>
                <w:sz w:val="21"/>
                <w:szCs w:val="21"/>
              </w:rPr>
            </w:pPr>
          </w:p>
        </w:tc>
      </w:tr>
      <w:tr w14:paraId="1DEBC0D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047885D1">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收益率计算方法</w:t>
            </w:r>
          </w:p>
        </w:tc>
        <w:tc>
          <w:tcPr>
            <w:tcW w:w="791" w:type="pct"/>
            <w:noWrap/>
            <w:vAlign w:val="center"/>
          </w:tcPr>
          <w:p w14:paraId="614CF035">
            <w:pPr>
              <w:jc w:val="center"/>
              <w:rPr>
                <w:rFonts w:hint="default" w:ascii="Times New Roman" w:hAnsi="Times New Roman" w:eastAsia="仿宋" w:cs="Times New Roman"/>
                <w:color w:val="000000"/>
                <w:sz w:val="21"/>
                <w:szCs w:val="21"/>
              </w:rPr>
            </w:pPr>
          </w:p>
        </w:tc>
        <w:tc>
          <w:tcPr>
            <w:tcW w:w="632" w:type="pct"/>
            <w:noWrap/>
            <w:vAlign w:val="center"/>
          </w:tcPr>
          <w:p w14:paraId="0676A5E0">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对数收益率</w:t>
            </w:r>
          </w:p>
        </w:tc>
        <w:tc>
          <w:tcPr>
            <w:tcW w:w="632" w:type="pct"/>
            <w:noWrap/>
            <w:vAlign w:val="center"/>
          </w:tcPr>
          <w:p w14:paraId="4E04C81C">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对数收益率</w:t>
            </w:r>
          </w:p>
        </w:tc>
        <w:tc>
          <w:tcPr>
            <w:tcW w:w="632" w:type="pct"/>
            <w:noWrap/>
            <w:vAlign w:val="center"/>
          </w:tcPr>
          <w:p w14:paraId="040E2810">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对数收益率</w:t>
            </w:r>
          </w:p>
        </w:tc>
        <w:tc>
          <w:tcPr>
            <w:tcW w:w="628" w:type="pct"/>
            <w:shd w:val="clear" w:color="auto" w:fill="auto"/>
            <w:noWrap/>
            <w:vAlign w:val="center"/>
          </w:tcPr>
          <w:p w14:paraId="12601AC6">
            <w:pPr>
              <w:widowControl/>
              <w:jc w:val="center"/>
              <w:textAlignment w:val="center"/>
              <w:rPr>
                <w:rFonts w:hint="default" w:ascii="Times New Roman" w:hAnsi="Times New Roman" w:eastAsia="仿宋" w:cs="Times New Roman"/>
                <w:color w:val="000000"/>
                <w:sz w:val="18"/>
                <w:szCs w:val="18"/>
                <w:lang w:val="en-US" w:eastAsia="zh-CN" w:bidi="ar-SA"/>
              </w:rPr>
            </w:pPr>
            <w:r>
              <w:rPr>
                <w:rFonts w:hint="default" w:ascii="Times New Roman" w:hAnsi="Times New Roman" w:eastAsia="仿宋" w:cs="Times New Roman"/>
                <w:color w:val="000000"/>
                <w:sz w:val="18"/>
                <w:szCs w:val="18"/>
                <w:lang w:bidi="ar"/>
              </w:rPr>
              <w:t>对数收益率</w:t>
            </w:r>
          </w:p>
        </w:tc>
        <w:tc>
          <w:tcPr>
            <w:tcW w:w="628" w:type="pct"/>
            <w:noWrap/>
            <w:vAlign w:val="center"/>
          </w:tcPr>
          <w:p w14:paraId="403C9D04">
            <w:pPr>
              <w:jc w:val="center"/>
              <w:rPr>
                <w:rFonts w:hint="default" w:ascii="Times New Roman" w:hAnsi="Times New Roman" w:eastAsia="仿宋" w:cs="Times New Roman"/>
                <w:color w:val="000000"/>
                <w:sz w:val="21"/>
                <w:szCs w:val="21"/>
              </w:rPr>
            </w:pPr>
          </w:p>
        </w:tc>
      </w:tr>
      <w:tr w14:paraId="6605FB3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1ED210F1">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原始Beta</w:t>
            </w:r>
          </w:p>
        </w:tc>
        <w:tc>
          <w:tcPr>
            <w:tcW w:w="791" w:type="pct"/>
            <w:noWrap/>
            <w:vAlign w:val="center"/>
          </w:tcPr>
          <w:p w14:paraId="380F23CB">
            <w:pPr>
              <w:jc w:val="center"/>
              <w:rPr>
                <w:rFonts w:hint="default" w:ascii="Times New Roman" w:hAnsi="Times New Roman" w:eastAsia="仿宋" w:cs="Times New Roman"/>
                <w:color w:val="000000"/>
                <w:sz w:val="21"/>
                <w:szCs w:val="21"/>
              </w:rPr>
            </w:pPr>
          </w:p>
        </w:tc>
        <w:tc>
          <w:tcPr>
            <w:tcW w:w="632" w:type="pct"/>
            <w:noWrap/>
            <w:vAlign w:val="center"/>
          </w:tcPr>
          <w:p w14:paraId="39B053AC">
            <w:pPr>
              <w:widowControl/>
              <w:jc w:val="center"/>
              <w:textAlignment w:val="center"/>
              <w:rPr>
                <w:rFonts w:hint="default" w:ascii="Times New Roman" w:hAnsi="Times New Roman" w:eastAsia="仿宋" w:cs="Times New Roman"/>
                <w:color w:val="000000"/>
                <w:sz w:val="18"/>
                <w:szCs w:val="18"/>
                <w:lang w:val="en-US" w:eastAsia="zh-CN" w:bidi="ar"/>
              </w:rPr>
            </w:pPr>
            <w:r>
              <w:rPr>
                <w:rFonts w:hint="default" w:ascii="Times New Roman" w:hAnsi="Times New Roman" w:eastAsia="仿宋" w:cs="Times New Roman"/>
                <w:sz w:val="18"/>
                <w:szCs w:val="18"/>
              </w:rPr>
              <w:t>0.5314</w:t>
            </w:r>
          </w:p>
        </w:tc>
        <w:tc>
          <w:tcPr>
            <w:tcW w:w="632" w:type="pct"/>
            <w:noWrap/>
            <w:vAlign w:val="center"/>
          </w:tcPr>
          <w:p w14:paraId="582F6267">
            <w:pPr>
              <w:widowControl/>
              <w:jc w:val="center"/>
              <w:textAlignment w:val="center"/>
              <w:rPr>
                <w:rFonts w:hint="default" w:ascii="Times New Roman" w:hAnsi="Times New Roman" w:eastAsia="仿宋" w:cs="Times New Roman"/>
                <w:color w:val="000000"/>
                <w:sz w:val="18"/>
                <w:szCs w:val="18"/>
                <w:lang w:val="en-US" w:eastAsia="zh-CN" w:bidi="ar"/>
              </w:rPr>
            </w:pPr>
            <w:r>
              <w:rPr>
                <w:rFonts w:hint="eastAsia" w:ascii="Times New Roman" w:hAnsi="Times New Roman" w:eastAsia="仿宋" w:cs="Times New Roman"/>
                <w:sz w:val="18"/>
                <w:szCs w:val="18"/>
              </w:rPr>
              <w:t>-0.3073</w:t>
            </w:r>
          </w:p>
        </w:tc>
        <w:tc>
          <w:tcPr>
            <w:tcW w:w="632" w:type="pct"/>
            <w:noWrap/>
            <w:vAlign w:val="center"/>
          </w:tcPr>
          <w:p w14:paraId="1F50FEE1">
            <w:pPr>
              <w:widowControl/>
              <w:jc w:val="center"/>
              <w:textAlignment w:val="center"/>
              <w:rPr>
                <w:rFonts w:hint="default" w:ascii="Times New Roman" w:hAnsi="Times New Roman" w:eastAsia="仿宋" w:cs="Times New Roman"/>
                <w:color w:val="000000"/>
                <w:sz w:val="18"/>
                <w:szCs w:val="18"/>
                <w:lang w:val="en-US" w:eastAsia="zh-CN" w:bidi="ar"/>
              </w:rPr>
            </w:pPr>
            <w:r>
              <w:rPr>
                <w:rFonts w:hint="default" w:ascii="Times New Roman" w:hAnsi="Times New Roman" w:eastAsia="仿宋" w:cs="Times New Roman"/>
                <w:sz w:val="18"/>
                <w:szCs w:val="18"/>
              </w:rPr>
              <w:t>0.3803</w:t>
            </w:r>
          </w:p>
        </w:tc>
        <w:tc>
          <w:tcPr>
            <w:tcW w:w="628" w:type="pct"/>
            <w:noWrap/>
            <w:vAlign w:val="center"/>
          </w:tcPr>
          <w:p w14:paraId="6AAFF3F6">
            <w:pPr>
              <w:widowControl/>
              <w:jc w:val="center"/>
              <w:textAlignment w:val="center"/>
              <w:rPr>
                <w:rFonts w:hint="eastAsia" w:ascii="Times New Roman" w:hAnsi="Times New Roman" w:eastAsia="仿宋" w:cs="Times New Roman"/>
                <w:sz w:val="18"/>
                <w:szCs w:val="18"/>
              </w:rPr>
            </w:pPr>
            <w:r>
              <w:rPr>
                <w:rFonts w:hint="default" w:ascii="Times New Roman" w:hAnsi="Times New Roman" w:eastAsia="仿宋" w:cs="Times New Roman"/>
                <w:sz w:val="18"/>
                <w:szCs w:val="18"/>
              </w:rPr>
              <w:t>0.164</w:t>
            </w:r>
            <w:r>
              <w:rPr>
                <w:rFonts w:hint="eastAsia" w:ascii="Times New Roman" w:hAnsi="Times New Roman" w:eastAsia="仿宋" w:cs="Times New Roman"/>
                <w:sz w:val="18"/>
                <w:szCs w:val="18"/>
                <w:lang w:val="en-US" w:eastAsia="zh-CN"/>
              </w:rPr>
              <w:t>0</w:t>
            </w:r>
          </w:p>
        </w:tc>
        <w:tc>
          <w:tcPr>
            <w:tcW w:w="628" w:type="pct"/>
            <w:noWrap/>
            <w:vAlign w:val="center"/>
          </w:tcPr>
          <w:p w14:paraId="4989C919">
            <w:pPr>
              <w:jc w:val="center"/>
              <w:rPr>
                <w:rFonts w:hint="default" w:ascii="Times New Roman" w:hAnsi="Times New Roman" w:eastAsia="仿宋" w:cs="Times New Roman"/>
                <w:color w:val="000000"/>
                <w:sz w:val="21"/>
                <w:szCs w:val="21"/>
              </w:rPr>
            </w:pPr>
          </w:p>
        </w:tc>
      </w:tr>
      <w:tr w14:paraId="015AD9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37109DB4">
            <w:pPr>
              <w:widowControl/>
              <w:jc w:val="center"/>
              <w:textAlignment w:val="center"/>
              <w:rPr>
                <w:rFonts w:hint="default" w:ascii="Times New Roman" w:hAnsi="Times New Roman" w:eastAsia="仿宋" w:cs="Times New Roman"/>
                <w:color w:val="000000"/>
                <w:sz w:val="18"/>
                <w:szCs w:val="18"/>
              </w:rPr>
            </w:pPr>
            <w:r>
              <w:rPr>
                <w:rFonts w:hint="default" w:ascii="Times New Roman" w:hAnsi="Times New Roman" w:eastAsia="仿宋" w:cs="Times New Roman"/>
                <w:color w:val="000000"/>
                <w:sz w:val="18"/>
                <w:szCs w:val="18"/>
                <w:lang w:bidi="ar"/>
              </w:rPr>
              <w:t>调整Beta</w:t>
            </w:r>
          </w:p>
        </w:tc>
        <w:tc>
          <w:tcPr>
            <w:tcW w:w="791" w:type="pct"/>
            <w:noWrap/>
            <w:vAlign w:val="center"/>
          </w:tcPr>
          <w:p w14:paraId="72BBBCD1">
            <w:pPr>
              <w:jc w:val="center"/>
              <w:rPr>
                <w:rFonts w:hint="default" w:ascii="Times New Roman" w:hAnsi="Times New Roman" w:eastAsia="仿宋" w:cs="Times New Roman"/>
                <w:color w:val="000000"/>
                <w:sz w:val="21"/>
                <w:szCs w:val="21"/>
              </w:rPr>
            </w:pPr>
          </w:p>
        </w:tc>
        <w:tc>
          <w:tcPr>
            <w:tcW w:w="632" w:type="pct"/>
            <w:noWrap/>
            <w:vAlign w:val="center"/>
          </w:tcPr>
          <w:p w14:paraId="36C0F711">
            <w:pPr>
              <w:widowControl/>
              <w:jc w:val="center"/>
              <w:textAlignment w:val="center"/>
              <w:rPr>
                <w:rFonts w:hint="eastAsia" w:ascii="Times New Roman" w:hAnsi="Times New Roman" w:eastAsia="仿宋" w:cs="Times New Roman"/>
                <w:color w:val="000000"/>
                <w:sz w:val="18"/>
                <w:szCs w:val="18"/>
                <w:lang w:val="en-US" w:eastAsia="zh-CN" w:bidi="ar"/>
              </w:rPr>
            </w:pPr>
            <w:r>
              <w:rPr>
                <w:rFonts w:hint="default" w:ascii="Times New Roman" w:hAnsi="Times New Roman" w:eastAsia="仿宋" w:cs="Times New Roman"/>
                <w:sz w:val="18"/>
                <w:szCs w:val="18"/>
              </w:rPr>
              <w:t>0.686</w:t>
            </w:r>
            <w:r>
              <w:rPr>
                <w:rFonts w:hint="eastAsia" w:ascii="Times New Roman" w:hAnsi="Times New Roman" w:eastAsia="仿宋" w:cs="Times New Roman"/>
                <w:sz w:val="18"/>
                <w:szCs w:val="18"/>
                <w:lang w:val="en-US" w:eastAsia="zh-CN"/>
              </w:rPr>
              <w:t>0</w:t>
            </w:r>
          </w:p>
        </w:tc>
        <w:tc>
          <w:tcPr>
            <w:tcW w:w="632" w:type="pct"/>
            <w:noWrap/>
            <w:vAlign w:val="center"/>
          </w:tcPr>
          <w:p w14:paraId="07986530">
            <w:pPr>
              <w:widowControl/>
              <w:jc w:val="center"/>
              <w:textAlignment w:val="center"/>
              <w:rPr>
                <w:rFonts w:hint="default" w:ascii="Times New Roman" w:hAnsi="Times New Roman" w:eastAsia="仿宋" w:cs="Times New Roman"/>
                <w:color w:val="000000"/>
                <w:sz w:val="18"/>
                <w:szCs w:val="18"/>
                <w:lang w:val="en-US" w:eastAsia="zh-CN" w:bidi="ar"/>
              </w:rPr>
            </w:pPr>
            <w:r>
              <w:rPr>
                <w:rFonts w:hint="eastAsia" w:ascii="Times New Roman" w:hAnsi="Times New Roman" w:eastAsia="仿宋" w:cs="Times New Roman"/>
                <w:sz w:val="18"/>
                <w:szCs w:val="18"/>
              </w:rPr>
              <w:t>0.1241</w:t>
            </w:r>
          </w:p>
        </w:tc>
        <w:tc>
          <w:tcPr>
            <w:tcW w:w="632" w:type="pct"/>
            <w:noWrap/>
            <w:vAlign w:val="center"/>
          </w:tcPr>
          <w:p w14:paraId="509B7AE9">
            <w:pPr>
              <w:widowControl/>
              <w:jc w:val="center"/>
              <w:textAlignment w:val="center"/>
              <w:rPr>
                <w:rFonts w:hint="default" w:ascii="Times New Roman" w:hAnsi="Times New Roman" w:eastAsia="仿宋" w:cs="Times New Roman"/>
                <w:color w:val="000000"/>
                <w:sz w:val="18"/>
                <w:szCs w:val="18"/>
                <w:lang w:val="en-US" w:eastAsia="zh-CN" w:bidi="ar"/>
              </w:rPr>
            </w:pPr>
            <w:r>
              <w:rPr>
                <w:rFonts w:hint="default" w:ascii="Times New Roman" w:hAnsi="Times New Roman" w:eastAsia="仿宋" w:cs="Times New Roman"/>
                <w:sz w:val="18"/>
                <w:szCs w:val="18"/>
              </w:rPr>
              <w:t>0.5848</w:t>
            </w:r>
          </w:p>
        </w:tc>
        <w:tc>
          <w:tcPr>
            <w:tcW w:w="628" w:type="pct"/>
            <w:noWrap/>
            <w:vAlign w:val="center"/>
          </w:tcPr>
          <w:p w14:paraId="011BDC3B">
            <w:pPr>
              <w:widowControl/>
              <w:jc w:val="center"/>
              <w:textAlignment w:val="center"/>
              <w:rPr>
                <w:rFonts w:hint="default" w:ascii="Times New Roman" w:hAnsi="Times New Roman" w:eastAsia="仿宋" w:cs="Times New Roman"/>
                <w:sz w:val="18"/>
                <w:szCs w:val="18"/>
              </w:rPr>
            </w:pPr>
            <w:r>
              <w:rPr>
                <w:rFonts w:hint="default" w:ascii="Times New Roman" w:hAnsi="Times New Roman" w:eastAsia="仿宋" w:cs="Times New Roman"/>
                <w:sz w:val="18"/>
                <w:szCs w:val="18"/>
              </w:rPr>
              <w:t>0.4399</w:t>
            </w:r>
          </w:p>
        </w:tc>
        <w:tc>
          <w:tcPr>
            <w:tcW w:w="628" w:type="pct"/>
            <w:noWrap/>
            <w:vAlign w:val="center"/>
          </w:tcPr>
          <w:p w14:paraId="4E8939D5">
            <w:pPr>
              <w:jc w:val="center"/>
              <w:rPr>
                <w:rFonts w:hint="default" w:ascii="Times New Roman" w:hAnsi="Times New Roman" w:eastAsia="仿宋" w:cs="Times New Roman"/>
                <w:color w:val="000000"/>
                <w:sz w:val="21"/>
                <w:szCs w:val="21"/>
              </w:rPr>
            </w:pPr>
          </w:p>
        </w:tc>
      </w:tr>
      <w:tr w14:paraId="47DE4F0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055" w:type="pct"/>
            <w:noWrap/>
            <w:vAlign w:val="center"/>
          </w:tcPr>
          <w:p w14:paraId="1B5DEAE3">
            <w:pPr>
              <w:widowControl/>
              <w:jc w:val="center"/>
              <w:textAlignment w:val="center"/>
              <w:rPr>
                <w:rFonts w:hint="default" w:ascii="Times New Roman" w:hAnsi="Times New Roman" w:eastAsia="仿宋" w:cs="Times New Roman"/>
                <w:b/>
                <w:bCs/>
                <w:color w:val="000000"/>
                <w:sz w:val="18"/>
                <w:szCs w:val="18"/>
                <w:highlight w:val="none"/>
                <w:u w:val="single"/>
              </w:rPr>
            </w:pPr>
            <w:r>
              <w:rPr>
                <w:rFonts w:hint="default" w:ascii="Times New Roman" w:hAnsi="Times New Roman" w:eastAsia="仿宋" w:cs="Times New Roman"/>
                <w:b/>
                <w:bCs/>
                <w:color w:val="000000"/>
                <w:sz w:val="18"/>
                <w:szCs w:val="18"/>
                <w:highlight w:val="none"/>
                <w:u w:val="single"/>
                <w:lang w:bidi="ar"/>
              </w:rPr>
              <w:t>剔除杠杆调整Beta</w:t>
            </w:r>
          </w:p>
        </w:tc>
        <w:tc>
          <w:tcPr>
            <w:tcW w:w="791" w:type="pct"/>
            <w:noWrap/>
            <w:vAlign w:val="center"/>
          </w:tcPr>
          <w:p w14:paraId="5B3239AC">
            <w:pPr>
              <w:jc w:val="center"/>
              <w:rPr>
                <w:rFonts w:hint="default" w:ascii="Times New Roman" w:hAnsi="Times New Roman" w:eastAsia="仿宋" w:cs="Times New Roman"/>
                <w:color w:val="000000"/>
                <w:sz w:val="21"/>
                <w:szCs w:val="21"/>
                <w:highlight w:val="none"/>
              </w:rPr>
            </w:pPr>
          </w:p>
        </w:tc>
        <w:tc>
          <w:tcPr>
            <w:tcW w:w="632" w:type="pct"/>
            <w:noWrap/>
            <w:vAlign w:val="center"/>
          </w:tcPr>
          <w:p w14:paraId="5B701225">
            <w:pPr>
              <w:widowControl/>
              <w:jc w:val="center"/>
              <w:textAlignment w:val="center"/>
              <w:rPr>
                <w:rFonts w:hint="default" w:ascii="Times New Roman" w:hAnsi="Times New Roman" w:eastAsia="仿宋" w:cs="Times New Roman"/>
                <w:color w:val="000000"/>
                <w:sz w:val="18"/>
                <w:szCs w:val="18"/>
                <w:highlight w:val="none"/>
                <w:lang w:val="en-US" w:eastAsia="zh-CN" w:bidi="ar"/>
              </w:rPr>
            </w:pPr>
            <w:r>
              <w:rPr>
                <w:rFonts w:hint="default" w:ascii="Times New Roman" w:hAnsi="Times New Roman" w:eastAsia="仿宋" w:cs="Times New Roman"/>
                <w:color w:val="000000"/>
                <w:sz w:val="18"/>
                <w:szCs w:val="18"/>
                <w:highlight w:val="none"/>
                <w:lang w:bidi="ar"/>
              </w:rPr>
              <w:t>0.6693</w:t>
            </w:r>
            <w:r>
              <w:rPr>
                <w:rFonts w:hint="default" w:ascii="Times New Roman" w:hAnsi="Times New Roman" w:eastAsia="仿宋" w:cs="Times New Roman"/>
                <w:color w:val="000000"/>
                <w:sz w:val="18"/>
                <w:szCs w:val="18"/>
                <w:highlight w:val="none"/>
                <w:lang w:val="en-US" w:eastAsia="zh-CN" w:bidi="ar"/>
              </w:rPr>
              <w:t xml:space="preserve"> </w:t>
            </w:r>
          </w:p>
        </w:tc>
        <w:tc>
          <w:tcPr>
            <w:tcW w:w="632" w:type="pct"/>
            <w:noWrap/>
            <w:vAlign w:val="center"/>
          </w:tcPr>
          <w:p w14:paraId="6497D9BD">
            <w:pPr>
              <w:widowControl/>
              <w:jc w:val="center"/>
              <w:textAlignment w:val="center"/>
              <w:rPr>
                <w:rFonts w:hint="default" w:ascii="Times New Roman" w:hAnsi="Times New Roman" w:eastAsia="仿宋" w:cs="Times New Roman"/>
                <w:color w:val="000000"/>
                <w:sz w:val="18"/>
                <w:szCs w:val="18"/>
                <w:highlight w:val="none"/>
                <w:lang w:val="en-US" w:eastAsia="zh-CN" w:bidi="ar"/>
              </w:rPr>
            </w:pPr>
            <w:r>
              <w:rPr>
                <w:rFonts w:hint="default" w:ascii="Times New Roman" w:hAnsi="Times New Roman" w:eastAsia="仿宋" w:cs="Times New Roman"/>
                <w:color w:val="000000"/>
                <w:sz w:val="18"/>
                <w:szCs w:val="18"/>
                <w:highlight w:val="none"/>
                <w:lang w:bidi="ar"/>
              </w:rPr>
              <w:t>0.1144</w:t>
            </w:r>
            <w:r>
              <w:rPr>
                <w:rFonts w:hint="default" w:ascii="Times New Roman" w:hAnsi="Times New Roman" w:eastAsia="仿宋" w:cs="Times New Roman"/>
                <w:color w:val="000000"/>
                <w:sz w:val="18"/>
                <w:szCs w:val="18"/>
                <w:highlight w:val="none"/>
                <w:lang w:val="en-US" w:eastAsia="zh-CN" w:bidi="ar"/>
              </w:rPr>
              <w:t xml:space="preserve"> </w:t>
            </w:r>
          </w:p>
        </w:tc>
        <w:tc>
          <w:tcPr>
            <w:tcW w:w="632" w:type="pct"/>
            <w:noWrap/>
            <w:vAlign w:val="center"/>
          </w:tcPr>
          <w:p w14:paraId="142B0093">
            <w:pPr>
              <w:widowControl/>
              <w:jc w:val="center"/>
              <w:textAlignment w:val="center"/>
              <w:rPr>
                <w:rFonts w:hint="default" w:ascii="Times New Roman" w:hAnsi="Times New Roman" w:eastAsia="仿宋" w:cs="Times New Roman"/>
                <w:color w:val="000000"/>
                <w:sz w:val="18"/>
                <w:szCs w:val="18"/>
                <w:highlight w:val="none"/>
                <w:lang w:val="en-US" w:eastAsia="zh-CN" w:bidi="ar"/>
              </w:rPr>
            </w:pPr>
            <w:r>
              <w:rPr>
                <w:rFonts w:hint="default" w:ascii="Times New Roman" w:hAnsi="Times New Roman" w:eastAsia="仿宋" w:cs="Times New Roman"/>
                <w:color w:val="000000"/>
                <w:sz w:val="18"/>
                <w:szCs w:val="18"/>
                <w:highlight w:val="none"/>
                <w:lang w:bidi="ar"/>
              </w:rPr>
              <w:t>0.5295</w:t>
            </w:r>
          </w:p>
        </w:tc>
        <w:tc>
          <w:tcPr>
            <w:tcW w:w="628" w:type="pct"/>
            <w:noWrap/>
            <w:vAlign w:val="center"/>
          </w:tcPr>
          <w:p w14:paraId="44B3AB79">
            <w:pPr>
              <w:keepNext w:val="0"/>
              <w:keepLines w:val="0"/>
              <w:widowControl/>
              <w:suppressLineNumbers w:val="0"/>
              <w:jc w:val="center"/>
              <w:textAlignment w:val="center"/>
              <w:rPr>
                <w:rFonts w:hint="eastAsia" w:ascii="Times New Roman" w:hAnsi="Times New Roman" w:eastAsia="仿宋" w:cs="Times New Roman"/>
                <w:color w:val="000000"/>
                <w:sz w:val="18"/>
                <w:szCs w:val="18"/>
                <w:highlight w:val="none"/>
                <w:lang w:val="en-US" w:eastAsia="zh-CN" w:bidi="ar"/>
              </w:rPr>
            </w:pPr>
            <w:r>
              <w:rPr>
                <w:rFonts w:hint="eastAsia" w:ascii="Times New Roman" w:hAnsi="Times New Roman" w:eastAsia="仿宋" w:cs="Times New Roman"/>
                <w:color w:val="000000"/>
                <w:sz w:val="18"/>
                <w:szCs w:val="18"/>
                <w:highlight w:val="none"/>
                <w:lang w:bidi="ar"/>
              </w:rPr>
              <w:t>0.4015</w:t>
            </w:r>
          </w:p>
        </w:tc>
        <w:tc>
          <w:tcPr>
            <w:tcW w:w="628" w:type="pct"/>
            <w:noWrap/>
            <w:vAlign w:val="center"/>
          </w:tcPr>
          <w:p w14:paraId="03C6CEC6">
            <w:pPr>
              <w:keepNext w:val="0"/>
              <w:keepLines w:val="0"/>
              <w:widowControl/>
              <w:suppressLineNumbers w:val="0"/>
              <w:jc w:val="center"/>
              <w:textAlignment w:val="center"/>
              <w:rPr>
                <w:rFonts w:hint="default" w:ascii="Times New Roman" w:hAnsi="Times New Roman" w:eastAsia="仿宋" w:cs="Times New Roman"/>
                <w:i w:val="0"/>
                <w:iCs w:val="0"/>
                <w:color w:val="000000"/>
                <w:kern w:val="2"/>
                <w:sz w:val="20"/>
                <w:szCs w:val="20"/>
                <w:highlight w:val="none"/>
                <w:u w:val="none"/>
                <w:lang w:val="en-US" w:eastAsia="zh-CN" w:bidi="ar-SA"/>
              </w:rPr>
            </w:pPr>
            <w:r>
              <w:rPr>
                <w:rFonts w:hint="eastAsia" w:ascii="Times New Roman" w:hAnsi="Times New Roman" w:eastAsia="仿宋" w:cs="Times New Roman"/>
                <w:color w:val="000000"/>
                <w:sz w:val="18"/>
                <w:szCs w:val="18"/>
                <w:highlight w:val="none"/>
                <w:lang w:val="en-US" w:eastAsia="zh-CN" w:bidi="ar"/>
              </w:rPr>
              <w:t>0.4287</w:t>
            </w:r>
            <w:r>
              <w:rPr>
                <w:rFonts w:hint="default" w:ascii="Times New Roman" w:hAnsi="Times New Roman" w:eastAsia="仿宋" w:cs="Times New Roman"/>
                <w:color w:val="000000"/>
                <w:sz w:val="18"/>
                <w:szCs w:val="18"/>
                <w:highlight w:val="none"/>
                <w:lang w:val="en-US" w:eastAsia="zh-CN" w:bidi="ar"/>
              </w:rPr>
              <w:t xml:space="preserve"> </w:t>
            </w:r>
          </w:p>
        </w:tc>
      </w:tr>
    </w:tbl>
    <w:p w14:paraId="39C23CEE">
      <w:pPr>
        <w:spacing w:line="240" w:lineRule="auto"/>
        <w:ind w:firstLine="560" w:firstLineChars="200"/>
        <w:rPr>
          <w:rFonts w:hint="default" w:ascii="Times New Roman" w:hAnsi="Times New Roman" w:eastAsia="仿宋" w:cs="Times New Roman"/>
          <w:kern w:val="2"/>
          <w:sz w:val="28"/>
          <w:szCs w:val="28"/>
          <w:lang w:val="en-US" w:eastAsia="zh-CN" w:bidi="ar-SA"/>
        </w:rPr>
      </w:pPr>
    </w:p>
    <w:p w14:paraId="7BEC9F53">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故</w:t>
      </w:r>
      <w:r>
        <w:rPr>
          <w:rFonts w:hint="default" w:ascii="Times New Roman" w:hAnsi="Times New Roman" w:eastAsia="仿宋" w:cs="Times New Roman"/>
          <w:kern w:val="2"/>
          <w:sz w:val="28"/>
          <w:szCs w:val="28"/>
          <w:lang w:val="en-US" w:eastAsia="zh-CN" w:bidi="ar-SA"/>
        </w:rPr>
        <w:object>
          <v:shape id="_x0000_i1026" o:spt="75" type="#_x0000_t75" style="height:18.75pt;width:14.25pt;" o:ole="t" filled="f" o:preferrelative="t" stroked="f" coordsize="21600,21600">
            <v:path/>
            <v:fill on="f" focussize="0,0"/>
            <v:stroke on="f"/>
            <v:imagedata r:id="rId14" o:title=""/>
            <o:lock v:ext="edit" aspectratio="t"/>
            <w10:wrap type="none"/>
            <w10:anchorlock/>
          </v:shape>
          <o:OLEObject Type="Embed" ProgID="Equation.3" ShapeID="_x0000_i1026" DrawAspect="Content" ObjectID="_1468075726" r:id="rId13">
            <o:LockedField>false</o:LockedField>
          </o:OLEObject>
        </w:object>
      </w:r>
      <w:r>
        <w:rPr>
          <w:rFonts w:hint="default" w:ascii="Times New Roman" w:hAnsi="Times New Roman" w:eastAsia="仿宋" w:cs="Times New Roman"/>
          <w:kern w:val="2"/>
          <w:sz w:val="28"/>
          <w:szCs w:val="28"/>
          <w:lang w:val="en-US" w:eastAsia="zh-CN" w:bidi="ar-SA"/>
        </w:rPr>
        <w:t>＝</w:t>
      </w:r>
      <w:r>
        <w:rPr>
          <w:rFonts w:hint="eastAsia" w:ascii="Times New Roman" w:hAnsi="Times New Roman" w:eastAsia="仿宋" w:cs="Times New Roman"/>
          <w:color w:val="000000"/>
          <w:sz w:val="28"/>
          <w:szCs w:val="28"/>
          <w:highlight w:val="none"/>
          <w:lang w:val="en-US" w:eastAsia="zh-CN" w:bidi="ar"/>
        </w:rPr>
        <w:t>0.4287</w:t>
      </w:r>
      <w:r>
        <w:rPr>
          <w:rFonts w:hint="default" w:ascii="Times New Roman" w:hAnsi="Times New Roman" w:eastAsia="仿宋" w:cs="Times New Roman"/>
          <w:kern w:val="2"/>
          <w:sz w:val="28"/>
          <w:szCs w:val="28"/>
          <w:lang w:val="en-US" w:eastAsia="zh-CN" w:bidi="ar-SA"/>
        </w:rPr>
        <w:t xml:space="preserve"> ，获取样本公司历史年度相关财务数据，并通过计算，得出对比公司的资本结构如下：</w:t>
      </w:r>
    </w:p>
    <w:tbl>
      <w:tblPr>
        <w:tblStyle w:val="16"/>
        <w:tblW w:w="4998"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309"/>
        <w:gridCol w:w="1738"/>
        <w:gridCol w:w="1645"/>
        <w:gridCol w:w="1551"/>
        <w:gridCol w:w="1586"/>
      </w:tblGrid>
      <w:tr w14:paraId="3938239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10" w:hRule="atLeast"/>
        </w:trPr>
        <w:tc>
          <w:tcPr>
            <w:tcW w:w="1307" w:type="pct"/>
            <w:vMerge w:val="restart"/>
            <w:noWrap/>
            <w:vAlign w:val="center"/>
          </w:tcPr>
          <w:p w14:paraId="068CD060">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证券代码</w:t>
            </w:r>
          </w:p>
        </w:tc>
        <w:tc>
          <w:tcPr>
            <w:tcW w:w="984" w:type="pct"/>
            <w:noWrap/>
            <w:vAlign w:val="center"/>
          </w:tcPr>
          <w:p w14:paraId="20A43F46">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股权公允价值</w:t>
            </w:r>
          </w:p>
        </w:tc>
        <w:tc>
          <w:tcPr>
            <w:tcW w:w="931" w:type="pct"/>
            <w:noWrap/>
            <w:vAlign w:val="center"/>
          </w:tcPr>
          <w:p w14:paraId="7321DB09">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付息负债</w:t>
            </w:r>
          </w:p>
        </w:tc>
        <w:tc>
          <w:tcPr>
            <w:tcW w:w="878" w:type="pct"/>
            <w:vMerge w:val="restart"/>
            <w:noWrap/>
            <w:vAlign w:val="center"/>
          </w:tcPr>
          <w:p w14:paraId="7DEA7E74">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股权比例</w:t>
            </w:r>
          </w:p>
        </w:tc>
        <w:tc>
          <w:tcPr>
            <w:tcW w:w="898" w:type="pct"/>
            <w:vMerge w:val="restart"/>
            <w:noWrap/>
            <w:vAlign w:val="center"/>
          </w:tcPr>
          <w:p w14:paraId="2607A9EE">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债权比例</w:t>
            </w:r>
          </w:p>
        </w:tc>
      </w:tr>
      <w:tr w14:paraId="0BB561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307" w:type="pct"/>
            <w:vMerge w:val="continue"/>
            <w:noWrap/>
            <w:vAlign w:val="center"/>
          </w:tcPr>
          <w:p w14:paraId="30A4147B">
            <w:pPr>
              <w:jc w:val="center"/>
              <w:rPr>
                <w:rFonts w:hint="default" w:ascii="Times New Roman" w:hAnsi="Times New Roman" w:eastAsia="仿宋" w:cs="Times New Roman"/>
                <w:color w:val="000000"/>
                <w:sz w:val="15"/>
                <w:szCs w:val="15"/>
              </w:rPr>
            </w:pPr>
          </w:p>
        </w:tc>
        <w:tc>
          <w:tcPr>
            <w:tcW w:w="984" w:type="pct"/>
            <w:noWrap/>
            <w:vAlign w:val="center"/>
          </w:tcPr>
          <w:p w14:paraId="2B575549">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w:t>
            </w:r>
            <w:r>
              <w:rPr>
                <w:rFonts w:hint="eastAsia" w:ascii="Times New Roman" w:hAnsi="Times New Roman" w:eastAsia="仿宋" w:cs="Times New Roman"/>
                <w:color w:val="000000"/>
                <w:sz w:val="15"/>
                <w:szCs w:val="15"/>
                <w:lang w:val="en-US" w:eastAsia="zh-CN" w:bidi="ar"/>
              </w:rPr>
              <w:t>万</w:t>
            </w:r>
            <w:r>
              <w:rPr>
                <w:rFonts w:hint="default" w:ascii="Times New Roman" w:hAnsi="Times New Roman" w:eastAsia="仿宋" w:cs="Times New Roman"/>
                <w:color w:val="000000"/>
                <w:sz w:val="15"/>
                <w:szCs w:val="15"/>
                <w:lang w:bidi="ar"/>
              </w:rPr>
              <w:t>元）</w:t>
            </w:r>
          </w:p>
        </w:tc>
        <w:tc>
          <w:tcPr>
            <w:tcW w:w="931" w:type="pct"/>
            <w:noWrap/>
            <w:vAlign w:val="center"/>
          </w:tcPr>
          <w:p w14:paraId="3EA4DA27">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仿宋" w:cs="Times New Roman"/>
                <w:color w:val="000000"/>
                <w:sz w:val="15"/>
                <w:szCs w:val="15"/>
                <w:lang w:bidi="ar"/>
              </w:rPr>
              <w:t>（元）</w:t>
            </w:r>
          </w:p>
        </w:tc>
        <w:tc>
          <w:tcPr>
            <w:tcW w:w="878" w:type="pct"/>
            <w:vMerge w:val="continue"/>
            <w:noWrap/>
            <w:vAlign w:val="center"/>
          </w:tcPr>
          <w:p w14:paraId="76884471">
            <w:pPr>
              <w:jc w:val="center"/>
              <w:rPr>
                <w:rFonts w:hint="default" w:ascii="Times New Roman" w:hAnsi="Times New Roman" w:eastAsia="仿宋" w:cs="Times New Roman"/>
                <w:color w:val="000000"/>
                <w:sz w:val="15"/>
                <w:szCs w:val="15"/>
              </w:rPr>
            </w:pPr>
          </w:p>
        </w:tc>
        <w:tc>
          <w:tcPr>
            <w:tcW w:w="898" w:type="pct"/>
            <w:vMerge w:val="continue"/>
            <w:noWrap/>
            <w:vAlign w:val="center"/>
          </w:tcPr>
          <w:p w14:paraId="18AD18A3">
            <w:pPr>
              <w:jc w:val="center"/>
              <w:rPr>
                <w:rFonts w:hint="default" w:ascii="Times New Roman" w:hAnsi="Times New Roman" w:eastAsia="仿宋" w:cs="Times New Roman"/>
                <w:color w:val="000000"/>
                <w:sz w:val="15"/>
                <w:szCs w:val="15"/>
              </w:rPr>
            </w:pPr>
          </w:p>
        </w:tc>
      </w:tr>
      <w:tr w14:paraId="7F8F3B2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0" w:hRule="atLeast"/>
        </w:trPr>
        <w:tc>
          <w:tcPr>
            <w:tcW w:w="2309" w:type="dxa"/>
            <w:noWrap/>
            <w:vAlign w:val="center"/>
          </w:tcPr>
          <w:p w14:paraId="35B6AA41">
            <w:pPr>
              <w:keepNext w:val="0"/>
              <w:keepLines w:val="0"/>
              <w:widowControl/>
              <w:suppressLineNumbers w:val="0"/>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宋体" w:cs="Times New Roman"/>
                <w:i w:val="0"/>
                <w:iCs w:val="0"/>
                <w:color w:val="000000"/>
                <w:kern w:val="0"/>
                <w:sz w:val="20"/>
                <w:szCs w:val="20"/>
                <w:u w:val="none"/>
                <w:lang w:val="en-US" w:eastAsia="zh-CN" w:bidi="ar"/>
              </w:rPr>
              <w:t>600187.SH</w:t>
            </w:r>
          </w:p>
        </w:tc>
        <w:tc>
          <w:tcPr>
            <w:tcW w:w="1719" w:type="dxa"/>
            <w:noWrap/>
            <w:vAlign w:val="center"/>
          </w:tcPr>
          <w:p w14:paraId="06F45EDD">
            <w:pPr>
              <w:keepNext w:val="0"/>
              <w:keepLines w:val="0"/>
              <w:widowControl/>
              <w:suppressLineNumbers w:val="0"/>
              <w:jc w:val="right"/>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 xml:space="preserve">426038.21 </w:t>
            </w:r>
          </w:p>
        </w:tc>
        <w:tc>
          <w:tcPr>
            <w:tcW w:w="1627" w:type="dxa"/>
            <w:noWrap/>
            <w:vAlign w:val="center"/>
          </w:tcPr>
          <w:p w14:paraId="0A403EC4">
            <w:pPr>
              <w:keepNext w:val="0"/>
              <w:keepLines w:val="0"/>
              <w:widowControl/>
              <w:suppressLineNumbers w:val="0"/>
              <w:jc w:val="right"/>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14173.66499</w:t>
            </w:r>
          </w:p>
        </w:tc>
        <w:tc>
          <w:tcPr>
            <w:tcW w:w="1534" w:type="dxa"/>
            <w:noWrap/>
            <w:vAlign w:val="center"/>
          </w:tcPr>
          <w:p w14:paraId="6C2E2D02">
            <w:pPr>
              <w:keepNext w:val="0"/>
              <w:keepLines w:val="0"/>
              <w:widowControl/>
              <w:suppressLineNumbers w:val="0"/>
              <w:jc w:val="center"/>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96.78%</w:t>
            </w:r>
          </w:p>
        </w:tc>
        <w:tc>
          <w:tcPr>
            <w:tcW w:w="1569" w:type="dxa"/>
            <w:noWrap/>
            <w:vAlign w:val="center"/>
          </w:tcPr>
          <w:p w14:paraId="76A00EAC">
            <w:pPr>
              <w:keepNext w:val="0"/>
              <w:keepLines w:val="0"/>
              <w:widowControl/>
              <w:suppressLineNumbers w:val="0"/>
              <w:jc w:val="center"/>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3.22%</w:t>
            </w:r>
          </w:p>
        </w:tc>
      </w:tr>
      <w:tr w14:paraId="5288671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0" w:hRule="atLeast"/>
        </w:trPr>
        <w:tc>
          <w:tcPr>
            <w:tcW w:w="2309" w:type="dxa"/>
            <w:noWrap/>
            <w:vAlign w:val="center"/>
          </w:tcPr>
          <w:p w14:paraId="280CD137">
            <w:pPr>
              <w:keepNext w:val="0"/>
              <w:keepLines w:val="0"/>
              <w:widowControl/>
              <w:suppressLineNumbers w:val="0"/>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宋体" w:cs="Times New Roman"/>
                <w:i w:val="0"/>
                <w:iCs w:val="0"/>
                <w:color w:val="000000"/>
                <w:kern w:val="0"/>
                <w:sz w:val="20"/>
                <w:szCs w:val="20"/>
                <w:u w:val="none"/>
                <w:lang w:val="en-US" w:eastAsia="zh-CN" w:bidi="ar"/>
              </w:rPr>
              <w:t>003039.SZ</w:t>
            </w:r>
          </w:p>
        </w:tc>
        <w:tc>
          <w:tcPr>
            <w:tcW w:w="1719" w:type="dxa"/>
            <w:noWrap/>
            <w:vAlign w:val="center"/>
          </w:tcPr>
          <w:p w14:paraId="1F428BE8">
            <w:pPr>
              <w:keepNext w:val="0"/>
              <w:keepLines w:val="0"/>
              <w:widowControl/>
              <w:suppressLineNumbers w:val="0"/>
              <w:jc w:val="right"/>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 xml:space="preserve">936158.39 </w:t>
            </w:r>
          </w:p>
        </w:tc>
        <w:tc>
          <w:tcPr>
            <w:tcW w:w="1627" w:type="dxa"/>
            <w:noWrap/>
            <w:vAlign w:val="center"/>
          </w:tcPr>
          <w:p w14:paraId="5F3C096F">
            <w:pPr>
              <w:keepNext w:val="0"/>
              <w:keepLines w:val="0"/>
              <w:widowControl/>
              <w:suppressLineNumbers w:val="0"/>
              <w:jc w:val="right"/>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105477.781</w:t>
            </w:r>
          </w:p>
        </w:tc>
        <w:tc>
          <w:tcPr>
            <w:tcW w:w="1534" w:type="dxa"/>
            <w:noWrap/>
            <w:vAlign w:val="center"/>
          </w:tcPr>
          <w:p w14:paraId="563687CF">
            <w:pPr>
              <w:keepNext w:val="0"/>
              <w:keepLines w:val="0"/>
              <w:widowControl/>
              <w:suppressLineNumbers w:val="0"/>
              <w:jc w:val="center"/>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89.87%</w:t>
            </w:r>
          </w:p>
        </w:tc>
        <w:tc>
          <w:tcPr>
            <w:tcW w:w="1569" w:type="dxa"/>
            <w:noWrap/>
            <w:vAlign w:val="center"/>
          </w:tcPr>
          <w:p w14:paraId="61F0C8F8">
            <w:pPr>
              <w:keepNext w:val="0"/>
              <w:keepLines w:val="0"/>
              <w:widowControl/>
              <w:suppressLineNumbers w:val="0"/>
              <w:jc w:val="center"/>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10.13%</w:t>
            </w:r>
          </w:p>
        </w:tc>
      </w:tr>
      <w:tr w14:paraId="10EF239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0" w:hRule="atLeast"/>
        </w:trPr>
        <w:tc>
          <w:tcPr>
            <w:tcW w:w="2309" w:type="dxa"/>
            <w:noWrap/>
            <w:vAlign w:val="center"/>
          </w:tcPr>
          <w:p w14:paraId="405E10D5">
            <w:pPr>
              <w:keepNext w:val="0"/>
              <w:keepLines w:val="0"/>
              <w:widowControl/>
              <w:suppressLineNumbers w:val="0"/>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宋体" w:cs="Times New Roman"/>
                <w:i w:val="0"/>
                <w:iCs w:val="0"/>
                <w:color w:val="000000"/>
                <w:kern w:val="0"/>
                <w:sz w:val="20"/>
                <w:szCs w:val="20"/>
                <w:u w:val="none"/>
                <w:lang w:val="en-US" w:eastAsia="zh-CN" w:bidi="ar"/>
              </w:rPr>
              <w:t>601199.SH</w:t>
            </w:r>
          </w:p>
        </w:tc>
        <w:tc>
          <w:tcPr>
            <w:tcW w:w="1719" w:type="dxa"/>
            <w:noWrap/>
            <w:vAlign w:val="center"/>
          </w:tcPr>
          <w:p w14:paraId="04D90909">
            <w:pPr>
              <w:keepNext w:val="0"/>
              <w:keepLines w:val="0"/>
              <w:widowControl/>
              <w:suppressLineNumbers w:val="0"/>
              <w:jc w:val="right"/>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 xml:space="preserve">463864.30 </w:t>
            </w:r>
          </w:p>
        </w:tc>
        <w:tc>
          <w:tcPr>
            <w:tcW w:w="1627" w:type="dxa"/>
            <w:noWrap/>
            <w:vAlign w:val="center"/>
          </w:tcPr>
          <w:p w14:paraId="04E5C401">
            <w:pPr>
              <w:keepNext w:val="0"/>
              <w:keepLines w:val="0"/>
              <w:widowControl/>
              <w:suppressLineNumbers w:val="0"/>
              <w:jc w:val="right"/>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64542.19111</w:t>
            </w:r>
          </w:p>
        </w:tc>
        <w:tc>
          <w:tcPr>
            <w:tcW w:w="1534" w:type="dxa"/>
            <w:noWrap/>
            <w:vAlign w:val="center"/>
          </w:tcPr>
          <w:p w14:paraId="7CBD851C">
            <w:pPr>
              <w:keepNext w:val="0"/>
              <w:keepLines w:val="0"/>
              <w:widowControl/>
              <w:suppressLineNumbers w:val="0"/>
              <w:jc w:val="center"/>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87.79%</w:t>
            </w:r>
          </w:p>
        </w:tc>
        <w:tc>
          <w:tcPr>
            <w:tcW w:w="1569" w:type="dxa"/>
            <w:noWrap/>
            <w:vAlign w:val="center"/>
          </w:tcPr>
          <w:p w14:paraId="4C4EB585">
            <w:pPr>
              <w:keepNext w:val="0"/>
              <w:keepLines w:val="0"/>
              <w:widowControl/>
              <w:suppressLineNumbers w:val="0"/>
              <w:jc w:val="center"/>
              <w:textAlignment w:val="center"/>
              <w:rPr>
                <w:rFonts w:hint="default" w:ascii="Times New Roman" w:hAnsi="Times New Roman" w:eastAsia="仿宋" w:cs="Times New Roman"/>
                <w:color w:val="000000"/>
                <w:sz w:val="20"/>
              </w:rPr>
            </w:pPr>
            <w:r>
              <w:rPr>
                <w:rFonts w:hint="default" w:ascii="Times New Roman" w:hAnsi="Times New Roman" w:eastAsia="宋体" w:cs="Times New Roman"/>
                <w:i w:val="0"/>
                <w:iCs w:val="0"/>
                <w:color w:val="000000"/>
                <w:kern w:val="0"/>
                <w:sz w:val="20"/>
                <w:szCs w:val="20"/>
                <w:u w:val="none"/>
                <w:lang w:val="en-US" w:eastAsia="zh-CN" w:bidi="ar"/>
              </w:rPr>
              <w:t>12.21%</w:t>
            </w:r>
          </w:p>
        </w:tc>
      </w:tr>
      <w:tr w14:paraId="004E9A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2309" w:type="dxa"/>
            <w:noWrap/>
            <w:vAlign w:val="center"/>
          </w:tcPr>
          <w:p w14:paraId="28F482DA">
            <w:pPr>
              <w:widowControl/>
              <w:jc w:val="center"/>
              <w:textAlignment w:val="center"/>
              <w:rPr>
                <w:rFonts w:hint="default" w:ascii="Times New Roman" w:hAnsi="Times New Roman" w:eastAsia="仿宋" w:cs="Times New Roman"/>
                <w:color w:val="000000"/>
                <w:sz w:val="15"/>
                <w:szCs w:val="15"/>
              </w:rPr>
            </w:pPr>
            <w:r>
              <w:rPr>
                <w:rFonts w:hint="default" w:ascii="Times New Roman" w:hAnsi="Times New Roman" w:eastAsia="宋体" w:cs="Times New Roman"/>
                <w:i w:val="0"/>
                <w:iCs w:val="0"/>
                <w:color w:val="000000"/>
                <w:kern w:val="0"/>
                <w:sz w:val="20"/>
                <w:szCs w:val="20"/>
                <w:u w:val="none"/>
                <w:lang w:val="en-US" w:eastAsia="zh-CN" w:bidi="ar"/>
              </w:rPr>
              <w:t>603291.SH</w:t>
            </w:r>
          </w:p>
        </w:tc>
        <w:tc>
          <w:tcPr>
            <w:tcW w:w="1738" w:type="dxa"/>
            <w:noWrap/>
            <w:vAlign w:val="center"/>
          </w:tcPr>
          <w:p w14:paraId="050AC5F1">
            <w:pPr>
              <w:widowControl/>
              <w:jc w:val="right"/>
              <w:textAlignment w:val="center"/>
              <w:rPr>
                <w:rFonts w:hint="default" w:ascii="Times New Roman" w:hAnsi="Times New Roman" w:eastAsia="仿宋" w:cs="Times New Roman"/>
                <w:color w:val="000000"/>
                <w:sz w:val="15"/>
                <w:szCs w:val="15"/>
              </w:rPr>
            </w:pPr>
            <w:r>
              <w:rPr>
                <w:rFonts w:hint="default" w:ascii="Times New Roman" w:hAnsi="Times New Roman" w:eastAsia="宋体" w:cs="Times New Roman"/>
                <w:i w:val="0"/>
                <w:iCs w:val="0"/>
                <w:color w:val="000000"/>
                <w:kern w:val="0"/>
                <w:sz w:val="20"/>
                <w:szCs w:val="20"/>
                <w:u w:val="none"/>
                <w:lang w:val="en-US" w:eastAsia="zh-CN" w:bidi="ar"/>
              </w:rPr>
              <w:t xml:space="preserve">642872.10 </w:t>
            </w:r>
          </w:p>
        </w:tc>
        <w:tc>
          <w:tcPr>
            <w:tcW w:w="1645" w:type="dxa"/>
            <w:noWrap/>
            <w:vAlign w:val="center"/>
          </w:tcPr>
          <w:p w14:paraId="2F94D42D">
            <w:pPr>
              <w:widowControl/>
              <w:jc w:val="right"/>
              <w:textAlignment w:val="center"/>
              <w:rPr>
                <w:rFonts w:hint="default" w:ascii="Times New Roman" w:hAnsi="Times New Roman" w:eastAsia="仿宋" w:cs="Times New Roman"/>
                <w:b/>
                <w:bCs/>
                <w:color w:val="000000"/>
                <w:sz w:val="18"/>
                <w:szCs w:val="18"/>
              </w:rPr>
            </w:pPr>
            <w:r>
              <w:rPr>
                <w:rFonts w:hint="default" w:ascii="Times New Roman" w:hAnsi="Times New Roman" w:eastAsia="宋体" w:cs="Times New Roman"/>
                <w:i w:val="0"/>
                <w:iCs w:val="0"/>
                <w:color w:val="000000"/>
                <w:kern w:val="0"/>
                <w:sz w:val="20"/>
                <w:szCs w:val="20"/>
                <w:u w:val="none"/>
                <w:lang w:val="en-US" w:eastAsia="zh-CN" w:bidi="ar"/>
              </w:rPr>
              <w:t>82053.649461</w:t>
            </w:r>
          </w:p>
        </w:tc>
        <w:tc>
          <w:tcPr>
            <w:tcW w:w="1551" w:type="dxa"/>
            <w:noWrap/>
            <w:vAlign w:val="center"/>
          </w:tcPr>
          <w:p w14:paraId="5272E7C4">
            <w:pPr>
              <w:keepNext w:val="0"/>
              <w:keepLines w:val="0"/>
              <w:widowControl/>
              <w:suppressLineNumbers w:val="0"/>
              <w:jc w:val="center"/>
              <w:textAlignment w:val="center"/>
              <w:rPr>
                <w:rFonts w:hint="default" w:ascii="Times New Roman" w:hAnsi="Times New Roman" w:eastAsia="仿宋" w:cs="Times New Roman"/>
                <w:i w:val="0"/>
                <w:iCs w:val="0"/>
                <w:color w:val="000000"/>
                <w:kern w:val="2"/>
                <w:sz w:val="20"/>
                <w:szCs w:val="20"/>
                <w:u w:val="none"/>
                <w:lang w:val="en-US" w:eastAsia="zh-CN" w:bidi="ar-SA"/>
              </w:rPr>
            </w:pPr>
            <w:r>
              <w:rPr>
                <w:rFonts w:hint="default" w:ascii="Times New Roman" w:hAnsi="Times New Roman" w:eastAsia="宋体" w:cs="Times New Roman"/>
                <w:i w:val="0"/>
                <w:iCs w:val="0"/>
                <w:color w:val="000000"/>
                <w:kern w:val="0"/>
                <w:sz w:val="20"/>
                <w:szCs w:val="20"/>
                <w:u w:val="none"/>
                <w:lang w:val="en-US" w:eastAsia="zh-CN" w:bidi="ar"/>
              </w:rPr>
              <w:t>88.68%</w:t>
            </w:r>
          </w:p>
        </w:tc>
        <w:tc>
          <w:tcPr>
            <w:tcW w:w="1586" w:type="dxa"/>
            <w:noWrap/>
            <w:vAlign w:val="center"/>
          </w:tcPr>
          <w:p w14:paraId="390495B0">
            <w:pPr>
              <w:keepNext w:val="0"/>
              <w:keepLines w:val="0"/>
              <w:widowControl/>
              <w:suppressLineNumbers w:val="0"/>
              <w:jc w:val="center"/>
              <w:textAlignment w:val="center"/>
              <w:rPr>
                <w:rFonts w:hint="default" w:ascii="Times New Roman" w:hAnsi="Times New Roman" w:eastAsia="仿宋" w:cs="Times New Roman"/>
                <w:i w:val="0"/>
                <w:iCs w:val="0"/>
                <w:color w:val="000000"/>
                <w:kern w:val="2"/>
                <w:sz w:val="20"/>
                <w:szCs w:val="20"/>
                <w:u w:val="none"/>
                <w:lang w:val="en-US" w:eastAsia="zh-CN" w:bidi="ar-SA"/>
              </w:rPr>
            </w:pPr>
            <w:r>
              <w:rPr>
                <w:rFonts w:hint="default" w:ascii="Times New Roman" w:hAnsi="Times New Roman" w:eastAsia="宋体" w:cs="Times New Roman"/>
                <w:i w:val="0"/>
                <w:iCs w:val="0"/>
                <w:color w:val="000000"/>
                <w:kern w:val="0"/>
                <w:sz w:val="20"/>
                <w:szCs w:val="20"/>
                <w:u w:val="none"/>
                <w:lang w:val="en-US" w:eastAsia="zh-CN" w:bidi="ar"/>
              </w:rPr>
              <w:t>11.32%</w:t>
            </w:r>
          </w:p>
        </w:tc>
      </w:tr>
      <w:tr w14:paraId="7422D2E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5" w:hRule="atLeast"/>
        </w:trPr>
        <w:tc>
          <w:tcPr>
            <w:tcW w:w="1307" w:type="pct"/>
            <w:noWrap/>
            <w:vAlign w:val="center"/>
          </w:tcPr>
          <w:p w14:paraId="2404C16A">
            <w:pPr>
              <w:jc w:val="center"/>
              <w:rPr>
                <w:rFonts w:hint="default" w:ascii="Times New Roman" w:hAnsi="Times New Roman" w:eastAsia="仿宋" w:cs="Times New Roman"/>
                <w:color w:val="000000"/>
                <w:sz w:val="15"/>
                <w:szCs w:val="15"/>
              </w:rPr>
            </w:pPr>
          </w:p>
        </w:tc>
        <w:tc>
          <w:tcPr>
            <w:tcW w:w="984" w:type="pct"/>
            <w:noWrap/>
            <w:vAlign w:val="center"/>
          </w:tcPr>
          <w:p w14:paraId="66C1FDA5">
            <w:pPr>
              <w:jc w:val="center"/>
              <w:rPr>
                <w:rFonts w:hint="default" w:ascii="Times New Roman" w:hAnsi="Times New Roman" w:eastAsia="仿宋" w:cs="Times New Roman"/>
                <w:color w:val="000000"/>
                <w:sz w:val="15"/>
                <w:szCs w:val="15"/>
              </w:rPr>
            </w:pPr>
          </w:p>
        </w:tc>
        <w:tc>
          <w:tcPr>
            <w:tcW w:w="931" w:type="pct"/>
            <w:noWrap/>
            <w:vAlign w:val="center"/>
          </w:tcPr>
          <w:p w14:paraId="056AAF9C">
            <w:pPr>
              <w:jc w:val="right"/>
              <w:rPr>
                <w:rFonts w:hint="default" w:ascii="Times New Roman" w:hAnsi="Times New Roman" w:eastAsia="仿宋" w:cs="Times New Roman"/>
                <w:b/>
                <w:bCs/>
                <w:color w:val="000000"/>
                <w:sz w:val="18"/>
                <w:szCs w:val="18"/>
              </w:rPr>
            </w:pPr>
          </w:p>
        </w:tc>
        <w:tc>
          <w:tcPr>
            <w:tcW w:w="878" w:type="pct"/>
            <w:noWrap/>
            <w:vAlign w:val="center"/>
          </w:tcPr>
          <w:p w14:paraId="7B74AC83">
            <w:pPr>
              <w:keepNext w:val="0"/>
              <w:keepLines w:val="0"/>
              <w:widowControl/>
              <w:suppressLineNumbers w:val="0"/>
              <w:jc w:val="center"/>
              <w:textAlignment w:val="center"/>
              <w:rPr>
                <w:rFonts w:hint="default" w:ascii="Times New Roman" w:hAnsi="Times New Roman" w:eastAsia="仿宋" w:cs="Times New Roman"/>
                <w:color w:val="000000"/>
                <w:kern w:val="0"/>
                <w:sz w:val="20"/>
                <w:szCs w:val="20"/>
                <w:lang w:bidi="ar"/>
              </w:rPr>
            </w:pPr>
            <w:r>
              <w:rPr>
                <w:rFonts w:hint="default" w:ascii="Times New Roman" w:hAnsi="Times New Roman" w:eastAsia="仿宋" w:cs="Times New Roman"/>
                <w:color w:val="000000"/>
                <w:sz w:val="20"/>
                <w:lang w:bidi="ar"/>
              </w:rPr>
              <w:t>90.78%</w:t>
            </w:r>
          </w:p>
        </w:tc>
        <w:tc>
          <w:tcPr>
            <w:tcW w:w="898" w:type="pct"/>
            <w:noWrap/>
            <w:vAlign w:val="center"/>
          </w:tcPr>
          <w:p w14:paraId="1BD04A23">
            <w:pPr>
              <w:keepNext w:val="0"/>
              <w:keepLines w:val="0"/>
              <w:widowControl/>
              <w:suppressLineNumbers w:val="0"/>
              <w:jc w:val="center"/>
              <w:textAlignment w:val="center"/>
              <w:rPr>
                <w:rFonts w:hint="default" w:ascii="Times New Roman" w:hAnsi="Times New Roman" w:eastAsia="仿宋" w:cs="Times New Roman"/>
                <w:color w:val="000000"/>
                <w:kern w:val="0"/>
                <w:sz w:val="20"/>
                <w:szCs w:val="20"/>
                <w:lang w:bidi="ar"/>
              </w:rPr>
            </w:pPr>
            <w:r>
              <w:rPr>
                <w:rFonts w:hint="default" w:ascii="Times New Roman" w:hAnsi="Times New Roman" w:eastAsia="仿宋" w:cs="Times New Roman"/>
                <w:color w:val="000000"/>
                <w:sz w:val="20"/>
                <w:lang w:bidi="ar"/>
              </w:rPr>
              <w:t>9.22%</w:t>
            </w:r>
          </w:p>
        </w:tc>
      </w:tr>
    </w:tbl>
    <w:p w14:paraId="5B7E5E9E">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D/E取平均水平，即</w:t>
      </w:r>
      <w:r>
        <w:rPr>
          <w:rFonts w:hint="eastAsia" w:ascii="Times New Roman" w:hAnsi="Times New Roman" w:eastAsia="仿宋" w:cs="Times New Roman"/>
          <w:kern w:val="2"/>
          <w:sz w:val="28"/>
          <w:szCs w:val="28"/>
          <w:lang w:val="en-US" w:eastAsia="zh-CN" w:bidi="ar-SA"/>
        </w:rPr>
        <w:t>9.22%</w:t>
      </w:r>
      <w:r>
        <w:rPr>
          <w:rFonts w:hint="default" w:ascii="Times New Roman" w:hAnsi="Times New Roman" w:eastAsia="仿宋" w:cs="Times New Roman"/>
          <w:kern w:val="2"/>
          <w:sz w:val="28"/>
          <w:szCs w:val="28"/>
          <w:lang w:val="en-US" w:eastAsia="zh-CN" w:bidi="ar-SA"/>
        </w:rPr>
        <w:t>÷</w:t>
      </w:r>
      <w:r>
        <w:rPr>
          <w:rFonts w:hint="eastAsia" w:ascii="Times New Roman" w:hAnsi="Times New Roman" w:eastAsia="仿宋" w:cs="Times New Roman"/>
          <w:kern w:val="2"/>
          <w:sz w:val="28"/>
          <w:szCs w:val="28"/>
          <w:lang w:val="en-US" w:eastAsia="zh-CN" w:bidi="ar-SA"/>
        </w:rPr>
        <w:t>90.78%</w:t>
      </w:r>
      <w:r>
        <w:rPr>
          <w:rFonts w:hint="default" w:ascii="Times New Roman" w:hAnsi="Times New Roman" w:eastAsia="仿宋" w:cs="Times New Roman"/>
          <w:kern w:val="2"/>
          <w:sz w:val="28"/>
          <w:szCs w:val="28"/>
          <w:lang w:val="en-US" w:eastAsia="zh-CN" w:bidi="ar-SA"/>
        </w:rPr>
        <w:t>=</w:t>
      </w:r>
      <w:r>
        <w:rPr>
          <w:rFonts w:hint="eastAsia" w:ascii="Times New Roman" w:hAnsi="Times New Roman" w:eastAsia="仿宋" w:cs="Times New Roman"/>
          <w:kern w:val="2"/>
          <w:sz w:val="28"/>
          <w:szCs w:val="28"/>
          <w:lang w:val="en-US" w:eastAsia="zh-CN" w:bidi="ar-SA"/>
        </w:rPr>
        <w:t>10.16%</w:t>
      </w:r>
      <w:r>
        <w:rPr>
          <w:rFonts w:hint="default" w:ascii="Times New Roman" w:hAnsi="Times New Roman" w:eastAsia="仿宋" w:cs="Times New Roman"/>
          <w:kern w:val="2"/>
          <w:sz w:val="28"/>
          <w:szCs w:val="28"/>
          <w:lang w:val="en-US" w:eastAsia="zh-CN" w:bidi="ar-SA"/>
        </w:rPr>
        <w:t>(取整)，则重新计算财务杠杆后的Beta系数计算如下：</w:t>
      </w:r>
    </w:p>
    <w:p w14:paraId="6C4F5315">
      <w:pPr>
        <w:ind w:firstLine="480" w:firstLineChars="200"/>
        <w:rPr>
          <w:rFonts w:hint="default" w:ascii="Times New Roman" w:hAnsi="Times New Roman" w:eastAsia="仿宋" w:cs="Times New Roman"/>
          <w:sz w:val="24"/>
          <w:szCs w:val="24"/>
        </w:rPr>
      </w:pPr>
      <w:r>
        <w:rPr>
          <w:rFonts w:hint="default" w:ascii="Times New Roman" w:hAnsi="Times New Roman" w:eastAsia="仿宋" w:cs="Times New Roman"/>
          <w:sz w:val="24"/>
          <w:szCs w:val="24"/>
        </w:rPr>
        <w:object>
          <v:shape id="_x0000_i1027" o:spt="75" type="#_x0000_t75" style="height:31.5pt;width:123pt;" o:ole="t" filled="f" o:preferrelative="t" stroked="f" coordsize="21600,21600">
            <v:path/>
            <v:fill on="f" focussize="0,0"/>
            <v:stroke on="f"/>
            <v:imagedata r:id="rId16" o:title=""/>
            <o:lock v:ext="edit" aspectratio="t"/>
            <w10:wrap type="none"/>
            <w10:anchorlock/>
          </v:shape>
          <o:OLEObject Type="Embed" ProgID="Equation.3" ShapeID="_x0000_i1027" DrawAspect="Content" ObjectID="_1468075727" r:id="rId15">
            <o:LockedField>false</o:LockedField>
          </o:OLEObject>
        </w:object>
      </w:r>
    </w:p>
    <w:p w14:paraId="2E06BACD">
      <w:pPr>
        <w:spacing w:line="360" w:lineRule="auto"/>
        <w:ind w:firstLine="880" w:firstLineChars="367"/>
        <w:rPr>
          <w:rFonts w:hint="default" w:ascii="Times New Roman" w:hAnsi="Times New Roman" w:eastAsia="仿宋" w:cs="Times New Roman"/>
          <w:sz w:val="24"/>
          <w:szCs w:val="24"/>
        </w:rPr>
      </w:pPr>
      <w:r>
        <w:rPr>
          <w:rFonts w:hint="default" w:ascii="Times New Roman" w:hAnsi="Times New Roman" w:eastAsia="仿宋" w:cs="Times New Roman"/>
          <w:sz w:val="24"/>
          <w:szCs w:val="24"/>
        </w:rPr>
        <w:t>＝</w:t>
      </w:r>
      <w:r>
        <w:rPr>
          <w:rFonts w:hint="eastAsia" w:ascii="Times New Roman" w:hAnsi="Times New Roman" w:eastAsia="仿宋" w:cs="Times New Roman"/>
          <w:color w:val="000000"/>
          <w:sz w:val="28"/>
          <w:szCs w:val="28"/>
          <w:highlight w:val="none"/>
          <w:lang w:val="en-US" w:eastAsia="zh-CN" w:bidi="ar"/>
        </w:rPr>
        <w:t>0.4287</w:t>
      </w:r>
      <w:r>
        <w:rPr>
          <w:rFonts w:hint="default" w:ascii="Times New Roman" w:hAnsi="Times New Roman" w:eastAsia="仿宋" w:cs="Times New Roman"/>
          <w:sz w:val="28"/>
          <w:szCs w:val="28"/>
        </w:rPr>
        <w:t>×（1＋（1-</w:t>
      </w:r>
      <w:r>
        <w:rPr>
          <w:rFonts w:hint="eastAsia" w:ascii="Times New Roman" w:hAnsi="Times New Roman" w:eastAsia="仿宋" w:cs="Times New Roman"/>
          <w:sz w:val="28"/>
          <w:szCs w:val="28"/>
          <w:lang w:val="en-US" w:eastAsia="zh-CN"/>
        </w:rPr>
        <w:t>2</w:t>
      </w:r>
      <w:r>
        <w:rPr>
          <w:rFonts w:hint="default" w:ascii="Times New Roman" w:hAnsi="Times New Roman" w:eastAsia="仿宋" w:cs="Times New Roman"/>
          <w:sz w:val="28"/>
          <w:szCs w:val="28"/>
        </w:rPr>
        <w:t>5%）</w:t>
      </w:r>
      <w:r>
        <w:rPr>
          <w:rFonts w:hint="default" w:ascii="Times New Roman" w:hAnsi="Times New Roman" w:eastAsia="仿宋" w:cs="Times New Roman"/>
          <w:sz w:val="28"/>
          <w:szCs w:val="28"/>
          <w:lang w:val="en-US" w:eastAsia="zh-CN"/>
        </w:rPr>
        <w:t>×</w:t>
      </w:r>
      <w:r>
        <w:rPr>
          <w:rFonts w:hint="eastAsia" w:ascii="Times New Roman" w:hAnsi="Times New Roman" w:eastAsia="仿宋" w:cs="Times New Roman"/>
          <w:sz w:val="28"/>
          <w:szCs w:val="28"/>
          <w:lang w:val="en-US" w:eastAsia="zh-CN"/>
        </w:rPr>
        <w:t>10.16%</w:t>
      </w:r>
      <w:r>
        <w:rPr>
          <w:rFonts w:hint="default" w:ascii="Times New Roman" w:hAnsi="Times New Roman" w:eastAsia="仿宋" w:cs="Times New Roman"/>
          <w:sz w:val="28"/>
          <w:szCs w:val="28"/>
          <w:lang w:val="en-US" w:eastAsia="zh-CN"/>
        </w:rPr>
        <w:t>）</w:t>
      </w:r>
      <w:r>
        <w:rPr>
          <w:rFonts w:hint="default" w:ascii="Times New Roman" w:hAnsi="Times New Roman" w:eastAsia="仿宋" w:cs="Times New Roman"/>
          <w:sz w:val="24"/>
          <w:szCs w:val="24"/>
        </w:rPr>
        <w:tab/>
      </w:r>
      <w:r>
        <w:rPr>
          <w:rFonts w:hint="default" w:ascii="Times New Roman" w:hAnsi="Times New Roman" w:eastAsia="仿宋" w:cs="Times New Roman"/>
          <w:sz w:val="24"/>
          <w:szCs w:val="24"/>
        </w:rPr>
        <w:tab/>
      </w:r>
    </w:p>
    <w:p w14:paraId="53D3D0FD">
      <w:pPr>
        <w:spacing w:line="360" w:lineRule="auto"/>
        <w:ind w:firstLine="880" w:firstLineChars="367"/>
        <w:rPr>
          <w:rFonts w:hint="eastAsia" w:ascii="Times New Roman" w:hAnsi="Times New Roman" w:eastAsia="仿宋" w:cs="Times New Roman"/>
          <w:sz w:val="24"/>
          <w:szCs w:val="24"/>
          <w:lang w:eastAsia="zh-CN"/>
        </w:rPr>
      </w:pPr>
      <w:r>
        <w:rPr>
          <w:rFonts w:hint="default" w:ascii="Times New Roman" w:hAnsi="Times New Roman" w:eastAsia="仿宋" w:cs="Times New Roman"/>
          <w:sz w:val="24"/>
          <w:szCs w:val="24"/>
        </w:rPr>
        <w:t>＝</w:t>
      </w:r>
      <w:r>
        <w:rPr>
          <w:rFonts w:hint="eastAsia" w:ascii="Times New Roman" w:hAnsi="Times New Roman" w:eastAsia="仿宋" w:cs="Times New Roman"/>
          <w:sz w:val="28"/>
          <w:szCs w:val="28"/>
          <w:lang w:eastAsia="zh-CN"/>
        </w:rPr>
        <w:t>0.4614</w:t>
      </w:r>
    </w:p>
    <w:p w14:paraId="402A630D">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eastAsia" w:ascii="Times New Roman" w:hAnsi="Times New Roman" w:eastAsia="仿宋" w:cs="Times New Roman"/>
          <w:kern w:val="2"/>
          <w:sz w:val="28"/>
          <w:szCs w:val="28"/>
          <w:lang w:val="en-US" w:eastAsia="zh-CN" w:bidi="ar-SA"/>
        </w:rPr>
        <w:t>③</w:t>
      </w:r>
      <w:r>
        <w:rPr>
          <w:rFonts w:hint="default" w:ascii="Times New Roman" w:hAnsi="Times New Roman" w:eastAsia="仿宋" w:cs="Times New Roman"/>
          <w:kern w:val="2"/>
          <w:sz w:val="28"/>
          <w:szCs w:val="28"/>
          <w:lang w:val="en-US" w:eastAsia="zh-CN" w:bidi="ar-SA"/>
        </w:rPr>
        <w:t>估算ERP</w:t>
      </w:r>
    </w:p>
    <w:p w14:paraId="55BFE5A1">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市场风险溢价，英文表述为Market Risk Premium（MRP、市场风险溢价）或Equity Risk Premium（ERP、股票市场风险溢价），是对于一个充分风险分散的市场投资组合，投资者所要求的高于无风险利率的回报率。评估师在计算折现率时，通常需要采用市场数据进行分析，相对应的市场特指股票市场，因此，采用 Equity Risk Premium（ERP、股票市场风险溢价）表述市场风险溢价，是指在股票市场上拥有一个充分风险分散的投资组合，投资者所要求的回报率高于无风险利率的部分。</w:t>
      </w:r>
    </w:p>
    <w:p w14:paraId="1E36D6D1">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财瑞资产评估公司以中国证券市场的特征指数沪深300为基本指数，对ERP进行测算，具体测算规则如下：选取自沪深300有数据日，目前可查询的数据为2002年，作为基础起始年，测算各年沪深300的几何收益率；设置测算样本池，测算池样本数量暂定为50，不足50时，按实际样本数作为测算基础；将自2010年起的年度几何收益率划入测算样本池，有效样本数据自2010年起，原因是早期市场成熟度不足，指数波动过大，特别是2007年至2008年的股权全流通分置改革，造成股价过度波动；将测算样本池的数据算术平均，每年12.31按实际收盘指数进行调整，确定当年市场几何收益率；将当年市场几何收益率减去当年的无风险报酬率，作为下一年的ERP参数。</w:t>
      </w:r>
    </w:p>
    <w:p w14:paraId="2B2527DC">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其中无风险报酬率取中债数据的10年期国债收益率，经过以上步骤测算，财瑞资产评估公司2024年度基准日评估项目的ERP统一选定为</w:t>
      </w:r>
      <w:r>
        <w:rPr>
          <w:rFonts w:hint="eastAsia" w:ascii="Times New Roman" w:hAnsi="Times New Roman" w:eastAsia="仿宋" w:cs="Times New Roman"/>
          <w:kern w:val="2"/>
          <w:sz w:val="28"/>
          <w:szCs w:val="28"/>
          <w:lang w:val="en-US" w:eastAsia="zh-CN" w:bidi="ar-SA"/>
        </w:rPr>
        <w:t>6.99%</w:t>
      </w:r>
      <w:r>
        <w:rPr>
          <w:rFonts w:hint="default" w:ascii="Times New Roman" w:hAnsi="Times New Roman" w:eastAsia="仿宋" w:cs="Times New Roman"/>
          <w:kern w:val="2"/>
          <w:sz w:val="28"/>
          <w:szCs w:val="28"/>
          <w:lang w:val="en-US" w:eastAsia="zh-CN" w:bidi="ar-SA"/>
        </w:rPr>
        <w:t>。</w:t>
      </w:r>
    </w:p>
    <w:p w14:paraId="07077195">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eastAsia" w:ascii="Times New Roman" w:hAnsi="Times New Roman" w:eastAsia="仿宋" w:cs="Times New Roman"/>
          <w:kern w:val="2"/>
          <w:sz w:val="28"/>
          <w:szCs w:val="28"/>
          <w:lang w:val="en-US" w:eastAsia="zh-CN" w:bidi="ar-SA"/>
        </w:rPr>
        <w:t>④</w:t>
      </w:r>
      <w:r>
        <w:rPr>
          <w:rFonts w:hint="default" w:ascii="Times New Roman" w:hAnsi="Times New Roman" w:eastAsia="仿宋" w:cs="Times New Roman"/>
          <w:kern w:val="2"/>
          <w:sz w:val="28"/>
          <w:szCs w:val="28"/>
          <w:lang w:val="en-US" w:eastAsia="zh-CN" w:bidi="ar-SA"/>
        </w:rPr>
        <w:t>公司特有风险超额回报率</w:t>
      </w:r>
    </w:p>
    <w:p w14:paraId="56CE8912">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采用资本定价模型一般被认为是估算一个投资组合（Portfolio）的组合投资收益率，一般认为对于单个公司的投资风险要高于一个投资组合的风险，因此，在考虑一个单个公司或股票的投资收益时应该考虑该公司的特有风险所产生的超额收益率。</w:t>
      </w:r>
    </w:p>
    <w:p w14:paraId="2857AE3F">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公司的特有风险超额收益率，目前国际上比较多的是考虑公司的规模对投资风险大小的影响，公司资产规模小、投资风险就会相对增加，因此超额收益率就高，反之，公司资产规模大，投资风险就会相对减小，因此超额收益率就低。企业资产规模与投资风险这种关系已被投资者广泛接受。</w:t>
      </w:r>
    </w:p>
    <w:p w14:paraId="55394999">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但是公司的特有风险还与其他方面的因素有关，例如，与企业的盈利状态有关，具体的说就是盈利的公司投资风险要低于亏损的公司，盈利能力越强，企业的投资风险就应该越低，超额收益率就相对较低。另外特有风险还会与公司其他的一些特别因素相关，如供货渠道单一、依赖特定供应商或销售产品品种少等。</w:t>
      </w:r>
    </w:p>
    <w:p w14:paraId="63649ED9">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由于测算风险系数时选取的为上市公司，相应的证券或资本在资本市场上可流通，而纳入本次评估范围的资产为非上市资产，与同类上市公司比，该类资产的权益风险要大于可比上市公司的权益风险综合考虑企业在行业中的规模、所处经营阶段、主要客户情况、企业内部管理机制及控制机制、管理人员及人力资源水平等基础上确定企业特定风险调整系数为</w:t>
      </w:r>
      <w:r>
        <w:rPr>
          <w:rFonts w:hint="eastAsia" w:ascii="Times New Roman" w:eastAsia="仿宋" w:cs="Times New Roman"/>
          <w:kern w:val="2"/>
          <w:sz w:val="28"/>
          <w:szCs w:val="28"/>
          <w:lang w:val="en-US" w:eastAsia="zh-CN" w:bidi="ar-SA"/>
        </w:rPr>
        <w:t>5</w:t>
      </w:r>
      <w:r>
        <w:rPr>
          <w:rFonts w:hint="default" w:ascii="Times New Roman" w:hAnsi="Times New Roman" w:eastAsia="仿宋" w:cs="Times New Roman"/>
          <w:kern w:val="2"/>
          <w:sz w:val="28"/>
          <w:szCs w:val="28"/>
          <w:lang w:val="en-US" w:eastAsia="zh-CN" w:bidi="ar-SA"/>
        </w:rPr>
        <w:t>%。</w:t>
      </w:r>
    </w:p>
    <w:p w14:paraId="07214489">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eastAsia" w:ascii="Times New Roman" w:hAnsi="Times New Roman" w:eastAsia="仿宋" w:cs="Times New Roman"/>
          <w:kern w:val="2"/>
          <w:sz w:val="28"/>
          <w:szCs w:val="28"/>
          <w:lang w:val="en-US" w:eastAsia="zh-CN" w:bidi="ar-SA"/>
        </w:rPr>
        <w:t>⑤</w:t>
      </w:r>
      <w:r>
        <w:rPr>
          <w:rFonts w:hint="default" w:ascii="Times New Roman" w:hAnsi="Times New Roman" w:eastAsia="仿宋" w:cs="Times New Roman"/>
          <w:kern w:val="2"/>
          <w:sz w:val="28"/>
          <w:szCs w:val="28"/>
          <w:lang w:val="en-US" w:eastAsia="zh-CN" w:bidi="ar-SA"/>
        </w:rPr>
        <w:t>确定股权收益率Re</w:t>
      </w:r>
    </w:p>
    <w:p w14:paraId="1D4D7707">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按照上述数据，计算股权收益率如下：</w:t>
      </w:r>
    </w:p>
    <w:p w14:paraId="307AD1ED">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Re＝</w:t>
      </w:r>
      <w:r>
        <w:rPr>
          <w:rFonts w:hint="eastAsia" w:ascii="Times New Roman" w:hAnsi="Times New Roman" w:eastAsia="仿宋" w:cs="Times New Roman"/>
          <w:kern w:val="2"/>
          <w:sz w:val="28"/>
          <w:szCs w:val="28"/>
          <w:lang w:val="en-US" w:eastAsia="zh-CN" w:bidi="ar-SA"/>
        </w:rPr>
        <w:t>2.17%</w:t>
      </w:r>
      <w:r>
        <w:rPr>
          <w:rFonts w:hint="default" w:ascii="Times New Roman" w:hAnsi="Times New Roman" w:eastAsia="仿宋" w:cs="Times New Roman"/>
          <w:kern w:val="2"/>
          <w:sz w:val="28"/>
          <w:szCs w:val="28"/>
          <w:lang w:val="en-US" w:eastAsia="zh-CN" w:bidi="ar-SA"/>
        </w:rPr>
        <w:t>＋</w:t>
      </w:r>
      <w:r>
        <w:rPr>
          <w:rFonts w:hint="eastAsia" w:ascii="Times New Roman" w:hAnsi="Times New Roman" w:eastAsia="仿宋" w:cs="Times New Roman"/>
          <w:kern w:val="2"/>
          <w:sz w:val="28"/>
          <w:szCs w:val="28"/>
          <w:lang w:val="en-US" w:eastAsia="zh-CN" w:bidi="ar-SA"/>
        </w:rPr>
        <w:t>0.4614</w:t>
      </w:r>
      <w:r>
        <w:rPr>
          <w:rFonts w:hint="default" w:ascii="Times New Roman" w:hAnsi="Times New Roman" w:eastAsia="仿宋" w:cs="Times New Roman"/>
          <w:kern w:val="2"/>
          <w:sz w:val="28"/>
          <w:szCs w:val="28"/>
          <w:lang w:val="en-US" w:eastAsia="zh-CN" w:bidi="ar-SA"/>
        </w:rPr>
        <w:t>×</w:t>
      </w:r>
      <w:r>
        <w:rPr>
          <w:rFonts w:hint="eastAsia" w:ascii="Times New Roman" w:hAnsi="Times New Roman" w:eastAsia="仿宋" w:cs="Times New Roman"/>
          <w:kern w:val="2"/>
          <w:sz w:val="28"/>
          <w:szCs w:val="28"/>
          <w:lang w:val="en-US" w:eastAsia="zh-CN" w:bidi="ar-SA"/>
        </w:rPr>
        <w:t>6.99%</w:t>
      </w:r>
      <w:r>
        <w:rPr>
          <w:rFonts w:hint="default" w:ascii="Times New Roman" w:hAnsi="Times New Roman" w:eastAsia="仿宋" w:cs="Times New Roman"/>
          <w:kern w:val="2"/>
          <w:sz w:val="28"/>
          <w:szCs w:val="28"/>
          <w:lang w:val="en-US" w:eastAsia="zh-CN" w:bidi="ar-SA"/>
        </w:rPr>
        <w:t>＋</w:t>
      </w:r>
      <w:r>
        <w:rPr>
          <w:rFonts w:hint="eastAsia" w:ascii="Times New Roman" w:eastAsia="仿宋" w:cs="Times New Roman"/>
          <w:kern w:val="2"/>
          <w:sz w:val="28"/>
          <w:szCs w:val="28"/>
          <w:lang w:val="en-US" w:eastAsia="zh-CN" w:bidi="ar-SA"/>
        </w:rPr>
        <w:t>5</w:t>
      </w:r>
      <w:r>
        <w:rPr>
          <w:rFonts w:hint="default" w:ascii="Times New Roman" w:hAnsi="Times New Roman" w:eastAsia="仿宋" w:cs="Times New Roman"/>
          <w:kern w:val="2"/>
          <w:sz w:val="28"/>
          <w:szCs w:val="28"/>
          <w:lang w:val="en-US" w:eastAsia="zh-CN" w:bidi="ar-SA"/>
        </w:rPr>
        <w:t>%＝</w:t>
      </w:r>
      <w:r>
        <w:rPr>
          <w:rFonts w:hint="eastAsia" w:ascii="Times New Roman" w:eastAsia="仿宋" w:cs="Times New Roman"/>
          <w:kern w:val="2"/>
          <w:sz w:val="28"/>
          <w:szCs w:val="28"/>
          <w:lang w:val="en-US" w:eastAsia="zh-CN" w:bidi="ar-SA"/>
        </w:rPr>
        <w:t>10</w:t>
      </w:r>
      <w:r>
        <w:rPr>
          <w:rFonts w:hint="eastAsia" w:ascii="Times New Roman" w:hAnsi="Times New Roman" w:eastAsia="仿宋" w:cs="Times New Roman"/>
          <w:kern w:val="2"/>
          <w:sz w:val="28"/>
          <w:szCs w:val="28"/>
          <w:lang w:val="en-US" w:eastAsia="zh-CN" w:bidi="ar-SA"/>
        </w:rPr>
        <w:t>.39%</w:t>
      </w:r>
      <w:r>
        <w:rPr>
          <w:rFonts w:hint="default" w:ascii="Times New Roman" w:hAnsi="Times New Roman" w:eastAsia="仿宋" w:cs="Times New Roman"/>
          <w:kern w:val="2"/>
          <w:sz w:val="28"/>
          <w:szCs w:val="28"/>
          <w:lang w:val="en-US" w:eastAsia="zh-CN" w:bidi="ar-SA"/>
        </w:rPr>
        <w:tab/>
      </w:r>
      <w:r>
        <w:rPr>
          <w:rFonts w:hint="default" w:ascii="Times New Roman" w:hAnsi="Times New Roman" w:eastAsia="仿宋" w:cs="Times New Roman"/>
          <w:kern w:val="2"/>
          <w:sz w:val="28"/>
          <w:szCs w:val="28"/>
          <w:lang w:val="en-US" w:eastAsia="zh-CN" w:bidi="ar-SA"/>
        </w:rPr>
        <w:tab/>
      </w:r>
      <w:r>
        <w:rPr>
          <w:rFonts w:hint="default" w:ascii="Times New Roman" w:hAnsi="Times New Roman" w:eastAsia="仿宋" w:cs="Times New Roman"/>
          <w:kern w:val="2"/>
          <w:sz w:val="28"/>
          <w:szCs w:val="28"/>
          <w:lang w:val="en-US" w:eastAsia="zh-CN" w:bidi="ar-SA"/>
        </w:rPr>
        <w:tab/>
      </w:r>
      <w:r>
        <w:rPr>
          <w:rFonts w:hint="default" w:ascii="Times New Roman" w:hAnsi="Times New Roman" w:eastAsia="仿宋" w:cs="Times New Roman"/>
          <w:kern w:val="2"/>
          <w:sz w:val="28"/>
          <w:szCs w:val="28"/>
          <w:lang w:val="en-US" w:eastAsia="zh-CN" w:bidi="ar-SA"/>
        </w:rPr>
        <w:tab/>
      </w:r>
      <w:r>
        <w:rPr>
          <w:rFonts w:hint="default" w:ascii="Times New Roman" w:hAnsi="Times New Roman" w:eastAsia="仿宋" w:cs="Times New Roman"/>
          <w:kern w:val="2"/>
          <w:sz w:val="28"/>
          <w:szCs w:val="28"/>
          <w:lang w:val="en-US" w:eastAsia="zh-CN" w:bidi="ar-SA"/>
        </w:rPr>
        <w:tab/>
      </w:r>
    </w:p>
    <w:p w14:paraId="488458E3">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eastAsia" w:ascii="Times New Roman" w:hAnsi="Times New Roman" w:eastAsia="仿宋" w:cs="Times New Roman"/>
          <w:kern w:val="2"/>
          <w:sz w:val="28"/>
          <w:szCs w:val="28"/>
          <w:lang w:val="en-US" w:eastAsia="zh-CN" w:bidi="ar-SA"/>
        </w:rPr>
        <w:t>⑥</w:t>
      </w:r>
      <w:r>
        <w:rPr>
          <w:rFonts w:hint="default" w:ascii="Times New Roman" w:hAnsi="Times New Roman" w:eastAsia="仿宋" w:cs="Times New Roman"/>
          <w:kern w:val="2"/>
          <w:sz w:val="28"/>
          <w:szCs w:val="28"/>
          <w:lang w:val="en-US" w:eastAsia="zh-CN" w:bidi="ar-SA"/>
        </w:rPr>
        <w:t>债务资本成本Rd</w:t>
      </w:r>
    </w:p>
    <w:p w14:paraId="7C19D575">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债务资本成本按中国人民银行授权全国银行间同业拆借中心公布的5年期及以上贷款市场报价利率（LPR）3.</w:t>
      </w:r>
      <w:r>
        <w:rPr>
          <w:rFonts w:hint="eastAsia" w:ascii="Times New Roman" w:hAnsi="Times New Roman" w:eastAsia="仿宋" w:cs="Times New Roman"/>
          <w:kern w:val="2"/>
          <w:sz w:val="28"/>
          <w:szCs w:val="28"/>
          <w:lang w:val="en-US" w:eastAsia="zh-CN" w:bidi="ar-SA"/>
        </w:rPr>
        <w:t>8</w:t>
      </w:r>
      <w:r>
        <w:rPr>
          <w:rFonts w:hint="default" w:ascii="Times New Roman" w:hAnsi="Times New Roman" w:eastAsia="仿宋" w:cs="Times New Roman"/>
          <w:kern w:val="2"/>
          <w:sz w:val="28"/>
          <w:szCs w:val="28"/>
          <w:lang w:val="en-US" w:eastAsia="zh-CN" w:bidi="ar-SA"/>
        </w:rPr>
        <w:t>5%。</w:t>
      </w:r>
      <w:r>
        <w:rPr>
          <w:rFonts w:hint="default" w:ascii="Times New Roman" w:hAnsi="Times New Roman" w:eastAsia="仿宋" w:cs="Times New Roman"/>
          <w:kern w:val="2"/>
          <w:sz w:val="28"/>
          <w:szCs w:val="28"/>
          <w:lang w:val="en-US" w:eastAsia="zh-CN" w:bidi="ar-SA"/>
        </w:rPr>
        <w:tab/>
      </w:r>
    </w:p>
    <w:p w14:paraId="7A28E120">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eastAsia" w:ascii="Times New Roman" w:hAnsi="Times New Roman" w:eastAsia="仿宋" w:cs="Times New Roman"/>
          <w:kern w:val="2"/>
          <w:sz w:val="28"/>
          <w:szCs w:val="28"/>
          <w:lang w:val="en-US" w:eastAsia="zh-CN" w:bidi="ar-SA"/>
        </w:rPr>
        <w:t>⑦</w:t>
      </w:r>
      <w:r>
        <w:rPr>
          <w:rFonts w:hint="default" w:ascii="Times New Roman" w:hAnsi="Times New Roman" w:eastAsia="仿宋" w:cs="Times New Roman"/>
          <w:kern w:val="2"/>
          <w:sz w:val="28"/>
          <w:szCs w:val="28"/>
          <w:lang w:val="en-US" w:eastAsia="zh-CN" w:bidi="ar-SA"/>
        </w:rPr>
        <w:t>资本结构的确定</w:t>
      </w:r>
    </w:p>
    <w:p w14:paraId="4332DC31">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对比公司资本结构的平均值为：付息债务资本占全部资本比例为</w:t>
      </w:r>
      <w:r>
        <w:rPr>
          <w:rFonts w:hint="eastAsia" w:ascii="Times New Roman" w:hAnsi="Times New Roman" w:eastAsia="仿宋" w:cs="Times New Roman"/>
          <w:kern w:val="2"/>
          <w:sz w:val="28"/>
          <w:szCs w:val="28"/>
          <w:lang w:val="en-US" w:eastAsia="zh-CN" w:bidi="ar-SA"/>
        </w:rPr>
        <w:t>9.22%</w:t>
      </w:r>
      <w:r>
        <w:rPr>
          <w:rFonts w:hint="default" w:ascii="Times New Roman" w:hAnsi="Times New Roman" w:eastAsia="仿宋" w:cs="Times New Roman"/>
          <w:kern w:val="2"/>
          <w:sz w:val="28"/>
          <w:szCs w:val="28"/>
          <w:lang w:val="en-US" w:eastAsia="zh-CN" w:bidi="ar-SA"/>
        </w:rPr>
        <w:t>，权益资本资本占全部资本比例为</w:t>
      </w:r>
      <w:r>
        <w:rPr>
          <w:rFonts w:hint="eastAsia" w:ascii="Times New Roman" w:hAnsi="Times New Roman" w:eastAsia="仿宋" w:cs="Times New Roman"/>
          <w:kern w:val="2"/>
          <w:sz w:val="28"/>
          <w:szCs w:val="28"/>
          <w:lang w:val="en-US" w:eastAsia="zh-CN" w:bidi="ar-SA"/>
        </w:rPr>
        <w:t>90.78%</w:t>
      </w:r>
      <w:r>
        <w:rPr>
          <w:rFonts w:hint="default" w:ascii="Times New Roman" w:hAnsi="Times New Roman" w:eastAsia="仿宋" w:cs="Times New Roman"/>
          <w:kern w:val="2"/>
          <w:sz w:val="28"/>
          <w:szCs w:val="28"/>
          <w:lang w:val="en-US" w:eastAsia="zh-CN" w:bidi="ar-SA"/>
        </w:rPr>
        <w:t>；</w:t>
      </w:r>
    </w:p>
    <w:p w14:paraId="688366D1">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eastAsia" w:ascii="Times New Roman" w:hAnsi="Times New Roman" w:eastAsia="仿宋" w:cs="Times New Roman"/>
          <w:kern w:val="2"/>
          <w:sz w:val="28"/>
          <w:szCs w:val="28"/>
          <w:lang w:val="en-US" w:eastAsia="zh-CN" w:bidi="ar-SA"/>
        </w:rPr>
        <w:t>⑧</w:t>
      </w:r>
      <w:r>
        <w:rPr>
          <w:rFonts w:hint="default" w:ascii="Times New Roman" w:hAnsi="Times New Roman" w:eastAsia="仿宋" w:cs="Times New Roman"/>
          <w:kern w:val="2"/>
          <w:sz w:val="28"/>
          <w:szCs w:val="28"/>
          <w:lang w:val="en-US" w:eastAsia="zh-CN" w:bidi="ar-SA"/>
        </w:rPr>
        <w:t>算加权平均资本成本WACC</w:t>
      </w:r>
    </w:p>
    <w:p w14:paraId="54D16558">
      <w:pPr>
        <w:spacing w:line="360" w:lineRule="auto"/>
        <w:ind w:firstLine="560" w:firstLineChars="200"/>
        <w:rPr>
          <w:rFonts w:hint="default" w:ascii="Times New Roman" w:hAnsi="Times New Roman" w:eastAsia="仿宋" w:cs="Times New Roman"/>
          <w:kern w:val="2"/>
          <w:sz w:val="28"/>
          <w:szCs w:val="28"/>
          <w:lang w:val="en-US" w:eastAsia="zh-CN" w:bidi="ar-SA"/>
        </w:rPr>
      </w:pPr>
      <w:r>
        <w:rPr>
          <w:rFonts w:hint="default" w:ascii="Times New Roman" w:hAnsi="Times New Roman" w:eastAsia="仿宋" w:cs="Times New Roman"/>
          <w:kern w:val="2"/>
          <w:sz w:val="28"/>
          <w:szCs w:val="28"/>
          <w:lang w:val="en-US" w:eastAsia="zh-CN" w:bidi="ar-SA"/>
        </w:rPr>
        <w:t>按照上述数据计算WACC如下：</w:t>
      </w:r>
    </w:p>
    <w:p w14:paraId="73E11393">
      <w:pPr>
        <w:rPr>
          <w:rFonts w:hint="default" w:ascii="Times New Roman" w:hAnsi="Times New Roman" w:eastAsia="仿宋" w:cs="Times New Roman"/>
          <w:sz w:val="24"/>
          <w:szCs w:val="24"/>
        </w:rPr>
      </w:pPr>
      <w:r>
        <w:rPr>
          <w:rFonts w:hint="default" w:ascii="Times New Roman" w:hAnsi="Times New Roman" w:eastAsia="仿宋" w:cs="Times New Roman"/>
          <w:sz w:val="24"/>
          <w:szCs w:val="24"/>
        </w:rPr>
        <w:pict>
          <v:shape id="对象 22" o:spid="_x0000_s1026" o:spt="75" type="#_x0000_t75" style="position:absolute;left:0pt;margin-left:41.75pt;margin-top:-4.55pt;height:31pt;width:202pt;z-index:251659264;mso-width-relative:page;mso-height-relative:page;" o:ole="t" fillcolor="#FFFFFF" filled="t" o:preferrelative="t" stroked="t" coordsize="21600,21600">
            <v:path/>
            <v:fill on="t" focussize="0,0"/>
            <v:stroke color="#FFFFFF"/>
            <v:imagedata r:id="rId18" o:title=""/>
            <o:lock v:ext="edit" aspectratio="t"/>
          </v:shape>
          <o:OLEObject Type="Embed" ProgID="Equations" ShapeID="对象 22" DrawAspect="Content" ObjectID="_1468075728" r:id="rId17">
            <o:LockedField>false</o:LockedField>
          </o:OLEObject>
        </w:pict>
      </w:r>
      <w:r>
        <w:rPr>
          <w:rFonts w:hint="default" w:ascii="Times New Roman" w:hAnsi="Times New Roman" w:eastAsia="仿宋" w:cs="Times New Roman"/>
          <w:sz w:val="24"/>
          <w:szCs w:val="24"/>
        </w:rPr>
        <w:tab/>
      </w:r>
    </w:p>
    <w:p w14:paraId="0723C8E5">
      <w:pPr>
        <w:rPr>
          <w:rFonts w:hint="default" w:ascii="Times New Roman" w:hAnsi="Times New Roman" w:eastAsia="仿宋" w:cs="Times New Roman"/>
          <w:sz w:val="24"/>
          <w:szCs w:val="24"/>
          <w:lang w:val="en-US" w:eastAsia="zh-CN"/>
        </w:rPr>
      </w:pPr>
      <w:r>
        <w:rPr>
          <w:rFonts w:hint="default" w:ascii="Times New Roman" w:hAnsi="Times New Roman" w:eastAsia="仿宋" w:cs="Times New Roman"/>
          <w:sz w:val="24"/>
          <w:szCs w:val="24"/>
          <w:lang w:val="en-US" w:eastAsia="zh-CN"/>
        </w:rPr>
        <w:t xml:space="preserve"> </w:t>
      </w:r>
    </w:p>
    <w:p w14:paraId="0C483649">
      <w:pPr>
        <w:rPr>
          <w:rFonts w:hint="default" w:ascii="Times New Roman" w:hAnsi="Times New Roman" w:eastAsia="仿宋" w:cs="Times New Roman"/>
          <w:sz w:val="28"/>
          <w:szCs w:val="28"/>
          <w:lang w:val="en-US" w:eastAsia="zh-CN"/>
        </w:rPr>
      </w:pPr>
      <w:r>
        <w:rPr>
          <w:rFonts w:hint="default" w:ascii="Times New Roman" w:hAnsi="Times New Roman" w:eastAsia="仿宋" w:cs="Times New Roman"/>
          <w:sz w:val="24"/>
          <w:szCs w:val="24"/>
          <w:lang w:val="en-US" w:eastAsia="zh-CN"/>
        </w:rPr>
        <w:t xml:space="preserve">        </w:t>
      </w:r>
      <w:r>
        <w:rPr>
          <w:rFonts w:hint="default" w:ascii="Times New Roman" w:hAnsi="Times New Roman" w:eastAsia="仿宋" w:cs="Times New Roman"/>
          <w:sz w:val="28"/>
          <w:szCs w:val="28"/>
          <w:lang w:val="en-US" w:eastAsia="zh-CN"/>
        </w:rPr>
        <w:t xml:space="preserve">  =</w:t>
      </w:r>
      <w:r>
        <w:rPr>
          <w:rFonts w:hint="eastAsia" w:ascii="Times New Roman" w:eastAsia="仿宋" w:cs="Times New Roman"/>
          <w:sz w:val="28"/>
          <w:szCs w:val="28"/>
          <w:lang w:val="en-US" w:eastAsia="zh-CN"/>
        </w:rPr>
        <w:t>9.70</w:t>
      </w:r>
      <w:r>
        <w:rPr>
          <w:rFonts w:hint="eastAsia" w:ascii="Times New Roman" w:hAnsi="Times New Roman" w:eastAsia="仿宋" w:cs="Times New Roman"/>
          <w:sz w:val="28"/>
          <w:szCs w:val="28"/>
          <w:lang w:val="en-US" w:eastAsia="zh-CN"/>
        </w:rPr>
        <w:t>%</w:t>
      </w:r>
    </w:p>
    <w:p w14:paraId="32C247F7">
      <w:pPr>
        <w:spacing w:line="360" w:lineRule="auto"/>
        <w:ind w:firstLine="560"/>
        <w:rPr>
          <w:rFonts w:hint="default" w:ascii="Times New Roman" w:hAnsi="Times New Roman" w:eastAsia="仿宋" w:cs="Times New Roman"/>
          <w:bCs w:val="0"/>
          <w:sz w:val="28"/>
          <w:szCs w:val="24"/>
          <w:highlight w:val="none"/>
          <w:lang w:val="en-US" w:eastAsia="zh-CN"/>
        </w:rPr>
      </w:pPr>
      <w:r>
        <w:rPr>
          <w:rFonts w:hint="default" w:ascii="Times New Roman" w:hAnsi="Times New Roman" w:eastAsia="仿宋" w:cs="Times New Roman"/>
          <w:bCs w:val="0"/>
          <w:sz w:val="28"/>
          <w:szCs w:val="24"/>
          <w:highlight w:val="none"/>
          <w:lang w:val="en-US" w:eastAsia="zh-CN"/>
        </w:rPr>
        <w:t>各年净</w:t>
      </w:r>
      <w:r>
        <w:rPr>
          <w:rFonts w:hint="eastAsia" w:ascii="Times New Roman" w:hAnsi="Times New Roman" w:eastAsia="仿宋" w:cs="Times New Roman"/>
          <w:bCs w:val="0"/>
          <w:sz w:val="28"/>
          <w:szCs w:val="24"/>
          <w:highlight w:val="none"/>
          <w:lang w:val="en-US" w:eastAsia="zh-CN"/>
        </w:rPr>
        <w:t>现金流</w:t>
      </w:r>
      <w:r>
        <w:rPr>
          <w:rFonts w:hint="default" w:ascii="Times New Roman" w:hAnsi="Times New Roman" w:eastAsia="仿宋" w:cs="Times New Roman"/>
          <w:bCs w:val="0"/>
          <w:sz w:val="28"/>
          <w:szCs w:val="24"/>
          <w:highlight w:val="none"/>
          <w:lang w:val="en-US" w:eastAsia="zh-CN"/>
        </w:rPr>
        <w:t>折现如下：</w:t>
      </w:r>
    </w:p>
    <w:tbl>
      <w:tblPr>
        <w:tblStyle w:val="1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100"/>
        <w:gridCol w:w="2083"/>
        <w:gridCol w:w="1306"/>
        <w:gridCol w:w="1448"/>
        <w:gridCol w:w="1448"/>
        <w:gridCol w:w="1448"/>
      </w:tblGrid>
      <w:tr w14:paraId="40ADF00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623" w:type="pct"/>
            <w:tcBorders>
              <w:top w:val="single" w:color="000000" w:sz="4" w:space="0"/>
              <w:left w:val="single" w:color="000000" w:sz="4" w:space="0"/>
              <w:bottom w:val="single" w:color="000000" w:sz="4" w:space="0"/>
              <w:right w:val="single" w:color="000000" w:sz="4" w:space="0"/>
            </w:tcBorders>
            <w:noWrap/>
            <w:vAlign w:val="center"/>
          </w:tcPr>
          <w:p w14:paraId="0FF2EF9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1179" w:type="pct"/>
            <w:tcBorders>
              <w:top w:val="single" w:color="000000" w:sz="4" w:space="0"/>
              <w:left w:val="single" w:color="000000" w:sz="4" w:space="0"/>
              <w:bottom w:val="single" w:color="000000" w:sz="4" w:space="0"/>
              <w:right w:val="single" w:color="000000" w:sz="4" w:space="0"/>
            </w:tcBorders>
            <w:noWrap/>
            <w:vAlign w:val="center"/>
          </w:tcPr>
          <w:p w14:paraId="3A993A0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2024年9-12月</w:t>
            </w:r>
          </w:p>
        </w:tc>
        <w:tc>
          <w:tcPr>
            <w:tcW w:w="739" w:type="pct"/>
            <w:tcBorders>
              <w:top w:val="single" w:color="000000" w:sz="4" w:space="0"/>
              <w:left w:val="single" w:color="000000" w:sz="4" w:space="0"/>
              <w:bottom w:val="single" w:color="000000" w:sz="4" w:space="0"/>
              <w:right w:val="single" w:color="000000" w:sz="4" w:space="0"/>
            </w:tcBorders>
            <w:noWrap/>
            <w:vAlign w:val="center"/>
          </w:tcPr>
          <w:p w14:paraId="09FE6784">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2025年</w:t>
            </w:r>
          </w:p>
        </w:tc>
        <w:tc>
          <w:tcPr>
            <w:tcW w:w="819" w:type="pct"/>
            <w:tcBorders>
              <w:top w:val="single" w:color="000000" w:sz="4" w:space="0"/>
              <w:left w:val="single" w:color="000000" w:sz="4" w:space="0"/>
              <w:bottom w:val="single" w:color="000000" w:sz="4" w:space="0"/>
              <w:right w:val="single" w:color="000000" w:sz="4" w:space="0"/>
            </w:tcBorders>
            <w:noWrap/>
            <w:vAlign w:val="center"/>
          </w:tcPr>
          <w:p w14:paraId="72AC371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2026年</w:t>
            </w:r>
          </w:p>
        </w:tc>
        <w:tc>
          <w:tcPr>
            <w:tcW w:w="819" w:type="pct"/>
            <w:tcBorders>
              <w:top w:val="single" w:color="000000" w:sz="4" w:space="0"/>
              <w:left w:val="single" w:color="000000" w:sz="4" w:space="0"/>
              <w:bottom w:val="single" w:color="000000" w:sz="4" w:space="0"/>
              <w:right w:val="single" w:color="000000" w:sz="4" w:space="0"/>
            </w:tcBorders>
            <w:noWrap/>
            <w:vAlign w:val="center"/>
          </w:tcPr>
          <w:p w14:paraId="3C11917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2027年</w:t>
            </w:r>
          </w:p>
        </w:tc>
        <w:tc>
          <w:tcPr>
            <w:tcW w:w="819" w:type="pct"/>
            <w:tcBorders>
              <w:top w:val="single" w:color="000000" w:sz="4" w:space="0"/>
              <w:left w:val="single" w:color="000000" w:sz="4" w:space="0"/>
              <w:bottom w:val="single" w:color="000000" w:sz="4" w:space="0"/>
              <w:right w:val="single" w:color="000000" w:sz="4" w:space="0"/>
            </w:tcBorders>
            <w:noWrap/>
            <w:vAlign w:val="center"/>
          </w:tcPr>
          <w:p w14:paraId="7B86A85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2028年</w:t>
            </w:r>
          </w:p>
        </w:tc>
      </w:tr>
      <w:tr w14:paraId="2E46310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623" w:type="pct"/>
            <w:tcBorders>
              <w:top w:val="single" w:color="000000" w:sz="4" w:space="0"/>
              <w:left w:val="single" w:color="000000" w:sz="4" w:space="0"/>
              <w:bottom w:val="single" w:color="000000" w:sz="4" w:space="0"/>
              <w:right w:val="single" w:color="000000" w:sz="4" w:space="0"/>
            </w:tcBorders>
            <w:noWrap/>
            <w:vAlign w:val="center"/>
          </w:tcPr>
          <w:p w14:paraId="7C775C44">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2083" w:type="dxa"/>
            <w:tcBorders>
              <w:top w:val="single" w:color="000000" w:sz="4" w:space="0"/>
              <w:left w:val="single" w:color="000000" w:sz="4" w:space="0"/>
              <w:bottom w:val="single" w:color="000000" w:sz="4" w:space="0"/>
              <w:right w:val="single" w:color="000000" w:sz="4" w:space="0"/>
            </w:tcBorders>
            <w:noWrap/>
            <w:vAlign w:val="center"/>
          </w:tcPr>
          <w:p w14:paraId="185DE89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322.71 </w:t>
            </w:r>
          </w:p>
        </w:tc>
        <w:tc>
          <w:tcPr>
            <w:tcW w:w="1306" w:type="dxa"/>
            <w:tcBorders>
              <w:top w:val="single" w:color="000000" w:sz="4" w:space="0"/>
              <w:left w:val="single" w:color="000000" w:sz="4" w:space="0"/>
              <w:bottom w:val="single" w:color="000000" w:sz="4" w:space="0"/>
              <w:right w:val="single" w:color="000000" w:sz="4" w:space="0"/>
            </w:tcBorders>
            <w:noWrap/>
            <w:vAlign w:val="center"/>
          </w:tcPr>
          <w:p w14:paraId="65BAA02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1,018.82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4B2FF5D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4E29363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1,194.52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35728AE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1,252.80 </w:t>
            </w:r>
          </w:p>
        </w:tc>
      </w:tr>
      <w:tr w14:paraId="0902B54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623" w:type="pct"/>
            <w:tcBorders>
              <w:top w:val="single" w:color="000000" w:sz="4" w:space="0"/>
              <w:left w:val="single" w:color="000000" w:sz="4" w:space="0"/>
              <w:bottom w:val="single" w:color="000000" w:sz="4" w:space="0"/>
              <w:right w:val="single" w:color="000000" w:sz="4" w:space="0"/>
            </w:tcBorders>
            <w:noWrap/>
            <w:vAlign w:val="center"/>
          </w:tcPr>
          <w:p w14:paraId="2F516DFC">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2083" w:type="dxa"/>
            <w:tcBorders>
              <w:top w:val="single" w:color="000000" w:sz="4" w:space="0"/>
              <w:left w:val="single" w:color="000000" w:sz="4" w:space="0"/>
              <w:bottom w:val="single" w:color="000000" w:sz="4" w:space="0"/>
              <w:right w:val="single" w:color="000000" w:sz="4" w:space="0"/>
            </w:tcBorders>
            <w:noWrap/>
            <w:vAlign w:val="center"/>
          </w:tcPr>
          <w:p w14:paraId="4EE4F033">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06" w:type="dxa"/>
            <w:tcBorders>
              <w:top w:val="single" w:color="000000" w:sz="4" w:space="0"/>
              <w:left w:val="single" w:color="000000" w:sz="4" w:space="0"/>
              <w:bottom w:val="single" w:color="000000" w:sz="4" w:space="0"/>
              <w:right w:val="single" w:color="000000" w:sz="4" w:space="0"/>
            </w:tcBorders>
            <w:noWrap/>
            <w:vAlign w:val="center"/>
          </w:tcPr>
          <w:p w14:paraId="0866B800">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0B1504ED">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5D6A7E72">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625D710A">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0D32F20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623" w:type="pct"/>
            <w:tcBorders>
              <w:top w:val="single" w:color="000000" w:sz="4" w:space="0"/>
              <w:left w:val="single" w:color="000000" w:sz="4" w:space="0"/>
              <w:bottom w:val="single" w:color="000000" w:sz="4" w:space="0"/>
              <w:right w:val="single" w:color="000000" w:sz="4" w:space="0"/>
            </w:tcBorders>
            <w:noWrap/>
            <w:vAlign w:val="center"/>
          </w:tcPr>
          <w:p w14:paraId="340A5E43">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2083" w:type="dxa"/>
            <w:tcBorders>
              <w:top w:val="single" w:color="000000" w:sz="4" w:space="0"/>
              <w:left w:val="single" w:color="000000" w:sz="4" w:space="0"/>
              <w:bottom w:val="single" w:color="000000" w:sz="4" w:space="0"/>
              <w:right w:val="single" w:color="000000" w:sz="4" w:space="0"/>
            </w:tcBorders>
            <w:noWrap/>
            <w:vAlign w:val="center"/>
          </w:tcPr>
          <w:p w14:paraId="44D10F02">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0.17 </w:t>
            </w:r>
          </w:p>
        </w:tc>
        <w:tc>
          <w:tcPr>
            <w:tcW w:w="1306" w:type="dxa"/>
            <w:tcBorders>
              <w:top w:val="single" w:color="000000" w:sz="4" w:space="0"/>
              <w:left w:val="single" w:color="000000" w:sz="4" w:space="0"/>
              <w:bottom w:val="single" w:color="000000" w:sz="4" w:space="0"/>
              <w:right w:val="single" w:color="000000" w:sz="4" w:space="0"/>
            </w:tcBorders>
            <w:noWrap/>
            <w:vAlign w:val="center"/>
          </w:tcPr>
          <w:p w14:paraId="0715B42F">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0.83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6531F042">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1.83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2D984650">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2.83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51AA0963">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3.83 </w:t>
            </w:r>
          </w:p>
        </w:tc>
      </w:tr>
      <w:tr w14:paraId="4E92BFF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623" w:type="pct"/>
            <w:tcBorders>
              <w:top w:val="single" w:color="000000" w:sz="4" w:space="0"/>
              <w:left w:val="single" w:color="000000" w:sz="4" w:space="0"/>
              <w:bottom w:val="single" w:color="000000" w:sz="4" w:space="0"/>
              <w:right w:val="single" w:color="000000" w:sz="4" w:space="0"/>
            </w:tcBorders>
            <w:noWrap/>
            <w:vAlign w:val="center"/>
          </w:tcPr>
          <w:p w14:paraId="58DA21A7">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2083" w:type="dxa"/>
            <w:tcBorders>
              <w:top w:val="single" w:color="000000" w:sz="4" w:space="0"/>
              <w:left w:val="single" w:color="000000" w:sz="4" w:space="0"/>
              <w:bottom w:val="single" w:color="000000" w:sz="4" w:space="0"/>
              <w:right w:val="single" w:color="000000" w:sz="4" w:space="0"/>
            </w:tcBorders>
            <w:noWrap/>
            <w:vAlign w:val="bottom"/>
          </w:tcPr>
          <w:p w14:paraId="278AC80F">
            <w:pPr>
              <w:keepNext w:val="0"/>
              <w:keepLines w:val="0"/>
              <w:widowControl/>
              <w:suppressLineNumbers w:val="0"/>
              <w:jc w:val="center"/>
              <w:textAlignment w:val="bottom"/>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0.9844 </w:t>
            </w:r>
          </w:p>
        </w:tc>
        <w:tc>
          <w:tcPr>
            <w:tcW w:w="1306" w:type="dxa"/>
            <w:tcBorders>
              <w:top w:val="single" w:color="000000" w:sz="4" w:space="0"/>
              <w:left w:val="single" w:color="000000" w:sz="4" w:space="0"/>
              <w:bottom w:val="single" w:color="000000" w:sz="4" w:space="0"/>
              <w:right w:val="single" w:color="000000" w:sz="4" w:space="0"/>
            </w:tcBorders>
            <w:noWrap/>
            <w:vAlign w:val="bottom"/>
          </w:tcPr>
          <w:p w14:paraId="00404C9D">
            <w:pPr>
              <w:keepNext w:val="0"/>
              <w:keepLines w:val="0"/>
              <w:widowControl/>
              <w:suppressLineNumbers w:val="0"/>
              <w:jc w:val="center"/>
              <w:textAlignment w:val="bottom"/>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0.9260 </w:t>
            </w:r>
          </w:p>
        </w:tc>
        <w:tc>
          <w:tcPr>
            <w:tcW w:w="1448" w:type="dxa"/>
            <w:tcBorders>
              <w:top w:val="single" w:color="000000" w:sz="4" w:space="0"/>
              <w:left w:val="single" w:color="000000" w:sz="4" w:space="0"/>
              <w:bottom w:val="single" w:color="000000" w:sz="4" w:space="0"/>
              <w:right w:val="single" w:color="000000" w:sz="4" w:space="0"/>
            </w:tcBorders>
            <w:noWrap/>
            <w:vAlign w:val="bottom"/>
          </w:tcPr>
          <w:p w14:paraId="070538F7">
            <w:pPr>
              <w:keepNext w:val="0"/>
              <w:keepLines w:val="0"/>
              <w:widowControl/>
              <w:suppressLineNumbers w:val="0"/>
              <w:jc w:val="center"/>
              <w:textAlignment w:val="bottom"/>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0.8442 </w:t>
            </w:r>
          </w:p>
        </w:tc>
        <w:tc>
          <w:tcPr>
            <w:tcW w:w="1448" w:type="dxa"/>
            <w:tcBorders>
              <w:top w:val="single" w:color="000000" w:sz="4" w:space="0"/>
              <w:left w:val="single" w:color="000000" w:sz="4" w:space="0"/>
              <w:bottom w:val="single" w:color="000000" w:sz="4" w:space="0"/>
              <w:right w:val="single" w:color="000000" w:sz="4" w:space="0"/>
            </w:tcBorders>
            <w:noWrap/>
            <w:vAlign w:val="bottom"/>
          </w:tcPr>
          <w:p w14:paraId="56447C5C">
            <w:pPr>
              <w:keepNext w:val="0"/>
              <w:keepLines w:val="0"/>
              <w:widowControl/>
              <w:suppressLineNumbers w:val="0"/>
              <w:jc w:val="center"/>
              <w:textAlignment w:val="bottom"/>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0.7695 </w:t>
            </w:r>
          </w:p>
        </w:tc>
        <w:tc>
          <w:tcPr>
            <w:tcW w:w="1448" w:type="dxa"/>
            <w:tcBorders>
              <w:top w:val="single" w:color="000000" w:sz="4" w:space="0"/>
              <w:left w:val="single" w:color="000000" w:sz="4" w:space="0"/>
              <w:bottom w:val="single" w:color="000000" w:sz="4" w:space="0"/>
              <w:right w:val="single" w:color="000000" w:sz="4" w:space="0"/>
            </w:tcBorders>
            <w:noWrap/>
            <w:vAlign w:val="bottom"/>
          </w:tcPr>
          <w:p w14:paraId="45DE5352">
            <w:pPr>
              <w:keepNext w:val="0"/>
              <w:keepLines w:val="0"/>
              <w:widowControl/>
              <w:suppressLineNumbers w:val="0"/>
              <w:jc w:val="center"/>
              <w:textAlignment w:val="bottom"/>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0.7015 </w:t>
            </w:r>
          </w:p>
        </w:tc>
      </w:tr>
      <w:tr w14:paraId="76B799B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623" w:type="pct"/>
            <w:tcBorders>
              <w:top w:val="single" w:color="000000" w:sz="4" w:space="0"/>
              <w:left w:val="single" w:color="000000" w:sz="4" w:space="0"/>
              <w:bottom w:val="single" w:color="000000" w:sz="4" w:space="0"/>
              <w:right w:val="single" w:color="000000" w:sz="4" w:space="0"/>
            </w:tcBorders>
            <w:noWrap/>
            <w:vAlign w:val="center"/>
          </w:tcPr>
          <w:p w14:paraId="7597DE71">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2083" w:type="dxa"/>
            <w:tcBorders>
              <w:top w:val="single" w:color="000000" w:sz="4" w:space="0"/>
              <w:left w:val="single" w:color="000000" w:sz="4" w:space="0"/>
              <w:bottom w:val="single" w:color="000000" w:sz="4" w:space="0"/>
              <w:right w:val="single" w:color="000000" w:sz="4" w:space="0"/>
            </w:tcBorders>
            <w:noWrap/>
            <w:vAlign w:val="center"/>
          </w:tcPr>
          <w:p w14:paraId="0DB05E21">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317.67 </w:t>
            </w:r>
          </w:p>
        </w:tc>
        <w:tc>
          <w:tcPr>
            <w:tcW w:w="1306" w:type="dxa"/>
            <w:tcBorders>
              <w:top w:val="single" w:color="000000" w:sz="4" w:space="0"/>
              <w:left w:val="single" w:color="000000" w:sz="4" w:space="0"/>
              <w:bottom w:val="single" w:color="000000" w:sz="4" w:space="0"/>
              <w:right w:val="single" w:color="000000" w:sz="4" w:space="0"/>
            </w:tcBorders>
            <w:noWrap/>
            <w:vAlign w:val="center"/>
          </w:tcPr>
          <w:p w14:paraId="297DB246">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943.47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41BB748B">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1,008.36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51EF3C60">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919.20 </w:t>
            </w:r>
          </w:p>
        </w:tc>
        <w:tc>
          <w:tcPr>
            <w:tcW w:w="1448" w:type="dxa"/>
            <w:tcBorders>
              <w:top w:val="single" w:color="000000" w:sz="4" w:space="0"/>
              <w:left w:val="single" w:color="000000" w:sz="4" w:space="0"/>
              <w:bottom w:val="single" w:color="000000" w:sz="4" w:space="0"/>
              <w:right w:val="single" w:color="000000" w:sz="4" w:space="0"/>
            </w:tcBorders>
            <w:noWrap/>
            <w:vAlign w:val="center"/>
          </w:tcPr>
          <w:p w14:paraId="52408A35">
            <w:pPr>
              <w:keepNext w:val="0"/>
              <w:keepLines w:val="0"/>
              <w:widowControl/>
              <w:suppressLineNumbers w:val="0"/>
              <w:jc w:val="center"/>
              <w:textAlignment w:val="center"/>
              <w:rPr>
                <w:rFonts w:hint="default" w:ascii="Times New Roman" w:hAnsi="Times New Roman" w:eastAsia="仿宋"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878.80 </w:t>
            </w:r>
          </w:p>
        </w:tc>
      </w:tr>
    </w:tbl>
    <w:p w14:paraId="6DB7D6D8">
      <w:pPr>
        <w:tabs>
          <w:tab w:val="left" w:pos="982"/>
        </w:tabs>
        <w:ind w:right="173" w:rightChars="51"/>
        <w:jc w:val="left"/>
        <w:rPr>
          <w:rFonts w:hint="default" w:ascii="Times New Roman" w:hAnsi="Times New Roman" w:eastAsia="宋体" w:cs="Times New Roman"/>
          <w:color w:val="auto"/>
          <w:kern w:val="0"/>
          <w:sz w:val="18"/>
          <w:szCs w:val="18"/>
          <w:highlight w:val="none"/>
        </w:rPr>
      </w:pPr>
    </w:p>
    <w:p w14:paraId="1F678FA3">
      <w:pPr>
        <w:tabs>
          <w:tab w:val="left" w:pos="982"/>
        </w:tabs>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（续表1）</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256"/>
        <w:gridCol w:w="1267"/>
        <w:gridCol w:w="1364"/>
        <w:gridCol w:w="1523"/>
      </w:tblGrid>
      <w:tr w14:paraId="18F867F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6A60543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794" w:type="pct"/>
            <w:tcBorders>
              <w:top w:val="single" w:color="000000" w:sz="4" w:space="0"/>
              <w:left w:val="single" w:color="000000" w:sz="4" w:space="0"/>
              <w:bottom w:val="single" w:color="000000" w:sz="4" w:space="0"/>
              <w:right w:val="single" w:color="000000" w:sz="4" w:space="0"/>
            </w:tcBorders>
            <w:noWrap/>
            <w:vAlign w:val="center"/>
          </w:tcPr>
          <w:p w14:paraId="247EB4A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2029年</w:t>
            </w:r>
          </w:p>
        </w:tc>
        <w:tc>
          <w:tcPr>
            <w:tcW w:w="711" w:type="pct"/>
            <w:tcBorders>
              <w:top w:val="single" w:color="000000" w:sz="4" w:space="0"/>
              <w:left w:val="single" w:color="000000" w:sz="4" w:space="0"/>
              <w:bottom w:val="single" w:color="000000" w:sz="4" w:space="0"/>
              <w:right w:val="single" w:color="000000" w:sz="4" w:space="0"/>
            </w:tcBorders>
            <w:noWrap/>
            <w:vAlign w:val="center"/>
          </w:tcPr>
          <w:p w14:paraId="1C343A9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2030年</w:t>
            </w:r>
          </w:p>
        </w:tc>
        <w:tc>
          <w:tcPr>
            <w:tcW w:w="717" w:type="pct"/>
            <w:tcBorders>
              <w:top w:val="single" w:color="000000" w:sz="4" w:space="0"/>
              <w:left w:val="single" w:color="000000" w:sz="4" w:space="0"/>
              <w:bottom w:val="single" w:color="000000" w:sz="4" w:space="0"/>
              <w:right w:val="single" w:color="000000" w:sz="4" w:space="0"/>
            </w:tcBorders>
            <w:noWrap/>
            <w:vAlign w:val="center"/>
          </w:tcPr>
          <w:p w14:paraId="3F815AD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2031年</w:t>
            </w:r>
          </w:p>
        </w:tc>
        <w:tc>
          <w:tcPr>
            <w:tcW w:w="772" w:type="pct"/>
            <w:tcBorders>
              <w:top w:val="single" w:color="000000" w:sz="4" w:space="0"/>
              <w:left w:val="single" w:color="000000" w:sz="4" w:space="0"/>
              <w:bottom w:val="single" w:color="000000" w:sz="4" w:space="0"/>
              <w:right w:val="single" w:color="000000" w:sz="4" w:space="0"/>
            </w:tcBorders>
            <w:noWrap/>
            <w:vAlign w:val="center"/>
          </w:tcPr>
          <w:p w14:paraId="1A70B41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2032年</w:t>
            </w:r>
          </w:p>
        </w:tc>
        <w:tc>
          <w:tcPr>
            <w:tcW w:w="862" w:type="pct"/>
            <w:tcBorders>
              <w:top w:val="single" w:color="000000" w:sz="4" w:space="0"/>
              <w:left w:val="single" w:color="000000" w:sz="4" w:space="0"/>
              <w:bottom w:val="single" w:color="000000" w:sz="4" w:space="0"/>
              <w:right w:val="single" w:color="000000" w:sz="4" w:space="0"/>
            </w:tcBorders>
            <w:noWrap/>
            <w:vAlign w:val="center"/>
          </w:tcPr>
          <w:p w14:paraId="62E4637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2033年</w:t>
            </w:r>
          </w:p>
        </w:tc>
      </w:tr>
      <w:tr w14:paraId="37A7EE6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26196124">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623B337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1,333.96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7706F2C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1,467.29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60A616A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00F5796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1C9BB83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r>
      <w:tr w14:paraId="3CD76B8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0"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3860712F">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05232F7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34573A0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5B5F8E4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552C85A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8BF0FE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1608EE2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39C441A7">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6B524E0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4.83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5C98B93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5.83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6BAB683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98E59C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7.83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4395E4C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8.83 </w:t>
            </w:r>
          </w:p>
        </w:tc>
      </w:tr>
      <w:tr w14:paraId="6DE3F29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1749BEC4">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6E6D9813">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0.6394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22174F2F">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0.5829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2062BDA5">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0.5314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099CB0D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0.4844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3E097EF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0.4415 </w:t>
            </w:r>
          </w:p>
        </w:tc>
      </w:tr>
      <w:tr w14:paraId="4E8FA63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4A5B1AF5">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49A5AFC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852.99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7D7949C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855.29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61DE575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757.45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0E30F4E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690.47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11D145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629.42 </w:t>
            </w:r>
          </w:p>
        </w:tc>
      </w:tr>
    </w:tbl>
    <w:p w14:paraId="0DF74956">
      <w:pPr>
        <w:ind w:right="173" w:rightChars="51"/>
        <w:jc w:val="left"/>
        <w:rPr>
          <w:rFonts w:hint="default" w:ascii="Times New Roman" w:hAnsi="Times New Roman" w:eastAsia="宋体" w:cs="Times New Roman"/>
          <w:color w:val="auto"/>
          <w:kern w:val="0"/>
          <w:sz w:val="18"/>
          <w:szCs w:val="18"/>
          <w:highlight w:val="none"/>
        </w:rPr>
      </w:pPr>
    </w:p>
    <w:p w14:paraId="0B3E1D5D">
      <w:pPr>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w:t>
      </w:r>
      <w:r>
        <w:rPr>
          <w:rFonts w:hint="default" w:ascii="Times New Roman" w:hAnsi="Times New Roman" w:eastAsia="宋体" w:cs="Times New Roman"/>
          <w:color w:val="auto"/>
          <w:kern w:val="0"/>
          <w:sz w:val="18"/>
          <w:szCs w:val="18"/>
          <w:highlight w:val="none"/>
          <w:lang w:val="en-US" w:eastAsia="zh-CN"/>
        </w:rPr>
        <w:t>2</w:t>
      </w:r>
      <w:r>
        <w:rPr>
          <w:rFonts w:hint="default" w:ascii="Times New Roman" w:hAnsi="Times New Roman" w:eastAsia="宋体" w:cs="Times New Roman"/>
          <w:color w:val="auto"/>
          <w:kern w:val="0"/>
          <w:sz w:val="18"/>
          <w:szCs w:val="18"/>
          <w:highlight w:val="none"/>
        </w:rPr>
        <w:t>）</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256"/>
        <w:gridCol w:w="1267"/>
        <w:gridCol w:w="1364"/>
        <w:gridCol w:w="1523"/>
      </w:tblGrid>
      <w:tr w14:paraId="58394E1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29C9054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794" w:type="pct"/>
            <w:tcBorders>
              <w:top w:val="single" w:color="000000" w:sz="4" w:space="0"/>
              <w:left w:val="single" w:color="000000" w:sz="4" w:space="0"/>
              <w:bottom w:val="single" w:color="000000" w:sz="4" w:space="0"/>
              <w:right w:val="single" w:color="000000" w:sz="4" w:space="0"/>
            </w:tcBorders>
            <w:noWrap/>
            <w:vAlign w:val="center"/>
          </w:tcPr>
          <w:p w14:paraId="56E2E37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2034年</w:t>
            </w:r>
          </w:p>
        </w:tc>
        <w:tc>
          <w:tcPr>
            <w:tcW w:w="711" w:type="pct"/>
            <w:tcBorders>
              <w:top w:val="single" w:color="000000" w:sz="4" w:space="0"/>
              <w:left w:val="single" w:color="000000" w:sz="4" w:space="0"/>
              <w:bottom w:val="single" w:color="000000" w:sz="4" w:space="0"/>
              <w:right w:val="single" w:color="000000" w:sz="4" w:space="0"/>
            </w:tcBorders>
            <w:noWrap/>
            <w:vAlign w:val="center"/>
          </w:tcPr>
          <w:p w14:paraId="391D405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2035年</w:t>
            </w:r>
          </w:p>
        </w:tc>
        <w:tc>
          <w:tcPr>
            <w:tcW w:w="717" w:type="pct"/>
            <w:tcBorders>
              <w:top w:val="single" w:color="000000" w:sz="4" w:space="0"/>
              <w:left w:val="single" w:color="000000" w:sz="4" w:space="0"/>
              <w:bottom w:val="single" w:color="000000" w:sz="4" w:space="0"/>
              <w:right w:val="single" w:color="000000" w:sz="4" w:space="0"/>
            </w:tcBorders>
            <w:noWrap/>
            <w:vAlign w:val="center"/>
          </w:tcPr>
          <w:p w14:paraId="28DF8C1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2036年</w:t>
            </w:r>
          </w:p>
        </w:tc>
        <w:tc>
          <w:tcPr>
            <w:tcW w:w="772" w:type="pct"/>
            <w:tcBorders>
              <w:top w:val="single" w:color="000000" w:sz="4" w:space="0"/>
              <w:left w:val="single" w:color="000000" w:sz="4" w:space="0"/>
              <w:bottom w:val="single" w:color="000000" w:sz="4" w:space="0"/>
              <w:right w:val="single" w:color="000000" w:sz="4" w:space="0"/>
            </w:tcBorders>
            <w:noWrap/>
            <w:vAlign w:val="center"/>
          </w:tcPr>
          <w:p w14:paraId="536670C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2037年</w:t>
            </w:r>
          </w:p>
        </w:tc>
        <w:tc>
          <w:tcPr>
            <w:tcW w:w="862" w:type="pct"/>
            <w:tcBorders>
              <w:top w:val="single" w:color="000000" w:sz="4" w:space="0"/>
              <w:left w:val="single" w:color="000000" w:sz="4" w:space="0"/>
              <w:bottom w:val="single" w:color="000000" w:sz="4" w:space="0"/>
              <w:right w:val="single" w:color="000000" w:sz="4" w:space="0"/>
            </w:tcBorders>
            <w:noWrap/>
            <w:vAlign w:val="center"/>
          </w:tcPr>
          <w:p w14:paraId="66FD61F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2038年</w:t>
            </w:r>
          </w:p>
        </w:tc>
      </w:tr>
      <w:tr w14:paraId="79F5722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245A98C9">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2EB6635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4E9EAF0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364DDB7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0066DB0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46CDF60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r>
      <w:tr w14:paraId="7CA45B9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44030A02">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35FEF0C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5611852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5AB1B74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E47C06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53236A8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1C0681C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0AB81658">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7C0A708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1D24937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10.83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757E5CB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11.83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3AC8C8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12.83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064A5E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13.83 </w:t>
            </w:r>
          </w:p>
        </w:tc>
      </w:tr>
      <w:tr w14:paraId="275BC8E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67D1689E">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523241E8">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0.4025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6E8CD08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0.3669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6502FD46">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0.3345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65C9B591">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0.3049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792B2566">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0.2779 </w:t>
            </w:r>
          </w:p>
        </w:tc>
      </w:tr>
      <w:tr w14:paraId="00CFCA0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0A181978">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05E7869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573.77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7E15DCD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523.03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29F64A9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476.78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3B3AC5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434.62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5D3EF3D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396.19 </w:t>
            </w:r>
          </w:p>
        </w:tc>
      </w:tr>
    </w:tbl>
    <w:p w14:paraId="360E596B">
      <w:pPr>
        <w:ind w:right="173" w:rightChars="51"/>
        <w:jc w:val="left"/>
        <w:rPr>
          <w:rFonts w:hint="default" w:ascii="Times New Roman" w:hAnsi="Times New Roman" w:eastAsia="宋体" w:cs="Times New Roman"/>
          <w:color w:val="auto"/>
          <w:kern w:val="0"/>
          <w:sz w:val="18"/>
          <w:szCs w:val="18"/>
          <w:highlight w:val="none"/>
        </w:rPr>
      </w:pPr>
    </w:p>
    <w:p w14:paraId="0A26732F">
      <w:pPr>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w:t>
      </w:r>
      <w:r>
        <w:rPr>
          <w:rFonts w:hint="default" w:ascii="Times New Roman" w:hAnsi="Times New Roman" w:eastAsia="宋体" w:cs="Times New Roman"/>
          <w:color w:val="auto"/>
          <w:kern w:val="0"/>
          <w:sz w:val="18"/>
          <w:szCs w:val="18"/>
          <w:highlight w:val="none"/>
          <w:lang w:val="en-US" w:eastAsia="zh-CN"/>
        </w:rPr>
        <w:t>3</w:t>
      </w:r>
      <w:r>
        <w:rPr>
          <w:rFonts w:hint="default" w:ascii="Times New Roman" w:hAnsi="Times New Roman" w:eastAsia="宋体" w:cs="Times New Roman"/>
          <w:color w:val="auto"/>
          <w:kern w:val="0"/>
          <w:sz w:val="18"/>
          <w:szCs w:val="18"/>
          <w:highlight w:val="none"/>
        </w:rPr>
        <w:t>）</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256"/>
        <w:gridCol w:w="1267"/>
        <w:gridCol w:w="1364"/>
        <w:gridCol w:w="1523"/>
      </w:tblGrid>
      <w:tr w14:paraId="56FEEC7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63C6538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794" w:type="pct"/>
            <w:tcBorders>
              <w:top w:val="single" w:color="000000" w:sz="4" w:space="0"/>
              <w:left w:val="single" w:color="000000" w:sz="4" w:space="0"/>
              <w:bottom w:val="single" w:color="000000" w:sz="4" w:space="0"/>
              <w:right w:val="single" w:color="000000" w:sz="4" w:space="0"/>
            </w:tcBorders>
            <w:noWrap/>
            <w:vAlign w:val="center"/>
          </w:tcPr>
          <w:p w14:paraId="460344C0">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2039年</w:t>
            </w:r>
          </w:p>
        </w:tc>
        <w:tc>
          <w:tcPr>
            <w:tcW w:w="711" w:type="pct"/>
            <w:tcBorders>
              <w:top w:val="single" w:color="000000" w:sz="4" w:space="0"/>
              <w:left w:val="single" w:color="000000" w:sz="4" w:space="0"/>
              <w:bottom w:val="single" w:color="000000" w:sz="4" w:space="0"/>
              <w:right w:val="single" w:color="000000" w:sz="4" w:space="0"/>
            </w:tcBorders>
            <w:noWrap/>
            <w:vAlign w:val="center"/>
          </w:tcPr>
          <w:p w14:paraId="26CF126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2040年</w:t>
            </w:r>
          </w:p>
        </w:tc>
        <w:tc>
          <w:tcPr>
            <w:tcW w:w="717" w:type="pct"/>
            <w:tcBorders>
              <w:top w:val="single" w:color="000000" w:sz="4" w:space="0"/>
              <w:left w:val="single" w:color="000000" w:sz="4" w:space="0"/>
              <w:bottom w:val="single" w:color="000000" w:sz="4" w:space="0"/>
              <w:right w:val="single" w:color="000000" w:sz="4" w:space="0"/>
            </w:tcBorders>
            <w:noWrap/>
            <w:vAlign w:val="center"/>
          </w:tcPr>
          <w:p w14:paraId="668691B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2041年</w:t>
            </w:r>
          </w:p>
        </w:tc>
        <w:tc>
          <w:tcPr>
            <w:tcW w:w="772" w:type="pct"/>
            <w:tcBorders>
              <w:top w:val="single" w:color="000000" w:sz="4" w:space="0"/>
              <w:left w:val="single" w:color="000000" w:sz="4" w:space="0"/>
              <w:bottom w:val="single" w:color="000000" w:sz="4" w:space="0"/>
              <w:right w:val="single" w:color="000000" w:sz="4" w:space="0"/>
            </w:tcBorders>
            <w:noWrap/>
            <w:vAlign w:val="center"/>
          </w:tcPr>
          <w:p w14:paraId="32900CFD">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2042年</w:t>
            </w:r>
          </w:p>
        </w:tc>
        <w:tc>
          <w:tcPr>
            <w:tcW w:w="862" w:type="pct"/>
            <w:tcBorders>
              <w:top w:val="single" w:color="000000" w:sz="4" w:space="0"/>
              <w:left w:val="single" w:color="000000" w:sz="4" w:space="0"/>
              <w:bottom w:val="single" w:color="000000" w:sz="4" w:space="0"/>
              <w:right w:val="single" w:color="000000" w:sz="4" w:space="0"/>
            </w:tcBorders>
            <w:noWrap/>
            <w:vAlign w:val="center"/>
          </w:tcPr>
          <w:p w14:paraId="259C9AD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2043年</w:t>
            </w:r>
          </w:p>
        </w:tc>
      </w:tr>
      <w:tr w14:paraId="54FADD9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46CFE2BB">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5382C6A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3E134A7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1B40515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608C9F2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609A6D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r>
      <w:tr w14:paraId="05B36A5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599DB4B0">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6EBD2B4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2B2EC79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23579C0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7BAA22F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6E86814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7B2ECF5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463AB419">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5946F1C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77E54A9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15.83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1E95116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16.83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E6D069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17.83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15CA6B4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18.83 </w:t>
            </w:r>
          </w:p>
        </w:tc>
      </w:tr>
      <w:tr w14:paraId="2CEEE69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65186264">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2548359E">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0.2534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7F2FE2F6">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0.2310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6B28AAFE">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0.2105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7BD2EF54">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0.1919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33C0F740">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0.1749 </w:t>
            </w:r>
          </w:p>
        </w:tc>
      </w:tr>
      <w:tr w14:paraId="704DBBC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7D5FA8B3">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3F2EB3A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361.16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62D2D92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329.23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75C2787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300.12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77ABEE7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273.58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0E7ED1A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249.39 </w:t>
            </w:r>
          </w:p>
        </w:tc>
      </w:tr>
    </w:tbl>
    <w:p w14:paraId="540F17E9">
      <w:pPr>
        <w:ind w:right="173" w:rightChars="51"/>
        <w:jc w:val="left"/>
        <w:rPr>
          <w:rFonts w:hint="default" w:ascii="Times New Roman" w:hAnsi="Times New Roman" w:eastAsia="宋体" w:cs="Times New Roman"/>
          <w:color w:val="auto"/>
          <w:kern w:val="0"/>
          <w:sz w:val="18"/>
          <w:szCs w:val="18"/>
          <w:highlight w:val="none"/>
        </w:rPr>
      </w:pPr>
    </w:p>
    <w:p w14:paraId="5126C5C1">
      <w:pPr>
        <w:ind w:right="173" w:rightChars="51"/>
        <w:jc w:val="left"/>
        <w:rPr>
          <w:rFonts w:hint="default" w:ascii="Times New Roman" w:hAnsi="Times New Roman" w:eastAsia="宋体" w:cs="Times New Roman"/>
          <w:color w:val="auto"/>
          <w:kern w:val="0"/>
          <w:sz w:val="18"/>
          <w:szCs w:val="18"/>
          <w:highlight w:val="none"/>
        </w:rPr>
      </w:pPr>
    </w:p>
    <w:p w14:paraId="7364408D">
      <w:pPr>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w:t>
      </w:r>
      <w:r>
        <w:rPr>
          <w:rFonts w:hint="default" w:ascii="Times New Roman" w:hAnsi="Times New Roman" w:eastAsia="宋体" w:cs="Times New Roman"/>
          <w:color w:val="auto"/>
          <w:kern w:val="0"/>
          <w:sz w:val="18"/>
          <w:szCs w:val="18"/>
          <w:highlight w:val="none"/>
          <w:lang w:val="en-US" w:eastAsia="zh-CN"/>
        </w:rPr>
        <w:t>4</w:t>
      </w:r>
      <w:r>
        <w:rPr>
          <w:rFonts w:hint="default" w:ascii="Times New Roman" w:hAnsi="Times New Roman" w:eastAsia="宋体" w:cs="Times New Roman"/>
          <w:color w:val="auto"/>
          <w:kern w:val="0"/>
          <w:sz w:val="18"/>
          <w:szCs w:val="18"/>
          <w:highlight w:val="none"/>
        </w:rPr>
        <w:t>）</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256"/>
        <w:gridCol w:w="1267"/>
        <w:gridCol w:w="1364"/>
        <w:gridCol w:w="1523"/>
      </w:tblGrid>
      <w:tr w14:paraId="6751121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15CDCF8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794" w:type="pct"/>
            <w:tcBorders>
              <w:top w:val="single" w:color="000000" w:sz="4" w:space="0"/>
              <w:left w:val="single" w:color="000000" w:sz="4" w:space="0"/>
              <w:bottom w:val="single" w:color="000000" w:sz="4" w:space="0"/>
              <w:right w:val="single" w:color="000000" w:sz="4" w:space="0"/>
            </w:tcBorders>
            <w:noWrap/>
            <w:vAlign w:val="center"/>
          </w:tcPr>
          <w:p w14:paraId="0E113458">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2044年</w:t>
            </w:r>
          </w:p>
        </w:tc>
        <w:tc>
          <w:tcPr>
            <w:tcW w:w="711" w:type="pct"/>
            <w:tcBorders>
              <w:top w:val="single" w:color="000000" w:sz="4" w:space="0"/>
              <w:left w:val="single" w:color="000000" w:sz="4" w:space="0"/>
              <w:bottom w:val="single" w:color="000000" w:sz="4" w:space="0"/>
              <w:right w:val="single" w:color="000000" w:sz="4" w:space="0"/>
            </w:tcBorders>
            <w:noWrap/>
            <w:vAlign w:val="center"/>
          </w:tcPr>
          <w:p w14:paraId="6BE39C9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2045年</w:t>
            </w:r>
          </w:p>
        </w:tc>
        <w:tc>
          <w:tcPr>
            <w:tcW w:w="717" w:type="pct"/>
            <w:tcBorders>
              <w:top w:val="single" w:color="000000" w:sz="4" w:space="0"/>
              <w:left w:val="single" w:color="000000" w:sz="4" w:space="0"/>
              <w:bottom w:val="single" w:color="000000" w:sz="4" w:space="0"/>
              <w:right w:val="single" w:color="000000" w:sz="4" w:space="0"/>
            </w:tcBorders>
            <w:noWrap/>
            <w:vAlign w:val="center"/>
          </w:tcPr>
          <w:p w14:paraId="1772F1F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2046年</w:t>
            </w:r>
          </w:p>
        </w:tc>
        <w:tc>
          <w:tcPr>
            <w:tcW w:w="772" w:type="pct"/>
            <w:tcBorders>
              <w:top w:val="single" w:color="000000" w:sz="4" w:space="0"/>
              <w:left w:val="single" w:color="000000" w:sz="4" w:space="0"/>
              <w:bottom w:val="single" w:color="000000" w:sz="4" w:space="0"/>
              <w:right w:val="single" w:color="000000" w:sz="4" w:space="0"/>
            </w:tcBorders>
            <w:noWrap/>
            <w:vAlign w:val="center"/>
          </w:tcPr>
          <w:p w14:paraId="6C5589E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2047年</w:t>
            </w:r>
          </w:p>
        </w:tc>
        <w:tc>
          <w:tcPr>
            <w:tcW w:w="862" w:type="pct"/>
            <w:tcBorders>
              <w:top w:val="single" w:color="000000" w:sz="4" w:space="0"/>
              <w:left w:val="single" w:color="000000" w:sz="4" w:space="0"/>
              <w:bottom w:val="single" w:color="000000" w:sz="4" w:space="0"/>
              <w:right w:val="single" w:color="000000" w:sz="4" w:space="0"/>
            </w:tcBorders>
            <w:noWrap/>
            <w:vAlign w:val="center"/>
          </w:tcPr>
          <w:p w14:paraId="7E60EEE2">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2048年</w:t>
            </w:r>
          </w:p>
        </w:tc>
      </w:tr>
      <w:tr w14:paraId="7324DE2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79645A99">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0457B92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0CA43ED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4EF4F42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157272B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53A0E38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r>
      <w:tr w14:paraId="4C8DC30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51C5703B">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56897B7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23FB46F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0AC61D1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C247D4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3434BCE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149804D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7D7D9894">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3D100C0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19.83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59E8D59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20.83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32B4CD9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21.83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33C6C5C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22.83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43BFF9A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23.83 </w:t>
            </w:r>
          </w:p>
        </w:tc>
      </w:tr>
      <w:tr w14:paraId="35B2804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513F1248">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02C68AD4">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0.1595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40E9E09D">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0.1454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48BFDC78">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0.1325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4202E31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0.1208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0018193C">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0.1101 </w:t>
            </w:r>
          </w:p>
        </w:tc>
      </w:tr>
      <w:tr w14:paraId="76C9847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73B4A490">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11B438D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227.34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5A99984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207.23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02AE87A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188.91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5E977A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172.21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CE9B91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156.98 </w:t>
            </w:r>
          </w:p>
        </w:tc>
      </w:tr>
    </w:tbl>
    <w:p w14:paraId="62EA043A">
      <w:pPr>
        <w:ind w:right="173" w:rightChars="51"/>
        <w:jc w:val="left"/>
        <w:rPr>
          <w:rFonts w:hint="default" w:ascii="Times New Roman" w:hAnsi="Times New Roman" w:eastAsia="宋体" w:cs="Times New Roman"/>
          <w:color w:val="auto"/>
          <w:kern w:val="0"/>
          <w:sz w:val="18"/>
          <w:szCs w:val="18"/>
          <w:highlight w:val="none"/>
        </w:rPr>
      </w:pPr>
    </w:p>
    <w:p w14:paraId="4D34465B">
      <w:pPr>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w:t>
      </w:r>
      <w:r>
        <w:rPr>
          <w:rFonts w:hint="eastAsia" w:ascii="Times New Roman" w:hAnsi="Times New Roman" w:eastAsia="宋体" w:cs="Times New Roman"/>
          <w:color w:val="auto"/>
          <w:kern w:val="0"/>
          <w:sz w:val="18"/>
          <w:szCs w:val="18"/>
          <w:highlight w:val="none"/>
          <w:lang w:val="en-US" w:eastAsia="zh-CN"/>
        </w:rPr>
        <w:t>5</w:t>
      </w:r>
      <w:r>
        <w:rPr>
          <w:rFonts w:hint="default" w:ascii="Times New Roman" w:hAnsi="Times New Roman" w:eastAsia="宋体" w:cs="Times New Roman"/>
          <w:color w:val="auto"/>
          <w:kern w:val="0"/>
          <w:sz w:val="18"/>
          <w:szCs w:val="18"/>
          <w:highlight w:val="none"/>
        </w:rPr>
        <w:t>）</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256"/>
        <w:gridCol w:w="1267"/>
        <w:gridCol w:w="1364"/>
        <w:gridCol w:w="1523"/>
      </w:tblGrid>
      <w:tr w14:paraId="5252F44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5E6A977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57508AB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2049年</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0DC419E3">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2050年</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199D684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2051年</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3E166DE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2052年</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E15B94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2053年</w:t>
            </w:r>
          </w:p>
        </w:tc>
      </w:tr>
      <w:tr w14:paraId="26B45C1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1DA5829C">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7EB3683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389D347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542DF98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6E8FF1D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6BB2112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r>
      <w:tr w14:paraId="5F8AC3C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2003AFC8">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2AA74B0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3F029C8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1DD194E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F8A933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36A51BA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49DDF92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41B31C4E">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297FD4B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24.83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37E4191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25.83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591E96B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26.83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249AB1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27.83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3E97C92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28.83 </w:t>
            </w:r>
          </w:p>
        </w:tc>
      </w:tr>
      <w:tr w14:paraId="2219D14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66C3DD3A">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20554805">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0.1004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1631FA24">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0.0915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69E46217">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0.0834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6740610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0.0760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579E5F3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0.0693 </w:t>
            </w:r>
          </w:p>
        </w:tc>
      </w:tr>
      <w:tr w14:paraId="546898A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3D198ACE">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2DFFEAB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143.10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59DEF59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130.45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16510C0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118.91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15B3EA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108.40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1D368CE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98.81 </w:t>
            </w:r>
          </w:p>
        </w:tc>
      </w:tr>
    </w:tbl>
    <w:p w14:paraId="3D9C0013">
      <w:pPr>
        <w:ind w:right="173" w:rightChars="51"/>
        <w:jc w:val="left"/>
        <w:rPr>
          <w:rFonts w:hint="default" w:ascii="Times New Roman" w:hAnsi="Times New Roman" w:eastAsia="宋体" w:cs="Times New Roman"/>
          <w:color w:val="auto"/>
          <w:kern w:val="0"/>
          <w:sz w:val="18"/>
          <w:szCs w:val="18"/>
          <w:highlight w:val="none"/>
        </w:rPr>
      </w:pPr>
    </w:p>
    <w:p w14:paraId="3C8A6329">
      <w:pPr>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w:t>
      </w:r>
      <w:r>
        <w:rPr>
          <w:rFonts w:hint="eastAsia" w:ascii="Times New Roman" w:hAnsi="Times New Roman" w:eastAsia="宋体" w:cs="Times New Roman"/>
          <w:color w:val="auto"/>
          <w:kern w:val="0"/>
          <w:sz w:val="18"/>
          <w:szCs w:val="18"/>
          <w:highlight w:val="none"/>
          <w:lang w:val="en-US" w:eastAsia="zh-CN"/>
        </w:rPr>
        <w:t>6</w:t>
      </w:r>
      <w:r>
        <w:rPr>
          <w:rFonts w:hint="default" w:ascii="Times New Roman" w:hAnsi="Times New Roman" w:eastAsia="宋体" w:cs="Times New Roman"/>
          <w:color w:val="auto"/>
          <w:kern w:val="0"/>
          <w:sz w:val="18"/>
          <w:szCs w:val="18"/>
          <w:highlight w:val="none"/>
        </w:rPr>
        <w:t>）</w:t>
      </w:r>
    </w:p>
    <w:tbl>
      <w:tblPr>
        <w:tblStyle w:val="16"/>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256"/>
        <w:gridCol w:w="1267"/>
        <w:gridCol w:w="1364"/>
        <w:gridCol w:w="1523"/>
      </w:tblGrid>
      <w:tr w14:paraId="6231E5C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09D275E1">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75A0F549">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2054年</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1758D02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2055年</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7801539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2056年</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B82DEC6">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2057年</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5245F8FE">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2058年</w:t>
            </w:r>
          </w:p>
        </w:tc>
      </w:tr>
      <w:tr w14:paraId="0D45CBC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7C2C57A5">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6099C00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6DF057D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37FC6CC5">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6BCC668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1DB5EB0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r>
      <w:tr w14:paraId="48F2A3F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0F85C9E3">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4AB6A97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1F9C66F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6B025C6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3B25798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238F84E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75774DC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2FC8991C">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27B6379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29.83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382F913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30.83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62C5B75C">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31.83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0B7352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32.83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74B3DE9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33.83 </w:t>
            </w:r>
          </w:p>
        </w:tc>
      </w:tr>
      <w:tr w14:paraId="3450535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16F68777">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2BB66575">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0.0632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07E30704">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0.0576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714DDFDC">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0.0525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72C8B4A5">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0.0479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23EA3594">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0.0436 </w:t>
            </w:r>
          </w:p>
        </w:tc>
      </w:tr>
      <w:tr w14:paraId="7667A4E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5" w:hRule="atLeast"/>
        </w:trPr>
        <w:tc>
          <w:tcPr>
            <w:tcW w:w="1141" w:type="pct"/>
            <w:tcBorders>
              <w:top w:val="single" w:color="000000" w:sz="4" w:space="0"/>
              <w:left w:val="single" w:color="000000" w:sz="4" w:space="0"/>
              <w:bottom w:val="single" w:color="000000" w:sz="4" w:space="0"/>
              <w:right w:val="single" w:color="000000" w:sz="4" w:space="0"/>
            </w:tcBorders>
            <w:noWrap/>
            <w:vAlign w:val="center"/>
          </w:tcPr>
          <w:p w14:paraId="07BD8F8D">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5C23CBE0">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90.07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2D8607F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82.11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3620245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74.85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2293EF4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68.23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15B5A03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62.20 </w:t>
            </w:r>
          </w:p>
        </w:tc>
      </w:tr>
    </w:tbl>
    <w:p w14:paraId="649D8FCB">
      <w:pPr>
        <w:ind w:right="173" w:rightChars="51"/>
        <w:jc w:val="left"/>
        <w:rPr>
          <w:rFonts w:hint="default" w:ascii="Times New Roman" w:hAnsi="Times New Roman" w:eastAsia="宋体" w:cs="Times New Roman"/>
          <w:color w:val="auto"/>
          <w:kern w:val="0"/>
          <w:sz w:val="18"/>
          <w:szCs w:val="18"/>
          <w:highlight w:val="none"/>
        </w:rPr>
      </w:pPr>
    </w:p>
    <w:p w14:paraId="632F2C51">
      <w:pPr>
        <w:ind w:right="173" w:rightChars="51"/>
        <w:jc w:val="left"/>
        <w:rPr>
          <w:rFonts w:hint="default" w:ascii="Times New Roman" w:hAnsi="Times New Roman" w:eastAsia="宋体" w:cs="Times New Roman"/>
          <w:color w:val="auto"/>
          <w:kern w:val="0"/>
          <w:sz w:val="18"/>
          <w:szCs w:val="18"/>
          <w:highlight w:val="none"/>
        </w:rPr>
      </w:pPr>
    </w:p>
    <w:p w14:paraId="65CB6AEA">
      <w:pPr>
        <w:ind w:right="173" w:rightChars="51"/>
        <w:jc w:val="left"/>
        <w:rPr>
          <w:rFonts w:hint="default" w:ascii="Times New Roman" w:hAnsi="Times New Roman" w:eastAsia="宋体" w:cs="Times New Roman"/>
          <w:color w:val="auto"/>
          <w:kern w:val="0"/>
          <w:sz w:val="18"/>
          <w:szCs w:val="18"/>
          <w:highlight w:val="none"/>
        </w:rPr>
      </w:pPr>
      <w:r>
        <w:rPr>
          <w:rFonts w:hint="default" w:ascii="Times New Roman" w:hAnsi="Times New Roman" w:eastAsia="宋体" w:cs="Times New Roman"/>
          <w:color w:val="auto"/>
          <w:kern w:val="0"/>
          <w:sz w:val="18"/>
          <w:szCs w:val="18"/>
          <w:highlight w:val="none"/>
        </w:rPr>
        <w:t>（续表</w:t>
      </w:r>
      <w:r>
        <w:rPr>
          <w:rFonts w:hint="eastAsia" w:ascii="Times New Roman" w:hAnsi="Times New Roman" w:eastAsia="宋体" w:cs="Times New Roman"/>
          <w:color w:val="auto"/>
          <w:kern w:val="0"/>
          <w:sz w:val="18"/>
          <w:szCs w:val="18"/>
          <w:highlight w:val="none"/>
          <w:lang w:val="en-US" w:eastAsia="zh-CN"/>
        </w:rPr>
        <w:t>7</w:t>
      </w:r>
      <w:r>
        <w:rPr>
          <w:rFonts w:hint="default" w:ascii="Times New Roman" w:hAnsi="Times New Roman" w:eastAsia="宋体" w:cs="Times New Roman"/>
          <w:color w:val="auto"/>
          <w:kern w:val="0"/>
          <w:sz w:val="18"/>
          <w:szCs w:val="18"/>
          <w:highlight w:val="none"/>
        </w:rPr>
        <w:t>）</w:t>
      </w:r>
    </w:p>
    <w:tbl>
      <w:tblPr>
        <w:tblStyle w:val="16"/>
        <w:tblW w:w="5790"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16"/>
        <w:gridCol w:w="1402"/>
        <w:gridCol w:w="1402"/>
        <w:gridCol w:w="1256"/>
        <w:gridCol w:w="1267"/>
        <w:gridCol w:w="1364"/>
        <w:gridCol w:w="1523"/>
      </w:tblGrid>
      <w:tr w14:paraId="5FBE91E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367AB8E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Style w:val="28"/>
                <w:rFonts w:hint="default" w:ascii="Times New Roman" w:hAnsi="Times New Roman" w:eastAsia="宋体" w:cs="Times New Roman"/>
                <w:sz w:val="18"/>
                <w:szCs w:val="18"/>
                <w:highlight w:val="none"/>
                <w:lang w:val="en-US" w:eastAsia="zh-CN" w:bidi="ar"/>
              </w:rPr>
              <w:t>项目</w:t>
            </w:r>
          </w:p>
        </w:tc>
        <w:tc>
          <w:tcPr>
            <w:tcW w:w="685" w:type="pct"/>
            <w:tcBorders>
              <w:top w:val="single" w:color="000000" w:sz="4" w:space="0"/>
              <w:left w:val="single" w:color="000000" w:sz="4" w:space="0"/>
              <w:bottom w:val="single" w:color="000000" w:sz="4" w:space="0"/>
              <w:right w:val="single" w:color="000000" w:sz="4" w:space="0"/>
            </w:tcBorders>
            <w:noWrap/>
            <w:vAlign w:val="center"/>
          </w:tcPr>
          <w:p w14:paraId="67C01C5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2059年</w:t>
            </w:r>
          </w:p>
        </w:tc>
        <w:tc>
          <w:tcPr>
            <w:tcW w:w="685" w:type="pct"/>
            <w:tcBorders>
              <w:top w:val="single" w:color="000000" w:sz="4" w:space="0"/>
              <w:left w:val="single" w:color="000000" w:sz="4" w:space="0"/>
              <w:bottom w:val="single" w:color="000000" w:sz="4" w:space="0"/>
              <w:right w:val="single" w:color="000000" w:sz="4" w:space="0"/>
            </w:tcBorders>
            <w:noWrap/>
            <w:vAlign w:val="center"/>
          </w:tcPr>
          <w:p w14:paraId="6AC2292F">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2060年</w:t>
            </w:r>
          </w:p>
        </w:tc>
        <w:tc>
          <w:tcPr>
            <w:tcW w:w="613" w:type="pct"/>
            <w:tcBorders>
              <w:top w:val="single" w:color="000000" w:sz="4" w:space="0"/>
              <w:left w:val="single" w:color="000000" w:sz="4" w:space="0"/>
              <w:bottom w:val="single" w:color="000000" w:sz="4" w:space="0"/>
              <w:right w:val="single" w:color="000000" w:sz="4" w:space="0"/>
            </w:tcBorders>
            <w:noWrap/>
            <w:vAlign w:val="center"/>
          </w:tcPr>
          <w:p w14:paraId="30872EAB">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2061年</w:t>
            </w:r>
          </w:p>
        </w:tc>
        <w:tc>
          <w:tcPr>
            <w:tcW w:w="619" w:type="pct"/>
            <w:tcBorders>
              <w:top w:val="single" w:color="000000" w:sz="4" w:space="0"/>
              <w:left w:val="single" w:color="000000" w:sz="4" w:space="0"/>
              <w:bottom w:val="single" w:color="000000" w:sz="4" w:space="0"/>
              <w:right w:val="single" w:color="000000" w:sz="4" w:space="0"/>
            </w:tcBorders>
            <w:noWrap/>
            <w:vAlign w:val="center"/>
          </w:tcPr>
          <w:p w14:paraId="7F82B51C">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2062年</w:t>
            </w:r>
          </w:p>
        </w:tc>
        <w:tc>
          <w:tcPr>
            <w:tcW w:w="666" w:type="pct"/>
            <w:tcBorders>
              <w:top w:val="single" w:color="000000" w:sz="4" w:space="0"/>
              <w:left w:val="single" w:color="000000" w:sz="4" w:space="0"/>
              <w:bottom w:val="single" w:color="000000" w:sz="4" w:space="0"/>
              <w:right w:val="single" w:color="000000" w:sz="4" w:space="0"/>
            </w:tcBorders>
            <w:noWrap/>
            <w:vAlign w:val="center"/>
          </w:tcPr>
          <w:p w14:paraId="6EDE50D5">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2063年</w:t>
            </w:r>
          </w:p>
        </w:tc>
        <w:tc>
          <w:tcPr>
            <w:tcW w:w="744" w:type="pct"/>
            <w:tcBorders>
              <w:top w:val="single" w:color="000000" w:sz="4" w:space="0"/>
              <w:left w:val="single" w:color="000000" w:sz="4" w:space="0"/>
              <w:bottom w:val="single" w:color="000000" w:sz="4" w:space="0"/>
              <w:right w:val="single" w:color="000000" w:sz="4" w:space="0"/>
            </w:tcBorders>
            <w:noWrap/>
            <w:vAlign w:val="center"/>
          </w:tcPr>
          <w:p w14:paraId="0F623157">
            <w:pPr>
              <w:keepNext w:val="0"/>
              <w:keepLines w:val="0"/>
              <w:widowControl/>
              <w:suppressLineNumbers w:val="0"/>
              <w:jc w:val="center"/>
              <w:textAlignment w:val="center"/>
              <w:rPr>
                <w:rFonts w:hint="default" w:ascii="Times New Roman" w:hAnsi="Times New Roman" w:eastAsia="宋体" w:cs="Times New Roman"/>
                <w:i w:val="0"/>
                <w:iCs w:val="0"/>
                <w:color w:val="000000"/>
                <w:sz w:val="18"/>
                <w:szCs w:val="18"/>
                <w:highlight w:val="none"/>
                <w:u w:val="none"/>
              </w:rPr>
            </w:pPr>
            <w:r>
              <w:rPr>
                <w:rFonts w:hint="default" w:ascii="Times New Roman" w:hAnsi="Times New Roman" w:eastAsia="宋体" w:cs="Times New Roman"/>
                <w:i w:val="0"/>
                <w:iCs w:val="0"/>
                <w:color w:val="000000"/>
                <w:kern w:val="0"/>
                <w:sz w:val="18"/>
                <w:szCs w:val="18"/>
                <w:highlight w:val="none"/>
                <w:u w:val="none"/>
                <w:lang w:val="en-US" w:eastAsia="zh-CN" w:bidi="ar"/>
              </w:rPr>
              <w:t>2064</w:t>
            </w:r>
            <w:r>
              <w:rPr>
                <w:rFonts w:hint="eastAsia" w:ascii="宋体" w:hAnsi="宋体" w:eastAsia="宋体" w:cs="宋体"/>
                <w:i w:val="0"/>
                <w:iCs w:val="0"/>
                <w:color w:val="000000"/>
                <w:kern w:val="0"/>
                <w:sz w:val="18"/>
                <w:szCs w:val="18"/>
                <w:highlight w:val="none"/>
                <w:u w:val="none"/>
                <w:lang w:val="en-US" w:eastAsia="zh-CN" w:bidi="ar"/>
              </w:rPr>
              <w:t>年</w:t>
            </w:r>
            <w:r>
              <w:rPr>
                <w:rFonts w:hint="default" w:ascii="Times New Roman" w:hAnsi="Times New Roman" w:eastAsia="宋体" w:cs="Times New Roman"/>
                <w:i w:val="0"/>
                <w:iCs w:val="0"/>
                <w:color w:val="000000"/>
                <w:kern w:val="0"/>
                <w:sz w:val="18"/>
                <w:szCs w:val="18"/>
                <w:highlight w:val="none"/>
                <w:u w:val="none"/>
                <w:lang w:val="en-US" w:eastAsia="zh-CN" w:bidi="ar"/>
              </w:rPr>
              <w:t>1-8</w:t>
            </w:r>
            <w:r>
              <w:rPr>
                <w:rFonts w:hint="eastAsia" w:ascii="宋体" w:hAnsi="宋体" w:eastAsia="宋体" w:cs="宋体"/>
                <w:i w:val="0"/>
                <w:iCs w:val="0"/>
                <w:color w:val="000000"/>
                <w:kern w:val="0"/>
                <w:sz w:val="18"/>
                <w:szCs w:val="18"/>
                <w:highlight w:val="none"/>
                <w:u w:val="none"/>
                <w:lang w:val="en-US" w:eastAsia="zh-CN" w:bidi="ar"/>
              </w:rPr>
              <w:t>月</w:t>
            </w:r>
          </w:p>
        </w:tc>
      </w:tr>
      <w:tr w14:paraId="5A296E0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46802105">
            <w:pPr>
              <w:keepNext w:val="0"/>
              <w:keepLines w:val="0"/>
              <w:widowControl/>
              <w:suppressLineNumbers w:val="0"/>
              <w:jc w:val="left"/>
              <w:textAlignment w:val="center"/>
              <w:rPr>
                <w:rStyle w:val="28"/>
                <w:rFonts w:hint="default" w:ascii="Times New Roman" w:hAnsi="Times New Roman" w:eastAsia="宋体" w:cs="Times New Roman"/>
                <w:sz w:val="18"/>
                <w:szCs w:val="18"/>
                <w:highlight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净现金流</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355FBB4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32E8C07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280DD0C4">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59F498E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62D425A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1,425.49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773D79E6">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950.33 </w:t>
            </w:r>
          </w:p>
        </w:tc>
      </w:tr>
      <w:tr w14:paraId="3F38C87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4D9102FF">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折现率</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44C199D1">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163616D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2250F5F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2CA6419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544921A3">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58460F9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9.70%</w:t>
            </w:r>
          </w:p>
        </w:tc>
      </w:tr>
      <w:tr w14:paraId="6FBEEE6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02B59EF0">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折现期</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4711037F">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34.83 </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5DDF0E6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35.83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667D2B7B">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36.83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4B722257">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37.83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4C7B064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38.83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5FCFEEB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39.16 </w:t>
            </w:r>
          </w:p>
        </w:tc>
      </w:tr>
      <w:tr w14:paraId="7060E8D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08B99269">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折现系数</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5EB6DF1F">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0.0398 </w:t>
            </w:r>
          </w:p>
        </w:tc>
        <w:tc>
          <w:tcPr>
            <w:tcW w:w="1402" w:type="dxa"/>
            <w:tcBorders>
              <w:top w:val="single" w:color="000000" w:sz="4" w:space="0"/>
              <w:left w:val="single" w:color="000000" w:sz="4" w:space="0"/>
              <w:bottom w:val="single" w:color="000000" w:sz="4" w:space="0"/>
              <w:right w:val="single" w:color="000000" w:sz="4" w:space="0"/>
            </w:tcBorders>
            <w:noWrap/>
            <w:vAlign w:val="bottom"/>
          </w:tcPr>
          <w:p w14:paraId="08E6899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0.0363 </w:t>
            </w:r>
          </w:p>
        </w:tc>
        <w:tc>
          <w:tcPr>
            <w:tcW w:w="1256" w:type="dxa"/>
            <w:tcBorders>
              <w:top w:val="single" w:color="000000" w:sz="4" w:space="0"/>
              <w:left w:val="single" w:color="000000" w:sz="4" w:space="0"/>
              <w:bottom w:val="single" w:color="000000" w:sz="4" w:space="0"/>
              <w:right w:val="single" w:color="000000" w:sz="4" w:space="0"/>
            </w:tcBorders>
            <w:noWrap/>
            <w:vAlign w:val="bottom"/>
          </w:tcPr>
          <w:p w14:paraId="0733996C">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0.0331 </w:t>
            </w:r>
          </w:p>
        </w:tc>
        <w:tc>
          <w:tcPr>
            <w:tcW w:w="1267" w:type="dxa"/>
            <w:tcBorders>
              <w:top w:val="single" w:color="000000" w:sz="4" w:space="0"/>
              <w:left w:val="single" w:color="000000" w:sz="4" w:space="0"/>
              <w:bottom w:val="single" w:color="000000" w:sz="4" w:space="0"/>
              <w:right w:val="single" w:color="000000" w:sz="4" w:space="0"/>
            </w:tcBorders>
            <w:noWrap/>
            <w:vAlign w:val="bottom"/>
          </w:tcPr>
          <w:p w14:paraId="6F4EB193">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0.0301 </w:t>
            </w:r>
          </w:p>
        </w:tc>
        <w:tc>
          <w:tcPr>
            <w:tcW w:w="1364" w:type="dxa"/>
            <w:tcBorders>
              <w:top w:val="single" w:color="000000" w:sz="4" w:space="0"/>
              <w:left w:val="single" w:color="000000" w:sz="4" w:space="0"/>
              <w:bottom w:val="single" w:color="000000" w:sz="4" w:space="0"/>
              <w:right w:val="single" w:color="000000" w:sz="4" w:space="0"/>
            </w:tcBorders>
            <w:noWrap/>
            <w:vAlign w:val="bottom"/>
          </w:tcPr>
          <w:p w14:paraId="116E6985">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0.0275 </w:t>
            </w:r>
          </w:p>
        </w:tc>
        <w:tc>
          <w:tcPr>
            <w:tcW w:w="1523" w:type="dxa"/>
            <w:tcBorders>
              <w:top w:val="single" w:color="000000" w:sz="4" w:space="0"/>
              <w:left w:val="single" w:color="000000" w:sz="4" w:space="0"/>
              <w:bottom w:val="single" w:color="000000" w:sz="4" w:space="0"/>
              <w:right w:val="single" w:color="000000" w:sz="4" w:space="0"/>
            </w:tcBorders>
            <w:noWrap/>
            <w:vAlign w:val="bottom"/>
          </w:tcPr>
          <w:p w14:paraId="368282B9">
            <w:pPr>
              <w:keepNext w:val="0"/>
              <w:keepLines w:val="0"/>
              <w:widowControl/>
              <w:suppressLineNumbers w:val="0"/>
              <w:jc w:val="center"/>
              <w:textAlignment w:val="bottom"/>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0.0266 </w:t>
            </w:r>
          </w:p>
        </w:tc>
      </w:tr>
      <w:tr w14:paraId="60135EF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5192EAF0">
            <w:pPr>
              <w:keepNext w:val="0"/>
              <w:keepLines w:val="0"/>
              <w:widowControl/>
              <w:suppressLineNumbers w:val="0"/>
              <w:jc w:val="lef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highlight w:val="none"/>
                <w:u w:val="none"/>
                <w:lang w:val="en-US" w:eastAsia="zh-CN" w:bidi="ar"/>
              </w:rPr>
              <w:t>折现值</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608AED69">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56.70 </w:t>
            </w:r>
          </w:p>
        </w:tc>
        <w:tc>
          <w:tcPr>
            <w:tcW w:w="1402" w:type="dxa"/>
            <w:tcBorders>
              <w:top w:val="single" w:color="000000" w:sz="4" w:space="0"/>
              <w:left w:val="single" w:color="000000" w:sz="4" w:space="0"/>
              <w:bottom w:val="single" w:color="000000" w:sz="4" w:space="0"/>
              <w:right w:val="single" w:color="000000" w:sz="4" w:space="0"/>
            </w:tcBorders>
            <w:noWrap/>
            <w:vAlign w:val="center"/>
          </w:tcPr>
          <w:p w14:paraId="2E4E36E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51.68 </w:t>
            </w:r>
          </w:p>
        </w:tc>
        <w:tc>
          <w:tcPr>
            <w:tcW w:w="1256" w:type="dxa"/>
            <w:tcBorders>
              <w:top w:val="single" w:color="000000" w:sz="4" w:space="0"/>
              <w:left w:val="single" w:color="000000" w:sz="4" w:space="0"/>
              <w:bottom w:val="single" w:color="000000" w:sz="4" w:space="0"/>
              <w:right w:val="single" w:color="000000" w:sz="4" w:space="0"/>
            </w:tcBorders>
            <w:noWrap/>
            <w:vAlign w:val="center"/>
          </w:tcPr>
          <w:p w14:paraId="6540C14E">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47.11 </w:t>
            </w:r>
          </w:p>
        </w:tc>
        <w:tc>
          <w:tcPr>
            <w:tcW w:w="1267" w:type="dxa"/>
            <w:tcBorders>
              <w:top w:val="single" w:color="000000" w:sz="4" w:space="0"/>
              <w:left w:val="single" w:color="000000" w:sz="4" w:space="0"/>
              <w:bottom w:val="single" w:color="000000" w:sz="4" w:space="0"/>
              <w:right w:val="single" w:color="000000" w:sz="4" w:space="0"/>
            </w:tcBorders>
            <w:noWrap/>
            <w:vAlign w:val="center"/>
          </w:tcPr>
          <w:p w14:paraId="75FDD802">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42.95 </w:t>
            </w:r>
          </w:p>
        </w:tc>
        <w:tc>
          <w:tcPr>
            <w:tcW w:w="1364" w:type="dxa"/>
            <w:tcBorders>
              <w:top w:val="single" w:color="000000" w:sz="4" w:space="0"/>
              <w:left w:val="single" w:color="000000" w:sz="4" w:space="0"/>
              <w:bottom w:val="single" w:color="000000" w:sz="4" w:space="0"/>
              <w:right w:val="single" w:color="000000" w:sz="4" w:space="0"/>
            </w:tcBorders>
            <w:noWrap/>
            <w:vAlign w:val="center"/>
          </w:tcPr>
          <w:p w14:paraId="65613FA8">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39.15 </w:t>
            </w:r>
          </w:p>
        </w:tc>
        <w:tc>
          <w:tcPr>
            <w:tcW w:w="1523" w:type="dxa"/>
            <w:tcBorders>
              <w:top w:val="single" w:color="000000" w:sz="4" w:space="0"/>
              <w:left w:val="single" w:color="000000" w:sz="4" w:space="0"/>
              <w:bottom w:val="single" w:color="000000" w:sz="4" w:space="0"/>
              <w:right w:val="single" w:color="000000" w:sz="4" w:space="0"/>
            </w:tcBorders>
            <w:noWrap/>
            <w:vAlign w:val="center"/>
          </w:tcPr>
          <w:p w14:paraId="3E56535D">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r>
              <w:rPr>
                <w:rFonts w:hint="default" w:ascii="Times New Roman" w:hAnsi="Times New Roman" w:eastAsia="宋体" w:cs="Times New Roman"/>
                <w:i w:val="0"/>
                <w:iCs w:val="0"/>
                <w:color w:val="000000"/>
                <w:kern w:val="0"/>
                <w:sz w:val="18"/>
                <w:szCs w:val="18"/>
                <w:u w:val="none"/>
                <w:lang w:val="en-US" w:eastAsia="zh-CN" w:bidi="ar"/>
              </w:rPr>
              <w:t xml:space="preserve">25.32 </w:t>
            </w:r>
          </w:p>
        </w:tc>
      </w:tr>
      <w:tr w14:paraId="5FE3950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3" w:hRule="atLeast"/>
          <w:jc w:val="center"/>
        </w:trPr>
        <w:tc>
          <w:tcPr>
            <w:tcW w:w="985" w:type="pct"/>
            <w:tcBorders>
              <w:top w:val="single" w:color="000000" w:sz="4" w:space="0"/>
              <w:left w:val="single" w:color="000000" w:sz="4" w:space="0"/>
              <w:bottom w:val="single" w:color="000000" w:sz="4" w:space="0"/>
              <w:right w:val="single" w:color="000000" w:sz="4" w:space="0"/>
            </w:tcBorders>
            <w:noWrap/>
            <w:vAlign w:val="center"/>
          </w:tcPr>
          <w:p w14:paraId="6BCB17AF">
            <w:pPr>
              <w:keepNext w:val="0"/>
              <w:keepLines w:val="0"/>
              <w:widowControl/>
              <w:suppressLineNumbers w:val="0"/>
              <w:jc w:val="left"/>
              <w:textAlignment w:val="center"/>
              <w:rPr>
                <w:rFonts w:hint="eastAsia" w:ascii="Times New Roman" w:hAnsi="Times New Roman" w:eastAsia="宋体" w:cs="Times New Roman"/>
                <w:i w:val="0"/>
                <w:iCs w:val="0"/>
                <w:color w:val="000000"/>
                <w:kern w:val="2"/>
                <w:sz w:val="20"/>
                <w:szCs w:val="20"/>
                <w:highlight w:val="none"/>
                <w:u w:val="none"/>
                <w:lang w:val="en-US" w:eastAsia="zh-CN" w:bidi="ar-SA"/>
              </w:rPr>
            </w:pPr>
            <w:r>
              <w:rPr>
                <w:rFonts w:hint="default" w:ascii="Times New Roman" w:hAnsi="Times New Roman" w:eastAsia="宋体" w:cs="Times New Roman"/>
                <w:i w:val="0"/>
                <w:iCs w:val="0"/>
                <w:color w:val="000000"/>
                <w:kern w:val="0"/>
                <w:sz w:val="18"/>
                <w:szCs w:val="18"/>
                <w:highlight w:val="none"/>
                <w:u w:val="none"/>
                <w:lang w:val="en-US" w:eastAsia="zh-CN" w:bidi="ar"/>
              </w:rPr>
              <w:t>评估值</w:t>
            </w:r>
          </w:p>
        </w:tc>
        <w:tc>
          <w:tcPr>
            <w:tcW w:w="68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8030AA">
            <w:pPr>
              <w:keepNext w:val="0"/>
              <w:keepLines w:val="0"/>
              <w:widowControl/>
              <w:suppressLineNumbers w:val="0"/>
              <w:jc w:val="center"/>
              <w:textAlignment w:val="center"/>
              <w:rPr>
                <w:rFonts w:hint="default" w:ascii="Times New Roman" w:hAnsi="Times New Roman" w:eastAsia="宋体" w:cs="Times New Roman"/>
                <w:i w:val="0"/>
                <w:iCs w:val="0"/>
                <w:color w:val="000000"/>
                <w:kern w:val="0"/>
                <w:sz w:val="18"/>
                <w:szCs w:val="18"/>
                <w:u w:val="none"/>
                <w:lang w:val="en-US" w:eastAsia="zh-CN" w:bidi="ar-SA"/>
              </w:rPr>
            </w:pPr>
            <w:r>
              <w:rPr>
                <w:rFonts w:hint="eastAsia" w:ascii="Times New Roman" w:cs="Times New Roman"/>
                <w:i w:val="0"/>
                <w:iCs w:val="0"/>
                <w:color w:val="000000"/>
                <w:kern w:val="0"/>
                <w:sz w:val="18"/>
                <w:szCs w:val="18"/>
                <w:u w:val="none"/>
                <w:lang w:val="en-US" w:eastAsia="zh-CN" w:bidi="ar"/>
              </w:rPr>
              <w:t>13,963.70</w:t>
            </w:r>
            <w:r>
              <w:rPr>
                <w:rFonts w:hint="default" w:ascii="Times New Roman" w:hAnsi="Times New Roman" w:eastAsia="宋体" w:cs="Times New Roman"/>
                <w:i w:val="0"/>
                <w:iCs w:val="0"/>
                <w:color w:val="000000"/>
                <w:kern w:val="0"/>
                <w:sz w:val="18"/>
                <w:szCs w:val="18"/>
                <w:u w:val="none"/>
                <w:lang w:val="en-US" w:eastAsia="zh-CN" w:bidi="ar"/>
              </w:rPr>
              <w:t xml:space="preserve"> </w:t>
            </w:r>
          </w:p>
        </w:tc>
        <w:tc>
          <w:tcPr>
            <w:tcW w:w="685" w:type="pct"/>
            <w:tcBorders>
              <w:top w:val="single" w:color="000000" w:sz="4" w:space="0"/>
              <w:left w:val="single" w:color="000000" w:sz="4" w:space="0"/>
              <w:bottom w:val="single" w:color="000000" w:sz="4" w:space="0"/>
              <w:right w:val="single" w:color="000000" w:sz="4" w:space="0"/>
            </w:tcBorders>
            <w:noWrap/>
            <w:vAlign w:val="center"/>
          </w:tcPr>
          <w:p w14:paraId="2BB49CF3">
            <w:pPr>
              <w:keepNext w:val="0"/>
              <w:keepLines w:val="0"/>
              <w:widowControl/>
              <w:suppressLineNumbers w:val="0"/>
              <w:jc w:val="righ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p>
        </w:tc>
        <w:tc>
          <w:tcPr>
            <w:tcW w:w="613" w:type="pct"/>
            <w:tcBorders>
              <w:top w:val="single" w:color="000000" w:sz="4" w:space="0"/>
              <w:left w:val="single" w:color="000000" w:sz="4" w:space="0"/>
              <w:bottom w:val="single" w:color="000000" w:sz="4" w:space="0"/>
              <w:right w:val="single" w:color="000000" w:sz="4" w:space="0"/>
            </w:tcBorders>
            <w:noWrap/>
            <w:vAlign w:val="center"/>
          </w:tcPr>
          <w:p w14:paraId="1CDF5345">
            <w:pPr>
              <w:keepNext w:val="0"/>
              <w:keepLines w:val="0"/>
              <w:widowControl/>
              <w:suppressLineNumbers w:val="0"/>
              <w:jc w:val="righ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p>
        </w:tc>
        <w:tc>
          <w:tcPr>
            <w:tcW w:w="619" w:type="pct"/>
            <w:tcBorders>
              <w:top w:val="single" w:color="000000" w:sz="4" w:space="0"/>
              <w:left w:val="single" w:color="000000" w:sz="4" w:space="0"/>
              <w:bottom w:val="single" w:color="000000" w:sz="4" w:space="0"/>
              <w:right w:val="single" w:color="000000" w:sz="4" w:space="0"/>
            </w:tcBorders>
            <w:noWrap/>
            <w:vAlign w:val="center"/>
          </w:tcPr>
          <w:p w14:paraId="0BBC920C">
            <w:pPr>
              <w:keepNext w:val="0"/>
              <w:keepLines w:val="0"/>
              <w:widowControl/>
              <w:suppressLineNumbers w:val="0"/>
              <w:jc w:val="righ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p>
        </w:tc>
        <w:tc>
          <w:tcPr>
            <w:tcW w:w="666" w:type="pct"/>
            <w:tcBorders>
              <w:top w:val="single" w:color="000000" w:sz="4" w:space="0"/>
              <w:left w:val="single" w:color="000000" w:sz="4" w:space="0"/>
              <w:bottom w:val="single" w:color="000000" w:sz="4" w:space="0"/>
              <w:right w:val="single" w:color="000000" w:sz="4" w:space="0"/>
            </w:tcBorders>
            <w:noWrap/>
            <w:vAlign w:val="center"/>
          </w:tcPr>
          <w:p w14:paraId="6E1967D5">
            <w:pPr>
              <w:keepNext w:val="0"/>
              <w:keepLines w:val="0"/>
              <w:widowControl/>
              <w:suppressLineNumbers w:val="0"/>
              <w:jc w:val="righ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p>
        </w:tc>
        <w:tc>
          <w:tcPr>
            <w:tcW w:w="744" w:type="pct"/>
            <w:tcBorders>
              <w:top w:val="single" w:color="000000" w:sz="4" w:space="0"/>
              <w:left w:val="single" w:color="000000" w:sz="4" w:space="0"/>
              <w:bottom w:val="single" w:color="000000" w:sz="4" w:space="0"/>
              <w:right w:val="single" w:color="000000" w:sz="4" w:space="0"/>
            </w:tcBorders>
            <w:noWrap/>
            <w:vAlign w:val="center"/>
          </w:tcPr>
          <w:p w14:paraId="5118E7A8">
            <w:pPr>
              <w:keepNext w:val="0"/>
              <w:keepLines w:val="0"/>
              <w:widowControl/>
              <w:suppressLineNumbers w:val="0"/>
              <w:jc w:val="right"/>
              <w:textAlignment w:val="center"/>
              <w:rPr>
                <w:rFonts w:hint="default" w:ascii="Times New Roman" w:hAnsi="Times New Roman" w:eastAsia="宋体" w:cs="Times New Roman"/>
                <w:i w:val="0"/>
                <w:iCs w:val="0"/>
                <w:color w:val="000000"/>
                <w:kern w:val="0"/>
                <w:sz w:val="18"/>
                <w:szCs w:val="18"/>
                <w:highlight w:val="none"/>
                <w:u w:val="none"/>
                <w:lang w:val="en-US" w:eastAsia="zh-CN" w:bidi="ar"/>
              </w:rPr>
            </w:pPr>
          </w:p>
        </w:tc>
      </w:tr>
    </w:tbl>
    <w:p w14:paraId="7AFC8A2A">
      <w:pPr>
        <w:pStyle w:val="5"/>
        <w:spacing w:line="360" w:lineRule="auto"/>
        <w:ind w:firstLine="560" w:firstLineChars="200"/>
        <w:rPr>
          <w:rFonts w:hint="default" w:ascii="Times New Roman" w:hAnsi="Times New Roman" w:eastAsia="仿宋" w:cs="Times New Roman"/>
          <w:sz w:val="28"/>
          <w:szCs w:val="28"/>
          <w:lang w:val="en-US" w:eastAsia="zh-CN"/>
        </w:rPr>
        <w:sectPr>
          <w:footerReference r:id="rId8" w:type="default"/>
          <w:pgSz w:w="11906" w:h="16838"/>
          <w:pgMar w:top="1419" w:right="1588" w:bottom="1418" w:left="1588" w:header="935" w:footer="851" w:gutter="113"/>
          <w:cols w:space="720" w:num="1"/>
          <w:docGrid w:linePitch="380" w:charSpace="-5735"/>
        </w:sectPr>
      </w:pPr>
    </w:p>
    <w:p w14:paraId="19927AAB">
      <w:pPr>
        <w:pStyle w:val="2"/>
        <w:spacing w:line="360" w:lineRule="auto"/>
        <w:ind w:leftChars="0" w:firstLine="2240" w:firstLineChars="700"/>
        <w:rPr>
          <w:rFonts w:hint="default" w:ascii="Times New Roman" w:hAnsi="Times New Roman" w:eastAsia="仿宋_GB2312" w:cs="Times New Roman"/>
          <w:b/>
          <w:bCs/>
          <w:szCs w:val="32"/>
          <w:highlight w:val="none"/>
          <w:lang w:val="en-US" w:eastAsia="zh-CN"/>
        </w:rPr>
      </w:pPr>
      <w:bookmarkStart w:id="283" w:name="_Toc19271"/>
      <w:bookmarkStart w:id="284" w:name="_Toc10417"/>
      <w:bookmarkStart w:id="285" w:name="_Toc8095"/>
      <w:bookmarkStart w:id="286" w:name="_Toc26728"/>
      <w:bookmarkStart w:id="287" w:name="_Toc26942"/>
      <w:bookmarkStart w:id="288" w:name="_Toc15960"/>
      <w:bookmarkStart w:id="289" w:name="_Toc14875"/>
      <w:bookmarkStart w:id="290" w:name="_Toc22343"/>
      <w:bookmarkStart w:id="291" w:name="_Toc24426"/>
      <w:bookmarkStart w:id="292" w:name="_Toc30250"/>
      <w:bookmarkStart w:id="293" w:name="_Toc19488"/>
      <w:bookmarkStart w:id="294" w:name="_Toc18835"/>
      <w:bookmarkStart w:id="295" w:name="_Toc21289"/>
      <w:bookmarkStart w:id="296" w:name="_Toc21853"/>
      <w:bookmarkStart w:id="297" w:name="_Toc32111"/>
      <w:bookmarkStart w:id="298" w:name="_Toc19613"/>
      <w:bookmarkStart w:id="299" w:name="_Toc17310"/>
      <w:bookmarkStart w:id="300" w:name="_Toc1573"/>
      <w:bookmarkStart w:id="301" w:name="_Toc30624"/>
      <w:bookmarkStart w:id="302" w:name="_Toc32076"/>
      <w:bookmarkStart w:id="303" w:name="_Toc17877"/>
      <w:bookmarkStart w:id="304" w:name="_Toc21904"/>
      <w:bookmarkStart w:id="305" w:name="_Toc25919"/>
      <w:bookmarkStart w:id="306" w:name="_Toc21383"/>
      <w:bookmarkStart w:id="307" w:name="_Toc18429"/>
      <w:bookmarkStart w:id="308" w:name="_Toc19367"/>
      <w:bookmarkStart w:id="309" w:name="_Toc13463"/>
      <w:bookmarkStart w:id="310" w:name="_Toc29140"/>
      <w:bookmarkStart w:id="311" w:name="_Toc31826"/>
      <w:bookmarkStart w:id="312" w:name="_Toc30580"/>
      <w:bookmarkStart w:id="313" w:name="_Toc1604"/>
      <w:bookmarkStart w:id="314" w:name="_Toc2733"/>
      <w:bookmarkStart w:id="315" w:name="_Toc9455"/>
      <w:bookmarkStart w:id="316" w:name="_Toc26881"/>
      <w:bookmarkStart w:id="317" w:name="_Toc30549"/>
      <w:bookmarkStart w:id="318" w:name="_Toc13344"/>
      <w:bookmarkStart w:id="319" w:name="_Toc32208"/>
      <w:bookmarkStart w:id="320" w:name="_Toc28759"/>
      <w:r>
        <w:rPr>
          <w:rFonts w:hint="default" w:ascii="Times New Roman" w:hAnsi="Times New Roman" w:eastAsia="黑体" w:cs="Times New Roman"/>
          <w:sz w:val="32"/>
          <w:szCs w:val="32"/>
          <w:highlight w:val="none"/>
          <w:lang w:val="en-US" w:eastAsia="zh-CN"/>
        </w:rPr>
        <w:t>第四部分  评估结论及分析</w:t>
      </w:r>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bookmarkEnd w:id="316"/>
      <w:bookmarkEnd w:id="317"/>
      <w:bookmarkEnd w:id="318"/>
      <w:bookmarkEnd w:id="319"/>
      <w:bookmarkEnd w:id="320"/>
    </w:p>
    <w:p w14:paraId="794B3272">
      <w:pPr>
        <w:ind w:firstLine="560" w:firstLineChars="200"/>
      </w:pPr>
      <w:r>
        <w:rPr>
          <w:rFonts w:hint="default" w:ascii="Times New Roman" w:hAnsi="Times New Roman" w:eastAsia="仿宋_GB2312" w:cs="Times New Roman"/>
          <w:kern w:val="2"/>
          <w:sz w:val="28"/>
          <w:szCs w:val="28"/>
          <w:highlight w:val="none"/>
        </w:rPr>
        <w:t>河北财瑞资产评估有限公司</w:t>
      </w:r>
      <w:r>
        <w:rPr>
          <w:rFonts w:hint="eastAsia" w:ascii="Times New Roman" w:eastAsia="仿宋_GB2312" w:cs="Times New Roman"/>
          <w:kern w:val="2"/>
          <w:sz w:val="28"/>
          <w:szCs w:val="28"/>
          <w:highlight w:val="none"/>
          <w:lang w:eastAsia="zh-CN"/>
        </w:rPr>
        <w:t>接受临漳县水利局的委托</w:t>
      </w:r>
      <w:r>
        <w:rPr>
          <w:rFonts w:hint="default" w:ascii="Times New Roman" w:hAnsi="Times New Roman" w:eastAsia="仿宋_GB2312" w:cs="Times New Roman"/>
          <w:kern w:val="2"/>
          <w:sz w:val="28"/>
          <w:szCs w:val="28"/>
          <w:highlight w:val="none"/>
        </w:rPr>
        <w:t>，根据有关法律、法规和资产评估准则，遵循独立、客观、公正的原则，采用</w:t>
      </w:r>
      <w:r>
        <w:rPr>
          <w:rFonts w:hint="eastAsia" w:ascii="Times New Roman" w:eastAsia="仿宋_GB2312" w:cs="Times New Roman"/>
          <w:kern w:val="2"/>
          <w:sz w:val="28"/>
          <w:szCs w:val="28"/>
          <w:highlight w:val="none"/>
          <w:lang w:val="en-US" w:eastAsia="zh-CN"/>
        </w:rPr>
        <w:t>收益法</w:t>
      </w:r>
      <w:r>
        <w:rPr>
          <w:rFonts w:hint="default" w:ascii="Times New Roman" w:hAnsi="Times New Roman" w:eastAsia="仿宋_GB2312" w:cs="Times New Roman"/>
          <w:kern w:val="2"/>
          <w:sz w:val="28"/>
          <w:szCs w:val="28"/>
          <w:highlight w:val="none"/>
        </w:rPr>
        <w:t>按照必要的评估程序，对</w:t>
      </w:r>
      <w:r>
        <w:rPr>
          <w:rFonts w:hint="eastAsia" w:ascii="Times New Roman" w:eastAsia="仿宋_GB2312" w:cs="Times New Roman"/>
          <w:kern w:val="2"/>
          <w:sz w:val="28"/>
          <w:szCs w:val="28"/>
          <w:highlight w:val="none"/>
          <w:lang w:eastAsia="zh-CN"/>
        </w:rPr>
        <w:t>临漳县40年供水经营权</w:t>
      </w:r>
      <w:r>
        <w:rPr>
          <w:rFonts w:hint="default" w:ascii="Times New Roman" w:hAnsi="Times New Roman" w:eastAsia="仿宋_GB2312" w:cs="Times New Roman"/>
          <w:kern w:val="2"/>
          <w:sz w:val="28"/>
          <w:szCs w:val="28"/>
          <w:highlight w:val="none"/>
        </w:rPr>
        <w:t>在</w:t>
      </w:r>
      <w:r>
        <w:rPr>
          <w:rFonts w:hint="eastAsia" w:ascii="Times New Roman" w:eastAsia="仿宋_GB2312" w:cs="Times New Roman"/>
          <w:kern w:val="2"/>
          <w:sz w:val="28"/>
          <w:szCs w:val="28"/>
          <w:highlight w:val="none"/>
          <w:lang w:eastAsia="zh-CN"/>
        </w:rPr>
        <w:t>2024年8月31日</w:t>
      </w:r>
      <w:r>
        <w:rPr>
          <w:rFonts w:hint="default" w:ascii="Times New Roman" w:hAnsi="Times New Roman" w:eastAsia="仿宋_GB2312" w:cs="Times New Roman"/>
          <w:kern w:val="2"/>
          <w:sz w:val="28"/>
          <w:szCs w:val="28"/>
          <w:highlight w:val="none"/>
        </w:rPr>
        <w:t>的市场价值进行了评估。根据以上评估工作，得出</w:t>
      </w:r>
      <w:r>
        <w:rPr>
          <w:rFonts w:hint="eastAsia" w:ascii="Times New Roman" w:eastAsia="仿宋_GB2312" w:cs="Times New Roman"/>
          <w:kern w:val="2"/>
          <w:sz w:val="28"/>
          <w:szCs w:val="28"/>
          <w:highlight w:val="none"/>
          <w:lang w:eastAsia="zh-CN"/>
        </w:rPr>
        <w:t>临漳县水利局</w:t>
      </w:r>
      <w:r>
        <w:rPr>
          <w:rFonts w:hint="default" w:ascii="Times New Roman" w:hAnsi="Times New Roman" w:eastAsia="仿宋_GB2312" w:cs="Times New Roman"/>
          <w:kern w:val="2"/>
          <w:sz w:val="28"/>
          <w:szCs w:val="28"/>
          <w:highlight w:val="none"/>
        </w:rPr>
        <w:t>委估的</w:t>
      </w:r>
      <w:r>
        <w:rPr>
          <w:rFonts w:hint="eastAsia" w:ascii="Times New Roman" w:eastAsia="仿宋_GB2312" w:cs="Times New Roman"/>
          <w:kern w:val="2"/>
          <w:sz w:val="28"/>
          <w:szCs w:val="28"/>
          <w:highlight w:val="none"/>
          <w:lang w:eastAsia="zh-CN"/>
        </w:rPr>
        <w:t>临漳县40年供水经营权</w:t>
      </w:r>
      <w:r>
        <w:rPr>
          <w:rFonts w:hint="default" w:ascii="Times New Roman" w:hAnsi="Times New Roman" w:eastAsia="仿宋_GB2312" w:cs="Times New Roman"/>
          <w:kern w:val="2"/>
          <w:sz w:val="28"/>
          <w:szCs w:val="28"/>
          <w:highlight w:val="none"/>
        </w:rPr>
        <w:t>在评估基准日</w:t>
      </w:r>
      <w:r>
        <w:rPr>
          <w:rFonts w:hint="eastAsia" w:ascii="Times New Roman" w:eastAsia="仿宋_GB2312" w:cs="Times New Roman"/>
          <w:kern w:val="2"/>
          <w:sz w:val="28"/>
          <w:szCs w:val="28"/>
          <w:highlight w:val="none"/>
          <w:lang w:eastAsia="zh-CN"/>
        </w:rPr>
        <w:t>2024年8月31日</w:t>
      </w:r>
      <w:r>
        <w:rPr>
          <w:rFonts w:hint="default" w:ascii="Times New Roman" w:hAnsi="Times New Roman" w:eastAsia="仿宋_GB2312" w:cs="Times New Roman"/>
          <w:kern w:val="2"/>
          <w:sz w:val="28"/>
          <w:szCs w:val="28"/>
          <w:highlight w:val="none"/>
        </w:rPr>
        <w:t>评估值为</w:t>
      </w:r>
      <w:r>
        <w:rPr>
          <w:rFonts w:hint="eastAsia" w:ascii="Times New Roman" w:eastAsia="仿宋_GB2312"/>
          <w:kern w:val="2"/>
          <w:sz w:val="28"/>
          <w:szCs w:val="28"/>
          <w:highlight w:val="none"/>
          <w:lang w:eastAsia="zh-CN"/>
        </w:rPr>
        <w:t>13,963.70</w:t>
      </w:r>
      <w:r>
        <w:rPr>
          <w:rFonts w:hint="default" w:ascii="Times New Roman" w:hAnsi="Times New Roman" w:eastAsia="仿宋_GB2312" w:cs="Times New Roman"/>
          <w:kern w:val="2"/>
          <w:sz w:val="28"/>
          <w:szCs w:val="28"/>
          <w:highlight w:val="none"/>
        </w:rPr>
        <w:t>万元</w:t>
      </w:r>
      <w:r>
        <w:rPr>
          <w:rFonts w:hint="eastAsia" w:ascii="Times New Roman" w:eastAsia="仿宋_GB2312" w:cs="Times New Roman"/>
          <w:kern w:val="2"/>
          <w:sz w:val="28"/>
          <w:szCs w:val="28"/>
          <w:highlight w:val="none"/>
          <w:lang w:val="en-US" w:eastAsia="zh-CN"/>
        </w:rPr>
        <w:t>。</w:t>
      </w:r>
    </w:p>
    <w:p w14:paraId="50964B80"/>
    <w:p w14:paraId="6C3E4EE2"/>
    <w:p w14:paraId="468C22EF"/>
    <w:p w14:paraId="56B10926"/>
    <w:p w14:paraId="5576B44F"/>
    <w:p w14:paraId="38CD66DE"/>
    <w:p w14:paraId="5BB9FE9C"/>
    <w:p w14:paraId="2537B523"/>
    <w:p w14:paraId="7219459C"/>
    <w:p w14:paraId="1D1FF407"/>
    <w:p w14:paraId="160C70E0"/>
    <w:p w14:paraId="2A761E53"/>
    <w:sectPr>
      <w:footerReference r:id="rId9" w:type="default"/>
      <w:pgSz w:w="11850" w:h="16783"/>
      <w:pgMar w:top="1440" w:right="1800" w:bottom="1440" w:left="1800" w:header="851" w:footer="992" w:gutter="0"/>
      <w:pgNumType w:fmt="decimal"/>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1"/>
    <w:family w:val="swiss"/>
    <w:pitch w:val="default"/>
    <w:sig w:usb0="E0002EFF" w:usb1="C000785B" w:usb2="00000009" w:usb3="00000000" w:csb0="400001FF" w:csb1="FFFF0000"/>
  </w:font>
  <w:font w:name="宋体">
    <w:panose1 w:val="02010600030101010101"/>
    <w:charset w:val="7A"/>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仿宋_GB2312">
    <w:altName w:val="仿宋"/>
    <w:panose1 w:val="02010609030101010101"/>
    <w:charset w:val="86"/>
    <w:family w:val="modern"/>
    <w:pitch w:val="default"/>
    <w:sig w:usb0="00000000" w:usb1="00000000" w:usb2="00000000" w:usb3="00000000" w:csb0="00040000" w:csb1="00000000"/>
  </w:font>
  <w:font w:name="仿宋">
    <w:panose1 w:val="02010609060101010101"/>
    <w:charset w:val="86"/>
    <w:family w:val="auto"/>
    <w:pitch w:val="default"/>
    <w:sig w:usb0="800002BF" w:usb1="38CF7CFA" w:usb2="00000016" w:usb3="00000000" w:csb0="00040001" w:csb1="00000000"/>
  </w:font>
  <w:font w:name="Calibri Light">
    <w:panose1 w:val="020F0302020204030204"/>
    <w:charset w:val="00"/>
    <w:family w:val="auto"/>
    <w:pitch w:val="default"/>
    <w:sig w:usb0="E4002EFF" w:usb1="C200247B" w:usb2="00000009" w:usb3="00000000" w:csb0="200001FF" w:csb1="00000000"/>
  </w:font>
  <w:font w:name="Arial Narrow">
    <w:panose1 w:val="020B0606020202030204"/>
    <w:charset w:val="00"/>
    <w:family w:val="swiss"/>
    <w:pitch w:val="default"/>
    <w:sig w:usb0="00000287" w:usb1="00000800" w:usb2="00000000" w:usb3="00000000" w:csb0="2000009F" w:csb1="DFD70000"/>
  </w:font>
  <w:font w:name="楷体_GB2312">
    <w:altName w:val="楷体"/>
    <w:panose1 w:val="02010609030101010101"/>
    <w:charset w:val="86"/>
    <w:family w:val="modern"/>
    <w:pitch w:val="default"/>
    <w:sig w:usb0="00000000" w:usb1="00000000" w:usb2="00000000" w:usb3="00000000" w:csb0="00040000" w:csb1="00000000"/>
  </w:font>
  <w:font w:name="楷体">
    <w:panose1 w:val="02010609060101010101"/>
    <w:charset w:val="86"/>
    <w:family w:val="auto"/>
    <w:pitch w:val="default"/>
    <w:sig w:usb0="800002BF" w:usb1="38CF7CFA" w:usb2="00000016" w:usb3="00000000" w:csb0="00040001" w:csb1="00000000"/>
  </w:font>
  <w:font w:name="昆仑楷体">
    <w:altName w:val="宋体"/>
    <w:panose1 w:val="00000000000000000000"/>
    <w:charset w:val="86"/>
    <w:family w:val="modern"/>
    <w:pitch w:val="default"/>
    <w:sig w:usb0="00000000" w:usb1="00000000" w:usb2="00000010" w:usb3="00000000" w:csb0="00040000" w:csb1="00000000"/>
  </w:font>
  <w:font w:name="Mongolian Baiti">
    <w:panose1 w:val="03000500000000000000"/>
    <w:charset w:val="00"/>
    <w:family w:val="script"/>
    <w:pitch w:val="default"/>
    <w:sig w:usb0="80000023" w:usb1="00000000" w:usb2="00020000" w:usb3="00000000" w:csb0="00000001" w:csb1="00000000"/>
  </w:font>
  <w:font w:name="Cambria">
    <w:panose1 w:val="02040503050406030204"/>
    <w:charset w:val="00"/>
    <w:family w:val="roman"/>
    <w:pitch w:val="default"/>
    <w:sig w:usb0="E00006FF" w:usb1="420024FF" w:usb2="02000000" w:usb3="00000000" w:csb0="2000019F" w:csb1="00000000"/>
  </w:font>
  <w:font w:name="Marlett">
    <w:panose1 w:val="00000000000000000000"/>
    <w:charset w:val="02"/>
    <w:family w:val="auto"/>
    <w:pitch w:val="default"/>
    <w:sig w:usb0="00000000" w:usb1="00000000" w:usb2="00000000" w:usb3="00000000" w:csb0="80000000" w:csb1="00000000"/>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6436752">
    <w:pPr>
      <w:pStyle w:val="11"/>
      <w:framePr w:wrap="around" w:vAnchor="text" w:hAnchor="margin" w:xAlign="right" w:y="1"/>
      <w:rPr>
        <w:rStyle w:val="18"/>
      </w:rPr>
    </w:pPr>
    <w:r>
      <w:fldChar w:fldCharType="begin"/>
    </w:r>
    <w:r>
      <w:rPr>
        <w:rStyle w:val="18"/>
      </w:rPr>
      <w:instrText xml:space="preserve">PAGE  </w:instrText>
    </w:r>
    <w:r>
      <w:fldChar w:fldCharType="end"/>
    </w:r>
  </w:p>
  <w:p w14:paraId="2A83F249">
    <w:pPr>
      <w:pStyle w:val="11"/>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BD0C936">
    <w:pPr>
      <w:pStyle w:val="11"/>
      <w:jc w:val="both"/>
    </w:pPr>
    <w:r>
      <w:rPr>
        <w:sz w:val="20"/>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-514985</wp:posOffset>
              </wp:positionV>
              <wp:extent cx="6057900" cy="0"/>
              <wp:effectExtent l="0" t="0" r="0" b="0"/>
              <wp:wrapNone/>
              <wp:docPr id="1" name="直接连接符 1"/>
              <wp:cNvGraphicFramePr/>
              <a:graphic xmlns:a="http://schemas.openxmlformats.org/drawingml/2006/main">
                <a:graphicData uri="http://schemas.microsoft.com/office/word/2010/wordprocessingShape">
                  <wps:wsp>
                    <wps:cNvCnPr/>
                    <wps:spPr>
                      <a:xfrm>
                        <a:off x="0" y="0"/>
                        <a:ext cx="6057900" cy="0"/>
                      </a:xfrm>
                      <a:prstGeom prst="line">
                        <a:avLst/>
                      </a:prstGeom>
                      <a:ln w="9525" cap="flat" cmpd="sng">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margin-left:0pt;margin-top:-40.55pt;height:0pt;width:477pt;z-index:251660288;mso-width-relative:page;mso-height-relative:page;" filled="f" stroked="t" coordsize="21600,21600" o:gfxdata="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">
              <v:fill on="f" focussize="0,0"/>
              <v:stroke color="#000000" joinstyle="round"/>
              <v:imagedata o:title=""/>
              <o:lock v:ext="edit" aspectratio="f"/>
            </v:line>
          </w:pict>
        </mc:Fallback>
      </mc:AlternateContent>
    </w:r>
    <w:r>
      <w:rPr>
        <w:rFonts w:hint="eastAsia"/>
      </w:rPr>
      <w:t xml:space="preserve">中联资产评估集团有限公司                                                                        </w:t>
    </w:r>
    <w:r>
      <w:rPr>
        <w:rStyle w:val="18"/>
        <w:rFonts w:hint="eastAsia"/>
      </w:rPr>
      <w:t>第133页</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4B0DABA">
    <w:pPr>
      <w:pStyle w:val="11"/>
      <w:pBdr>
        <w:top w:val="single" w:color="auto" w:sz="6" w:space="7"/>
      </w:pBdr>
      <w:adjustRightInd/>
      <w:spacing w:line="240" w:lineRule="auto"/>
      <w:jc w:val="both"/>
      <w:rPr>
        <w:rFonts w:hint="eastAsia" w:eastAsia="宋体"/>
      </w:rPr>
    </w:pPr>
    <w:r>
      <w:rPr>
        <w:rFonts w:hint="eastAsia" w:eastAsia="宋体"/>
        <w:lang w:eastAsia="zh-CN"/>
      </w:rPr>
      <w:t>河北财瑞资产评估有限公司</w:t>
    </w:r>
    <w:r>
      <w:rPr>
        <w:rFonts w:hint="eastAsia" w:eastAsia="宋体"/>
      </w:rPr>
      <w:t xml:space="preserve">                                                            第</w:t>
    </w:r>
    <w:r>
      <w:fldChar w:fldCharType="begin"/>
    </w:r>
    <w:r>
      <w:rPr>
        <w:rStyle w:val="18"/>
      </w:rPr>
      <w:instrText xml:space="preserve"> PAGE </w:instrText>
    </w:r>
    <w:r>
      <w:fldChar w:fldCharType="separate"/>
    </w:r>
    <w:r>
      <w:rPr>
        <w:rStyle w:val="18"/>
      </w:rPr>
      <w:t>15</w:t>
    </w:r>
    <w:r>
      <w:fldChar w:fldCharType="end"/>
    </w:r>
    <w:r>
      <w:rPr>
        <w:rStyle w:val="18"/>
        <w:rFonts w:hint="eastAsia" w:ascii="宋体" w:hAnsi="宋体" w:eastAsia="宋体"/>
      </w:rPr>
      <w:t>页</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F53ECCA">
    <w:pPr>
      <w:pStyle w:val="11"/>
      <w:ind w:firstLine="0"/>
      <w:rPr>
        <w:rFonts w:hint="default" w:eastAsia="宋体"/>
        <w:lang w:val="en-US" w:eastAsia="zh-CN"/>
      </w:rPr>
    </w:pPr>
    <w:r>
      <w:rPr>
        <w:sz w:val="18"/>
      </w:rPr>
      <mc:AlternateContent>
        <mc:Choice Requires="wps">
          <w:drawing>
            <wp:anchor distT="0" distB="0" distL="114300" distR="114300" simplePos="0" relativeHeight="251661312" behindDoc="0" locked="0" layoutInCell="1" allowOverlap="1">
              <wp:simplePos x="0" y="0"/>
              <wp:positionH relativeFrom="margin">
                <wp:align>right</wp:align>
              </wp:positionH>
              <wp:positionV relativeFrom="paragraph">
                <wp:posOffset>0</wp:posOffset>
              </wp:positionV>
              <wp:extent cx="1828800" cy="1828800"/>
              <wp:effectExtent l="0" t="0" r="0" b="0"/>
              <wp:wrapNone/>
              <wp:docPr id="2" name="文本框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7E2D260">
                          <w:pPr>
                            <w:pStyle w:val="11"/>
                          </w:pPr>
                          <w:r>
                            <w:t xml:space="preserve">第 </w:t>
                          </w:r>
                          <w:r>
                            <w:fldChar w:fldCharType="begin"/>
                          </w:r>
                          <w:r>
                            <w:instrText xml:space="preserve"> PAGE  \* MERGEFORMAT </w:instrText>
                          </w:r>
                          <w:r>
                            <w:fldChar w:fldCharType="separate"/>
                          </w:r>
                          <w:r>
                            <w:t>1</w:t>
                          </w:r>
                          <w:r>
                            <w:fldChar w:fldCharType="end"/>
                          </w:r>
                          <w:r>
                            <w:t>页</w:t>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right;mso-position-horizontal-relative:margin;mso-wrap-style:none;z-index:251661312;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LNJWO7QAAAABQEAAA8AAAAAAAAAAQAgAAAAIgAAAGRycy9kb3ducmV2LnhtbFBLAQIUABQA&#10;AAAIAIdO4kAkgka0MQIAAGEEAAAOAAAAAAAAAAEAIAAAAB8BAABkcnMvZTJvRG9jLnhtbFBLBQYA&#10;AAAABgAGAFkBAADCBQAAAAA=&#10;">
              <v:fill on="f" focussize="0,0"/>
              <v:stroke on="f" weight="0.5pt"/>
              <v:imagedata o:title=""/>
              <o:lock v:ext="edit" aspectratio="f"/>
              <v:textbox inset="0mm,0mm,0mm,0mm" style="mso-fit-shape-to-text:t;">
                <w:txbxContent>
                  <w:p w14:paraId="17E2D260">
                    <w:pPr>
                      <w:pStyle w:val="11"/>
                    </w:pPr>
                    <w:r>
                      <w:t xml:space="preserve">第 </w:t>
                    </w:r>
                    <w:r>
                      <w:fldChar w:fldCharType="begin"/>
                    </w:r>
                    <w:r>
                      <w:instrText xml:space="preserve"> PAGE  \* MERGEFORMAT </w:instrText>
                    </w:r>
                    <w:r>
                      <w:fldChar w:fldCharType="separate"/>
                    </w:r>
                    <w:r>
                      <w:t>1</w:t>
                    </w:r>
                    <w:r>
                      <w:fldChar w:fldCharType="end"/>
                    </w:r>
                    <w:r>
                      <w:t>页</w:t>
                    </w:r>
                  </w:p>
                </w:txbxContent>
              </v:textbox>
            </v:shape>
          </w:pict>
        </mc:Fallback>
      </mc:AlternateContent>
    </w:r>
    <w:r>
      <w:rPr>
        <w:rFonts w:hint="eastAsia"/>
        <w:lang w:val="en-US" w:eastAsia="zh-CN"/>
      </w:rPr>
      <w:t>河北财瑞资产评估有限公司</w: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82EC55B">
    <w:pPr>
      <w:pStyle w:val="8"/>
      <w:pBdr>
        <w:bottom w:val="single" w:color="auto" w:sz="4" w:space="1"/>
      </w:pBdr>
      <w:tabs>
        <w:tab w:val="left" w:pos="2881"/>
        <w:tab w:val="center" w:pos="4432"/>
        <w:tab w:val="clear" w:pos="4153"/>
        <w:tab w:val="clear" w:pos="8306"/>
      </w:tabs>
      <w:suppressAutoHyphens/>
      <w:spacing w:line="240" w:lineRule="atLeast"/>
      <w:ind w:left="0" w:leftChars="0" w:firstLine="0" w:firstLineChars="0"/>
      <w:jc w:val="right"/>
      <w:rPr>
        <w:rFonts w:hint="eastAsia" w:ascii="宋体" w:hAnsi="Cambria" w:eastAsia="宋体"/>
        <w:kern w:val="0"/>
        <w:sz w:val="13"/>
        <w:szCs w:val="13"/>
        <w:lang w:val="zh-CN" w:eastAsia="ar-SA"/>
      </w:rPr>
    </w:pPr>
    <w:r>
      <w:rPr>
        <w:rFonts w:hint="eastAsia" w:hAnsi="宋体"/>
        <w:color w:val="000000"/>
        <w:sz w:val="21"/>
        <w:szCs w:val="21"/>
        <w:lang w:eastAsia="zh-CN"/>
      </w:rPr>
      <w:t>临漳县水利局拟转让临漳县40年供水经营权项目</w:t>
    </w:r>
    <w:r>
      <w:rPr>
        <w:rFonts w:ascii="宋体" w:eastAsia="宋体"/>
        <w:sz w:val="21"/>
        <w:szCs w:val="21"/>
      </w:rPr>
      <w:sym w:font="Marlett" w:char="F069"/>
    </w:r>
    <w:r>
      <w:rPr>
        <w:rFonts w:hint="eastAsia" w:ascii="宋体" w:eastAsia="宋体"/>
        <w:sz w:val="21"/>
        <w:szCs w:val="21"/>
      </w:rPr>
      <w:t>资产评估</w:t>
    </w:r>
    <w:r>
      <w:rPr>
        <w:rFonts w:hint="eastAsia" w:ascii="宋体" w:eastAsia="宋体"/>
        <w:sz w:val="21"/>
        <w:szCs w:val="21"/>
        <w:lang w:val="en-US" w:eastAsia="zh-CN"/>
      </w:rPr>
      <w:t>说明</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D00D542">
    <w:pPr>
      <w:pStyle w:val="8"/>
      <w:pBdr>
        <w:bottom w:val="none" w:color="auto" w:sz="0" w:space="0"/>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1F79D34">
    <w:pPr>
      <w:pStyle w:val="8"/>
    </w:pPr>
    <w:r>
      <w:rPr>
        <w:rFonts w:hint="eastAsia"/>
      </w:rPr>
      <w:t>成都国嘉生物制药股份有限公司拟转让部分经营性资产及相关负债项目</w:t>
    </w:r>
    <w:r>
      <w:rPr>
        <w:rFonts w:hint="eastAsia" w:ascii="宋体"/>
        <w:sz w:val="10"/>
      </w:rPr>
      <w:t>·</w:t>
    </w:r>
    <w:r>
      <w:rPr>
        <w:rFonts w:hint="eastAsia"/>
      </w:rPr>
      <w:t>资产评估说明</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E83E918D"/>
    <w:multiLevelType w:val="singleLevel"/>
    <w:tmpl w:val="E83E918D"/>
    <w:lvl w:ilvl="0" w:tentative="0">
      <w:start w:val="2"/>
      <w:numFmt w:val="decimal"/>
      <w:suff w:val="nothing"/>
      <w:lvlText w:val="%1、"/>
      <w:lvlJc w:val="left"/>
    </w:lvl>
  </w:abstractNum>
  <w:abstractNum w:abstractNumId="1">
    <w:nsid w:val="1FC50684"/>
    <w:multiLevelType w:val="multilevel"/>
    <w:tmpl w:val="1FC50684"/>
    <w:lvl w:ilvl="0" w:tentative="0">
      <w:start w:val="1"/>
      <w:numFmt w:val="decimal"/>
      <w:lvlText w:val="%1"/>
      <w:lvlJc w:val="left"/>
      <w:pPr>
        <w:ind w:left="440" w:hanging="440"/>
      </w:pPr>
      <w:rPr>
        <w:rFonts w:hint="eastAsia"/>
      </w:rPr>
    </w:lvl>
    <w:lvl w:ilvl="1" w:tentative="0">
      <w:start w:val="1"/>
      <w:numFmt w:val="lowerLetter"/>
      <w:lvlText w:val="%2)"/>
      <w:lvlJc w:val="left"/>
      <w:pPr>
        <w:ind w:left="880" w:hanging="440"/>
      </w:pPr>
    </w:lvl>
    <w:lvl w:ilvl="2" w:tentative="0">
      <w:start w:val="1"/>
      <w:numFmt w:val="lowerRoman"/>
      <w:lvlText w:val="%3."/>
      <w:lvlJc w:val="right"/>
      <w:pPr>
        <w:ind w:left="1320" w:hanging="440"/>
      </w:pPr>
    </w:lvl>
    <w:lvl w:ilvl="3" w:tentative="0">
      <w:start w:val="1"/>
      <w:numFmt w:val="decimal"/>
      <w:lvlText w:val="%4."/>
      <w:lvlJc w:val="left"/>
      <w:pPr>
        <w:ind w:left="1760" w:hanging="440"/>
      </w:pPr>
    </w:lvl>
    <w:lvl w:ilvl="4" w:tentative="0">
      <w:start w:val="1"/>
      <w:numFmt w:val="lowerLetter"/>
      <w:lvlText w:val="%5)"/>
      <w:lvlJc w:val="left"/>
      <w:pPr>
        <w:ind w:left="2200" w:hanging="440"/>
      </w:pPr>
    </w:lvl>
    <w:lvl w:ilvl="5" w:tentative="0">
      <w:start w:val="1"/>
      <w:numFmt w:val="lowerRoman"/>
      <w:lvlText w:val="%6."/>
      <w:lvlJc w:val="right"/>
      <w:pPr>
        <w:ind w:left="2640" w:hanging="440"/>
      </w:pPr>
    </w:lvl>
    <w:lvl w:ilvl="6" w:tentative="0">
      <w:start w:val="1"/>
      <w:numFmt w:val="decimal"/>
      <w:lvlText w:val="%7."/>
      <w:lvlJc w:val="left"/>
      <w:pPr>
        <w:ind w:left="3080" w:hanging="440"/>
      </w:pPr>
    </w:lvl>
    <w:lvl w:ilvl="7" w:tentative="0">
      <w:start w:val="1"/>
      <w:numFmt w:val="lowerLetter"/>
      <w:lvlText w:val="%8)"/>
      <w:lvlJc w:val="left"/>
      <w:pPr>
        <w:ind w:left="3520" w:hanging="440"/>
      </w:pPr>
    </w:lvl>
    <w:lvl w:ilvl="8" w:tentative="0">
      <w:start w:val="1"/>
      <w:numFmt w:val="lowerRoman"/>
      <w:lvlText w:val="%9."/>
      <w:lvlJc w:val="right"/>
      <w:pPr>
        <w:ind w:left="3960" w:hanging="44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revisionView w:markup="0"/>
  <w:trackRevisions w:val="1"/>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GExNDA5Mzg1MzkzYjAwMjFhY2Q3ZDEwOWRhMDA4NDIifQ=="/>
  </w:docVars>
  <w:rsids>
    <w:rsidRoot w:val="00000000"/>
    <w:rsid w:val="000C75D9"/>
    <w:rsid w:val="002449CE"/>
    <w:rsid w:val="003F488D"/>
    <w:rsid w:val="006E7CB5"/>
    <w:rsid w:val="00A76483"/>
    <w:rsid w:val="011A18EF"/>
    <w:rsid w:val="01AD6AEC"/>
    <w:rsid w:val="01CE67FE"/>
    <w:rsid w:val="0274166C"/>
    <w:rsid w:val="029B022E"/>
    <w:rsid w:val="037558BF"/>
    <w:rsid w:val="03E57E31"/>
    <w:rsid w:val="051169F2"/>
    <w:rsid w:val="06192B7B"/>
    <w:rsid w:val="07557AE6"/>
    <w:rsid w:val="075E697F"/>
    <w:rsid w:val="08CA34D3"/>
    <w:rsid w:val="08E71867"/>
    <w:rsid w:val="09077801"/>
    <w:rsid w:val="091343F8"/>
    <w:rsid w:val="091C5DB2"/>
    <w:rsid w:val="09875CC5"/>
    <w:rsid w:val="0B7B5385"/>
    <w:rsid w:val="0BF20B47"/>
    <w:rsid w:val="0C6979DC"/>
    <w:rsid w:val="0D160540"/>
    <w:rsid w:val="0DBF68FD"/>
    <w:rsid w:val="0F441283"/>
    <w:rsid w:val="0FDB31EB"/>
    <w:rsid w:val="100414A5"/>
    <w:rsid w:val="105A1146"/>
    <w:rsid w:val="10844686"/>
    <w:rsid w:val="10864064"/>
    <w:rsid w:val="12156AE2"/>
    <w:rsid w:val="134C29E0"/>
    <w:rsid w:val="135D39FF"/>
    <w:rsid w:val="13BE6360"/>
    <w:rsid w:val="143C1775"/>
    <w:rsid w:val="145C261C"/>
    <w:rsid w:val="14BF4198"/>
    <w:rsid w:val="159C4CDE"/>
    <w:rsid w:val="163A43D2"/>
    <w:rsid w:val="1663076D"/>
    <w:rsid w:val="174E5AB5"/>
    <w:rsid w:val="175A4F5C"/>
    <w:rsid w:val="192B13D0"/>
    <w:rsid w:val="1A00069C"/>
    <w:rsid w:val="1AA66E7A"/>
    <w:rsid w:val="1AB200E0"/>
    <w:rsid w:val="1B754852"/>
    <w:rsid w:val="1B8E42D0"/>
    <w:rsid w:val="1C0B75E1"/>
    <w:rsid w:val="1C4D0EE9"/>
    <w:rsid w:val="1C56042C"/>
    <w:rsid w:val="1D5E064E"/>
    <w:rsid w:val="1E764DB5"/>
    <w:rsid w:val="1EC27CE2"/>
    <w:rsid w:val="1ED30D94"/>
    <w:rsid w:val="1ED75638"/>
    <w:rsid w:val="1FCA22D1"/>
    <w:rsid w:val="206664E2"/>
    <w:rsid w:val="21322E82"/>
    <w:rsid w:val="21631FBD"/>
    <w:rsid w:val="21FB6DE1"/>
    <w:rsid w:val="22160421"/>
    <w:rsid w:val="22660E5F"/>
    <w:rsid w:val="226D3D75"/>
    <w:rsid w:val="2298336B"/>
    <w:rsid w:val="23B536A4"/>
    <w:rsid w:val="23E56F57"/>
    <w:rsid w:val="23F43ABA"/>
    <w:rsid w:val="26651725"/>
    <w:rsid w:val="27210625"/>
    <w:rsid w:val="27363F26"/>
    <w:rsid w:val="28EE6C49"/>
    <w:rsid w:val="296A497D"/>
    <w:rsid w:val="2C1D100A"/>
    <w:rsid w:val="2C932FD6"/>
    <w:rsid w:val="2D2D26FA"/>
    <w:rsid w:val="2D315EC6"/>
    <w:rsid w:val="2D9147B8"/>
    <w:rsid w:val="2DDC12E5"/>
    <w:rsid w:val="2F7E396F"/>
    <w:rsid w:val="2FCE11D0"/>
    <w:rsid w:val="306A100F"/>
    <w:rsid w:val="309D65F5"/>
    <w:rsid w:val="310B7094"/>
    <w:rsid w:val="31264AEF"/>
    <w:rsid w:val="32416AB9"/>
    <w:rsid w:val="329B0375"/>
    <w:rsid w:val="33157844"/>
    <w:rsid w:val="350800CB"/>
    <w:rsid w:val="35480567"/>
    <w:rsid w:val="354C338E"/>
    <w:rsid w:val="35824B3D"/>
    <w:rsid w:val="36054D43"/>
    <w:rsid w:val="36965B9D"/>
    <w:rsid w:val="37390AB5"/>
    <w:rsid w:val="37AA3AAB"/>
    <w:rsid w:val="381D6F7E"/>
    <w:rsid w:val="3A102D71"/>
    <w:rsid w:val="3AC14BED"/>
    <w:rsid w:val="3B0652B3"/>
    <w:rsid w:val="3CB92367"/>
    <w:rsid w:val="3DA41207"/>
    <w:rsid w:val="3DC71657"/>
    <w:rsid w:val="3E183B95"/>
    <w:rsid w:val="3E306EE0"/>
    <w:rsid w:val="3EC47E13"/>
    <w:rsid w:val="411C4334"/>
    <w:rsid w:val="412F5015"/>
    <w:rsid w:val="41551FC7"/>
    <w:rsid w:val="42EA646B"/>
    <w:rsid w:val="434B21FA"/>
    <w:rsid w:val="43E93258"/>
    <w:rsid w:val="44462F57"/>
    <w:rsid w:val="450E6989"/>
    <w:rsid w:val="45237196"/>
    <w:rsid w:val="455A5922"/>
    <w:rsid w:val="45874199"/>
    <w:rsid w:val="460E2F2C"/>
    <w:rsid w:val="463603F1"/>
    <w:rsid w:val="472F119C"/>
    <w:rsid w:val="480908C5"/>
    <w:rsid w:val="481169A9"/>
    <w:rsid w:val="48B27569"/>
    <w:rsid w:val="4AB209CE"/>
    <w:rsid w:val="4B620DFE"/>
    <w:rsid w:val="4BBE6E8E"/>
    <w:rsid w:val="4C2E7A29"/>
    <w:rsid w:val="4C984A84"/>
    <w:rsid w:val="4D0717D1"/>
    <w:rsid w:val="4D886705"/>
    <w:rsid w:val="4DD0778F"/>
    <w:rsid w:val="4DF33E95"/>
    <w:rsid w:val="4E390CFC"/>
    <w:rsid w:val="4E42217D"/>
    <w:rsid w:val="4ECF7E2B"/>
    <w:rsid w:val="4F1700CC"/>
    <w:rsid w:val="4F8A3954"/>
    <w:rsid w:val="4FEA7F8A"/>
    <w:rsid w:val="4FFE1E9C"/>
    <w:rsid w:val="50124DA8"/>
    <w:rsid w:val="50793F7F"/>
    <w:rsid w:val="51340035"/>
    <w:rsid w:val="528D1AAE"/>
    <w:rsid w:val="52E4277E"/>
    <w:rsid w:val="52FE0CE3"/>
    <w:rsid w:val="532331A7"/>
    <w:rsid w:val="53961369"/>
    <w:rsid w:val="55187BE1"/>
    <w:rsid w:val="55FF0EDA"/>
    <w:rsid w:val="56443A54"/>
    <w:rsid w:val="5774562F"/>
    <w:rsid w:val="58544627"/>
    <w:rsid w:val="586958DD"/>
    <w:rsid w:val="5A1F26E0"/>
    <w:rsid w:val="5B092E2D"/>
    <w:rsid w:val="5D3E5451"/>
    <w:rsid w:val="5E6227B2"/>
    <w:rsid w:val="5F102550"/>
    <w:rsid w:val="5F10410C"/>
    <w:rsid w:val="5F42250F"/>
    <w:rsid w:val="60B32B10"/>
    <w:rsid w:val="60F22201"/>
    <w:rsid w:val="61936750"/>
    <w:rsid w:val="61EC77F6"/>
    <w:rsid w:val="634F1A70"/>
    <w:rsid w:val="650B6904"/>
    <w:rsid w:val="65B60A20"/>
    <w:rsid w:val="65CB456B"/>
    <w:rsid w:val="67DA7168"/>
    <w:rsid w:val="682B74D5"/>
    <w:rsid w:val="68D75606"/>
    <w:rsid w:val="69385977"/>
    <w:rsid w:val="696F69AA"/>
    <w:rsid w:val="69BD2E06"/>
    <w:rsid w:val="6A2E20E8"/>
    <w:rsid w:val="6AE00738"/>
    <w:rsid w:val="6E2F28D8"/>
    <w:rsid w:val="6E5954EE"/>
    <w:rsid w:val="6E834752"/>
    <w:rsid w:val="6ED04487"/>
    <w:rsid w:val="6FE8373B"/>
    <w:rsid w:val="700215D2"/>
    <w:rsid w:val="702F3A84"/>
    <w:rsid w:val="70963C08"/>
    <w:rsid w:val="710D2F58"/>
    <w:rsid w:val="71DC1744"/>
    <w:rsid w:val="73D36739"/>
    <w:rsid w:val="756E13CC"/>
    <w:rsid w:val="75724C4C"/>
    <w:rsid w:val="76E773EF"/>
    <w:rsid w:val="773C06E7"/>
    <w:rsid w:val="77C94E9D"/>
    <w:rsid w:val="787D61AE"/>
    <w:rsid w:val="78DC6A8F"/>
    <w:rsid w:val="799019ED"/>
    <w:rsid w:val="799F755B"/>
    <w:rsid w:val="7A5D1ACE"/>
    <w:rsid w:val="7B6E6758"/>
    <w:rsid w:val="7C872328"/>
    <w:rsid w:val="7D2569E0"/>
    <w:rsid w:val="7E7D340A"/>
    <w:rsid w:val="7EF07BB0"/>
    <w:rsid w:val="7F360424"/>
    <w:rsid w:val="7FBA502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9"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qFormat="1" w:unhideWhenUsed="0" w:uiPriority="0" w:semiHidden="0" w:name="Normal Indent"/>
    <w:lsdException w:unhideWhenUsed="0" w:uiPriority="0" w:semiHidden="0" w:name="footnote text"/>
    <w:lsdException w:qFormat="1" w:unhideWhenUsed="0" w:uiPriority="0" w:semiHidden="0" w:name="annotation text"/>
    <w:lsdException w:qFormat="1" w:unhideWhenUsed="0" w:uiPriority="99"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qFormat="1"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qFormat="1"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qFormat="1" w:unhideWhenUsed="0" w:uiPriority="0" w:semiHidden="0" w:name="Plain Text"/>
    <w:lsdException w:unhideWhenUsed="0" w:uiPriority="0" w:semiHidden="0" w:name="E-mail Signature"/>
    <w:lsdException w:qFormat="1" w:uiPriority="99"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autoRedefine/>
    <w:qFormat/>
    <w:uiPriority w:val="0"/>
    <w:pPr>
      <w:widowControl w:val="0"/>
      <w:jc w:val="both"/>
    </w:pPr>
    <w:rPr>
      <w:rFonts w:ascii="宋体" w:hAnsi="Times New Roman" w:eastAsia="宋体" w:cs="Times New Roman"/>
      <w:sz w:val="34"/>
      <w:lang w:val="en-US" w:eastAsia="zh-CN" w:bidi="ar-SA"/>
    </w:rPr>
  </w:style>
  <w:style w:type="paragraph" w:styleId="2">
    <w:name w:val="heading 1"/>
    <w:basedOn w:val="1"/>
    <w:next w:val="1"/>
    <w:autoRedefine/>
    <w:qFormat/>
    <w:uiPriority w:val="0"/>
    <w:pPr>
      <w:keepNext/>
      <w:outlineLvl w:val="0"/>
    </w:pPr>
    <w:rPr>
      <w:rFonts w:eastAsia="仿宋_GB2312"/>
      <w:sz w:val="28"/>
      <w:szCs w:val="20"/>
    </w:rPr>
  </w:style>
  <w:style w:type="paragraph" w:styleId="3">
    <w:name w:val="heading 2"/>
    <w:basedOn w:val="1"/>
    <w:next w:val="1"/>
    <w:link w:val="30"/>
    <w:autoRedefine/>
    <w:unhideWhenUsed/>
    <w:qFormat/>
    <w:uiPriority w:val="9"/>
    <w:pPr>
      <w:keepNext/>
      <w:keepLines/>
      <w:spacing w:before="260" w:after="260" w:line="416" w:lineRule="auto"/>
      <w:outlineLvl w:val="1"/>
    </w:pPr>
    <w:rPr>
      <w:rFonts w:asciiTheme="majorHAnsi" w:hAnsiTheme="majorHAnsi" w:eastAsiaTheme="majorEastAsia" w:cstheme="majorBidi"/>
      <w:b/>
      <w:bCs/>
      <w:sz w:val="32"/>
      <w:szCs w:val="32"/>
    </w:rPr>
  </w:style>
  <w:style w:type="paragraph" w:styleId="4">
    <w:name w:val="heading 3"/>
    <w:basedOn w:val="1"/>
    <w:next w:val="1"/>
    <w:link w:val="31"/>
    <w:autoRedefine/>
    <w:semiHidden/>
    <w:unhideWhenUsed/>
    <w:qFormat/>
    <w:uiPriority w:val="0"/>
    <w:pPr>
      <w:keepNext/>
      <w:keepLines/>
      <w:spacing w:before="260" w:beforeLines="0" w:beforeAutospacing="0" w:after="260" w:afterLines="0" w:afterAutospacing="0" w:line="413" w:lineRule="auto"/>
      <w:outlineLvl w:val="2"/>
    </w:pPr>
    <w:rPr>
      <w:b/>
      <w:sz w:val="32"/>
    </w:rPr>
  </w:style>
  <w:style w:type="character" w:default="1" w:styleId="17">
    <w:name w:val="Default Paragraph Font"/>
    <w:autoRedefine/>
    <w:semiHidden/>
    <w:qFormat/>
    <w:uiPriority w:val="0"/>
  </w:style>
  <w:style w:type="table" w:default="1" w:styleId="16">
    <w:name w:val="Normal Table"/>
    <w:autoRedefine/>
    <w:semiHidden/>
    <w:qFormat/>
    <w:uiPriority w:val="0"/>
    <w:tblPr>
      <w:tblCellMar>
        <w:top w:w="0" w:type="dxa"/>
        <w:left w:w="108" w:type="dxa"/>
        <w:bottom w:w="0" w:type="dxa"/>
        <w:right w:w="108" w:type="dxa"/>
      </w:tblCellMar>
    </w:tblPr>
  </w:style>
  <w:style w:type="paragraph" w:styleId="5">
    <w:name w:val="Normal Indent"/>
    <w:basedOn w:val="1"/>
    <w:autoRedefine/>
    <w:qFormat/>
    <w:uiPriority w:val="0"/>
    <w:pPr>
      <w:ind w:firstLine="420"/>
    </w:pPr>
    <w:rPr>
      <w:szCs w:val="20"/>
    </w:rPr>
  </w:style>
  <w:style w:type="paragraph" w:styleId="6">
    <w:name w:val="annotation text"/>
    <w:basedOn w:val="1"/>
    <w:autoRedefine/>
    <w:qFormat/>
    <w:uiPriority w:val="0"/>
    <w:pPr>
      <w:jc w:val="left"/>
    </w:pPr>
  </w:style>
  <w:style w:type="paragraph" w:styleId="7">
    <w:name w:val="Body Text"/>
    <w:basedOn w:val="1"/>
    <w:next w:val="8"/>
    <w:autoRedefine/>
    <w:qFormat/>
    <w:uiPriority w:val="0"/>
    <w:pPr>
      <w:spacing w:after="120" w:afterLines="0"/>
    </w:pPr>
    <w:rPr>
      <w:szCs w:val="20"/>
    </w:rPr>
  </w:style>
  <w:style w:type="paragraph" w:styleId="8">
    <w:name w:val="header"/>
    <w:basedOn w:val="1"/>
    <w:autoRedefine/>
    <w:qFormat/>
    <w:uiPriority w:val="99"/>
    <w:pPr>
      <w:pBdr>
        <w:bottom w:val="single" w:color="auto" w:sz="6" w:space="1"/>
      </w:pBdr>
      <w:tabs>
        <w:tab w:val="center" w:pos="4153"/>
        <w:tab w:val="right" w:pos="8306"/>
      </w:tabs>
      <w:snapToGrid w:val="0"/>
      <w:jc w:val="center"/>
    </w:pPr>
    <w:rPr>
      <w:sz w:val="18"/>
      <w:szCs w:val="20"/>
    </w:rPr>
  </w:style>
  <w:style w:type="paragraph" w:styleId="9">
    <w:name w:val="Body Text Indent"/>
    <w:basedOn w:val="1"/>
    <w:autoRedefine/>
    <w:qFormat/>
    <w:uiPriority w:val="0"/>
    <w:pPr>
      <w:spacing w:after="120"/>
      <w:ind w:left="420" w:leftChars="200"/>
    </w:pPr>
    <w:rPr>
      <w:szCs w:val="20"/>
    </w:rPr>
  </w:style>
  <w:style w:type="paragraph" w:styleId="10">
    <w:name w:val="Plain Text"/>
    <w:basedOn w:val="1"/>
    <w:next w:val="7"/>
    <w:autoRedefine/>
    <w:qFormat/>
    <w:uiPriority w:val="0"/>
    <w:rPr>
      <w:rFonts w:ascii="宋体" w:hAnsi="Courier New"/>
      <w:szCs w:val="20"/>
    </w:rPr>
  </w:style>
  <w:style w:type="paragraph" w:styleId="11">
    <w:name w:val="footer"/>
    <w:basedOn w:val="1"/>
    <w:autoRedefine/>
    <w:qFormat/>
    <w:uiPriority w:val="99"/>
    <w:pPr>
      <w:tabs>
        <w:tab w:val="center" w:pos="4153"/>
        <w:tab w:val="right" w:pos="8306"/>
      </w:tabs>
      <w:snapToGrid w:val="0"/>
      <w:jc w:val="left"/>
    </w:pPr>
    <w:rPr>
      <w:sz w:val="18"/>
      <w:szCs w:val="20"/>
    </w:rPr>
  </w:style>
  <w:style w:type="paragraph" w:styleId="12">
    <w:name w:val="toc 1"/>
    <w:basedOn w:val="1"/>
    <w:next w:val="1"/>
    <w:autoRedefine/>
    <w:qFormat/>
    <w:uiPriority w:val="39"/>
    <w:pPr>
      <w:suppressAutoHyphens/>
      <w:snapToGrid w:val="0"/>
      <w:spacing w:before="120" w:after="120" w:line="300" w:lineRule="auto"/>
      <w:ind w:firstLine="560"/>
      <w:jc w:val="left"/>
    </w:pPr>
    <w:rPr>
      <w:rFonts w:ascii="Calibri" w:hAnsi="Calibri" w:eastAsia="仿宋_GB2312" w:cs="Calibri"/>
      <w:b/>
      <w:bCs/>
      <w:caps/>
      <w:kern w:val="0"/>
      <w:sz w:val="20"/>
      <w:szCs w:val="20"/>
      <w:lang w:val="zh-CN" w:eastAsia="ar-SA"/>
    </w:rPr>
  </w:style>
  <w:style w:type="paragraph" w:styleId="13">
    <w:name w:val="toc 2"/>
    <w:basedOn w:val="1"/>
    <w:next w:val="1"/>
    <w:autoRedefine/>
    <w:qFormat/>
    <w:uiPriority w:val="39"/>
    <w:pPr>
      <w:suppressAutoHyphens/>
      <w:snapToGrid w:val="0"/>
      <w:spacing w:line="300" w:lineRule="auto"/>
      <w:ind w:left="280" w:firstLine="560"/>
      <w:jc w:val="left"/>
    </w:pPr>
    <w:rPr>
      <w:rFonts w:ascii="Calibri" w:hAnsi="Calibri" w:eastAsia="仿宋_GB2312" w:cs="Calibri"/>
      <w:smallCaps/>
      <w:kern w:val="0"/>
      <w:sz w:val="20"/>
      <w:szCs w:val="20"/>
      <w:lang w:val="zh-CN" w:eastAsia="ar-SA"/>
    </w:rPr>
  </w:style>
  <w:style w:type="paragraph" w:styleId="14">
    <w:name w:val="Normal (Web)"/>
    <w:basedOn w:val="1"/>
    <w:autoRedefine/>
    <w:unhideWhenUsed/>
    <w:qFormat/>
    <w:uiPriority w:val="99"/>
    <w:pPr>
      <w:widowControl/>
      <w:spacing w:before="100" w:beforeAutospacing="1" w:after="100" w:afterAutospacing="1"/>
      <w:jc w:val="left"/>
    </w:pPr>
    <w:rPr>
      <w:rFonts w:ascii="宋体" w:hAnsi="宋体" w:cs="宋体"/>
      <w:kern w:val="0"/>
      <w:sz w:val="24"/>
    </w:rPr>
  </w:style>
  <w:style w:type="paragraph" w:styleId="15">
    <w:name w:val="Body Text First Indent"/>
    <w:basedOn w:val="7"/>
    <w:autoRedefine/>
    <w:qFormat/>
    <w:uiPriority w:val="0"/>
    <w:pPr>
      <w:ind w:firstLine="420"/>
    </w:pPr>
  </w:style>
  <w:style w:type="character" w:styleId="18">
    <w:name w:val="page number"/>
    <w:basedOn w:val="17"/>
    <w:autoRedefine/>
    <w:qFormat/>
    <w:uiPriority w:val="0"/>
  </w:style>
  <w:style w:type="character" w:styleId="19">
    <w:name w:val="Hyperlink"/>
    <w:basedOn w:val="17"/>
    <w:autoRedefine/>
    <w:qFormat/>
    <w:uiPriority w:val="0"/>
    <w:rPr>
      <w:color w:val="0000FF"/>
      <w:u w:val="single"/>
    </w:rPr>
  </w:style>
  <w:style w:type="paragraph" w:customStyle="1" w:styleId="20">
    <w:name w:val="zw"/>
    <w:basedOn w:val="1"/>
    <w:autoRedefine/>
    <w:qFormat/>
    <w:uiPriority w:val="0"/>
    <w:pPr>
      <w:adjustRightInd w:val="0"/>
      <w:spacing w:line="360" w:lineRule="auto"/>
      <w:ind w:firstLine="482"/>
      <w:textAlignment w:val="baseline"/>
    </w:pPr>
    <w:rPr>
      <w:rFonts w:ascii="Arial Narrow" w:hAnsi="Arial Narrow" w:eastAsia="楷体_GB2312"/>
      <w:kern w:val="0"/>
      <w:sz w:val="24"/>
      <w:szCs w:val="20"/>
    </w:rPr>
  </w:style>
  <w:style w:type="paragraph" w:customStyle="1" w:styleId="21">
    <w:name w:val="ZW"/>
    <w:basedOn w:val="1"/>
    <w:autoRedefine/>
    <w:qFormat/>
    <w:uiPriority w:val="0"/>
    <w:pPr>
      <w:adjustRightInd w:val="0"/>
      <w:spacing w:line="440" w:lineRule="atLeast"/>
      <w:ind w:firstLine="601"/>
      <w:textAlignment w:val="baseline"/>
    </w:pPr>
    <w:rPr>
      <w:rFonts w:ascii="Arial Narrow" w:eastAsia="昆仑楷体"/>
      <w:kern w:val="0"/>
      <w:sz w:val="28"/>
      <w:szCs w:val="20"/>
    </w:rPr>
  </w:style>
  <w:style w:type="character" w:customStyle="1" w:styleId="22">
    <w:name w:val="font11"/>
    <w:basedOn w:val="17"/>
    <w:autoRedefine/>
    <w:qFormat/>
    <w:uiPriority w:val="0"/>
    <w:rPr>
      <w:rFonts w:hint="default" w:ascii="Times New Roman" w:hAnsi="Times New Roman" w:cs="Times New Roman"/>
      <w:color w:val="000000"/>
      <w:sz w:val="20"/>
      <w:szCs w:val="20"/>
      <w:u w:val="none"/>
    </w:rPr>
  </w:style>
  <w:style w:type="character" w:customStyle="1" w:styleId="23">
    <w:name w:val="font41"/>
    <w:basedOn w:val="17"/>
    <w:autoRedefine/>
    <w:qFormat/>
    <w:uiPriority w:val="0"/>
    <w:rPr>
      <w:rFonts w:hint="eastAsia" w:ascii="宋体" w:hAnsi="宋体" w:eastAsia="宋体" w:cs="宋体"/>
      <w:b/>
      <w:color w:val="000000"/>
      <w:sz w:val="20"/>
      <w:szCs w:val="20"/>
      <w:u w:val="none"/>
    </w:rPr>
  </w:style>
  <w:style w:type="character" w:customStyle="1" w:styleId="24">
    <w:name w:val="font21"/>
    <w:basedOn w:val="17"/>
    <w:autoRedefine/>
    <w:qFormat/>
    <w:uiPriority w:val="0"/>
    <w:rPr>
      <w:rFonts w:hint="default" w:ascii="Times New Roman" w:hAnsi="Times New Roman" w:cs="Times New Roman"/>
      <w:color w:val="000000"/>
      <w:sz w:val="20"/>
      <w:szCs w:val="20"/>
      <w:u w:val="none"/>
    </w:rPr>
  </w:style>
  <w:style w:type="paragraph" w:customStyle="1" w:styleId="25">
    <w:name w:val="样式7"/>
    <w:basedOn w:val="1"/>
    <w:autoRedefine/>
    <w:qFormat/>
    <w:uiPriority w:val="0"/>
    <w:pPr>
      <w:spacing w:line="360" w:lineRule="auto"/>
      <w:ind w:firstLine="567"/>
    </w:pPr>
    <w:rPr>
      <w:rFonts w:ascii="仿宋_GB2312" w:eastAsia="仿宋_GB2312"/>
      <w:sz w:val="28"/>
    </w:rPr>
  </w:style>
  <w:style w:type="paragraph" w:customStyle="1" w:styleId="26">
    <w:name w:val="WPSOffice手动目录 1"/>
    <w:autoRedefine/>
    <w:qFormat/>
    <w:uiPriority w:val="0"/>
    <w:pPr>
      <w:ind w:leftChars="0"/>
    </w:pPr>
    <w:rPr>
      <w:rFonts w:asciiTheme="minorHAnsi" w:hAnsiTheme="minorHAnsi" w:eastAsiaTheme="minorEastAsia" w:cstheme="minorBidi"/>
      <w:sz w:val="20"/>
      <w:szCs w:val="20"/>
    </w:rPr>
  </w:style>
  <w:style w:type="paragraph" w:customStyle="1" w:styleId="27">
    <w:name w:val="WPSOffice手动目录 2"/>
    <w:autoRedefine/>
    <w:qFormat/>
    <w:uiPriority w:val="0"/>
    <w:pPr>
      <w:ind w:leftChars="200"/>
    </w:pPr>
    <w:rPr>
      <w:rFonts w:asciiTheme="minorHAnsi" w:hAnsiTheme="minorHAnsi" w:eastAsiaTheme="minorEastAsia" w:cstheme="minorBidi"/>
      <w:sz w:val="20"/>
      <w:szCs w:val="20"/>
    </w:rPr>
  </w:style>
  <w:style w:type="character" w:customStyle="1" w:styleId="28">
    <w:name w:val="font31"/>
    <w:basedOn w:val="17"/>
    <w:autoRedefine/>
    <w:qFormat/>
    <w:uiPriority w:val="0"/>
    <w:rPr>
      <w:rFonts w:hint="default" w:ascii="Times New Roman" w:hAnsi="Times New Roman" w:cs="Times New Roman"/>
      <w:color w:val="000000"/>
      <w:sz w:val="24"/>
      <w:szCs w:val="24"/>
      <w:u w:val="none"/>
    </w:rPr>
  </w:style>
  <w:style w:type="character" w:customStyle="1" w:styleId="29">
    <w:name w:val="font71"/>
    <w:basedOn w:val="17"/>
    <w:autoRedefine/>
    <w:qFormat/>
    <w:uiPriority w:val="0"/>
    <w:rPr>
      <w:rFonts w:hint="default" w:ascii="Times New Roman" w:hAnsi="Times New Roman" w:cs="Times New Roman"/>
      <w:color w:val="000000"/>
      <w:sz w:val="24"/>
      <w:szCs w:val="24"/>
      <w:u w:val="none"/>
    </w:rPr>
  </w:style>
  <w:style w:type="character" w:customStyle="1" w:styleId="30">
    <w:name w:val="标题 2 Char"/>
    <w:link w:val="3"/>
    <w:autoRedefine/>
    <w:qFormat/>
    <w:uiPriority w:val="9"/>
    <w:rPr>
      <w:rFonts w:asciiTheme="majorHAnsi" w:hAnsiTheme="majorHAnsi" w:eastAsiaTheme="majorEastAsia" w:cstheme="majorBidi"/>
      <w:b/>
      <w:bCs/>
      <w:sz w:val="32"/>
      <w:szCs w:val="32"/>
    </w:rPr>
  </w:style>
  <w:style w:type="character" w:customStyle="1" w:styleId="31">
    <w:name w:val="标题 3 Char"/>
    <w:link w:val="4"/>
    <w:autoRedefine/>
    <w:qFormat/>
    <w:uiPriority w:val="0"/>
    <w:rPr>
      <w:b/>
      <w:sz w:val="32"/>
    </w:rPr>
  </w:style>
  <w:style w:type="character" w:customStyle="1" w:styleId="32">
    <w:name w:val="font01"/>
    <w:basedOn w:val="17"/>
    <w:autoRedefine/>
    <w:qFormat/>
    <w:uiPriority w:val="0"/>
    <w:rPr>
      <w:rFonts w:hint="eastAsia" w:ascii="宋体" w:hAnsi="宋体" w:eastAsia="宋体" w:cs="宋体"/>
      <w:color w:val="000000"/>
      <w:sz w:val="24"/>
      <w:szCs w:val="24"/>
      <w:u w:val="none"/>
    </w:rPr>
  </w:style>
  <w:style w:type="character" w:customStyle="1" w:styleId="33">
    <w:name w:val="font61"/>
    <w:basedOn w:val="17"/>
    <w:autoRedefine/>
    <w:qFormat/>
    <w:uiPriority w:val="0"/>
    <w:rPr>
      <w:rFonts w:hint="eastAsia" w:ascii="宋体" w:hAnsi="宋体" w:eastAsia="宋体" w:cs="宋体"/>
      <w:color w:val="000000"/>
      <w:sz w:val="20"/>
      <w:szCs w:val="20"/>
      <w:u w:val="none"/>
    </w:rPr>
  </w:style>
  <w:style w:type="character" w:customStyle="1" w:styleId="34">
    <w:name w:val="font51"/>
    <w:basedOn w:val="17"/>
    <w:autoRedefine/>
    <w:qFormat/>
    <w:uiPriority w:val="0"/>
    <w:rPr>
      <w:rFonts w:hint="default" w:ascii="Times New Roman" w:hAnsi="Times New Roman" w:cs="Times New Roman"/>
      <w:b/>
      <w:bCs/>
      <w:color w:val="000000"/>
      <w:sz w:val="20"/>
      <w:szCs w:val="20"/>
      <w:u w:val="none"/>
    </w:rPr>
  </w:style>
  <w:style w:type="paragraph" w:customStyle="1" w:styleId="35">
    <w:name w:val="Default"/>
    <w:autoRedefine/>
    <w:qFormat/>
    <w:uiPriority w:val="0"/>
    <w:pPr>
      <w:widowControl w:val="0"/>
      <w:autoSpaceDE w:val="0"/>
      <w:autoSpaceDN w:val="0"/>
      <w:adjustRightInd w:val="0"/>
    </w:pPr>
    <w:rPr>
      <w:rFonts w:ascii="宋体" w:hAnsi="Calibri" w:eastAsia="宋体" w:cs="Mongolian Baiti"/>
      <w:color w:val="000000"/>
      <w:sz w:val="24"/>
      <w:szCs w:val="24"/>
      <w:lang w:val="en-US" w:eastAsia="zh-CN" w:bidi="ar-SA"/>
    </w:rPr>
  </w:style>
  <w:style w:type="paragraph" w:styleId="36">
    <w:name w:val="List Paragraph"/>
    <w:basedOn w:val="1"/>
    <w:qFormat/>
    <w:uiPriority w:val="34"/>
    <w:pPr>
      <w:ind w:firstLine="420"/>
    </w:pPr>
  </w:style>
</w:styles>
</file>

<file path=word/_rels/document.xml.rels><?xml version="1.0" encoding="UTF-8" standalone="yes"?>
<Relationships xmlns="http://schemas.openxmlformats.org/package/2006/relationships"><Relationship Id="rId9" Type="http://schemas.openxmlformats.org/officeDocument/2006/relationships/footer" Target="footer4.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1" Type="http://schemas.openxmlformats.org/officeDocument/2006/relationships/fontTable" Target="fontTable.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image" Target="media/image4.wmf"/><Relationship Id="rId17" Type="http://schemas.openxmlformats.org/officeDocument/2006/relationships/oleObject" Target="embeddings/oleObject4.bin"/><Relationship Id="rId16" Type="http://schemas.openxmlformats.org/officeDocument/2006/relationships/image" Target="media/image3.wmf"/><Relationship Id="rId15" Type="http://schemas.openxmlformats.org/officeDocument/2006/relationships/oleObject" Target="embeddings/oleObject3.bin"/><Relationship Id="rId14" Type="http://schemas.openxmlformats.org/officeDocument/2006/relationships/image" Target="media/image2.wmf"/><Relationship Id="rId13" Type="http://schemas.openxmlformats.org/officeDocument/2006/relationships/oleObject" Target="embeddings/oleObject2.bin"/><Relationship Id="rId12" Type="http://schemas.openxmlformats.org/officeDocument/2006/relationships/image" Target="media/image1.wmf"/><Relationship Id="rId11" Type="http://schemas.openxmlformats.org/officeDocument/2006/relationships/oleObject" Target="embeddings/oleObject1.bin"/><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18</Pages>
  <Words>687</Words>
  <Characters>706</Characters>
  <Lines>0</Lines>
  <Paragraphs>0</Paragraphs>
  <TotalTime>0</TotalTime>
  <ScaleCrop>false</ScaleCrop>
  <LinksUpToDate>false</LinksUpToDate>
  <CharactersWithSpaces>803</CharactersWithSpaces>
  <Application>WPS Office_12.1.0.22215_F1E327BC-269C-435d-A152-05C5408002CA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2014-10-29T12:08:00Z</dcterms:created>
  <dc:creator>Thinkpad</dc:creator>
  <cp:lastModifiedBy>Mr___吴</cp:lastModifiedBy>
  <cp:lastPrinted>2022-07-23T10:19:00Z</cp:lastPrinted>
  <dcterms:modified xsi:type="dcterms:W3CDTF">2025-07-28T01:38:00Z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2052-12.1.0.22215</vt:lpwstr>
  </property>
  <property fmtid="{D5CDD505-2E9C-101B-9397-08002B2CF9AE}" pid="3" name="ICV">
    <vt:lpwstr>837EA4CC2D7E4A0C87CF1F556BE9B934_13</vt:lpwstr>
  </property>
  <property fmtid="{D5CDD505-2E9C-101B-9397-08002B2CF9AE}" pid="4" name="KSOTemplateDocerSaveRecord">
    <vt:lpwstr>eyJoZGlkIjoiYmEwNmI4ZjUxM2JiYmI5MzE4ZjIxNzk2MTRlYjI5NDMiLCJ1c2VySWQiOiI0MTU5NjYxNTMifQ==</vt:lpwstr>
  </property>
</Properties>
</file>