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80"/>
        <w:jc w:val="center"/>
        <w:rPr>
          <w:rFonts w:ascii="方正小标宋简体;汉仪书宋二KW" w:hAnsi="方正小标宋简体;汉仪书宋二KW" w:eastAsia="方正小标宋简体;汉仪书宋二KW"/>
          <w:sz w:val="44"/>
          <w:szCs w:val="44"/>
        </w:rPr>
      </w:pPr>
      <w:r>
        <w:rPr>
          <w:rFonts w:ascii="方正小标宋简体;汉仪书宋二KW" w:hAnsi="方正小标宋简体;汉仪书宋二KW" w:eastAsia="方正小标宋简体;汉仪书宋二KW"/>
          <w:sz w:val="44"/>
          <w:szCs w:val="44"/>
        </w:rPr>
        <w:t>中信银行固定资产贷款</w:t>
      </w:r>
      <w:r>
        <w:rPr>
          <w:rFonts w:ascii="方正小标宋简体;汉仪书宋二KW" w:hAnsi="方正小标宋简体;汉仪书宋二KW" w:eastAsia="方正小标宋简体;汉仪书宋二KW"/>
          <w:sz w:val="44"/>
          <w:szCs w:val="44"/>
          <w:lang w:eastAsia="zh-CN"/>
        </w:rPr>
        <w:t>分行</w:t>
      </w:r>
      <w:r>
        <w:rPr>
          <w:rFonts w:ascii="方正小标宋简体;汉仪书宋二KW" w:hAnsi="方正小标宋简体;汉仪书宋二KW" w:eastAsia="方正小标宋简体;汉仪书宋二KW"/>
          <w:sz w:val="44"/>
          <w:szCs w:val="44"/>
        </w:rPr>
        <w:t>调查报告模板</w:t>
      </w:r>
    </w:p>
    <w:p>
      <w:pPr>
        <w:pStyle w:val="Normal"/>
        <w:snapToGrid w:val="false"/>
        <w:spacing w:lineRule="exact" w:line="480"/>
        <w:jc w:val="center"/>
        <w:rPr>
          <w:rFonts w:ascii="方正小标宋简体;汉仪书宋二KW" w:hAnsi="方正小标宋简体;汉仪书宋二KW" w:eastAsia="方正小标宋简体;汉仪书宋二KW"/>
          <w:sz w:val="44"/>
          <w:szCs w:val="44"/>
        </w:rPr>
      </w:pPr>
      <w:r>
        <w:rPr>
          <w:rFonts w:ascii="方正小标宋简体;汉仪书宋二KW" w:hAnsi="方正小标宋简体;汉仪书宋二KW" w:eastAsia="方正小标宋简体;汉仪书宋二KW"/>
          <w:sz w:val="44"/>
          <w:szCs w:val="44"/>
        </w:rPr>
        <w:t>（</w:t>
      </w:r>
      <w:r>
        <w:rPr>
          <w:rFonts w:eastAsia="方正小标宋简体;汉仪书宋二KW" w:ascii="方正小标宋简体;汉仪书宋二KW" w:hAnsi="方正小标宋简体;汉仪书宋二KW"/>
          <w:sz w:val="44"/>
          <w:szCs w:val="44"/>
          <w:lang w:val="en-US" w:eastAsia="zh-CN"/>
        </w:rPr>
        <w:t>2</w:t>
      </w:r>
      <w:r>
        <w:rPr>
          <w:rFonts w:eastAsia="方正小标宋简体;汉仪书宋二KW" w:ascii="方正小标宋简体;汉仪书宋二KW" w:hAnsi="方正小标宋简体;汉仪书宋二KW"/>
          <w:sz w:val="44"/>
          <w:szCs w:val="44"/>
        </w:rPr>
        <w:t>.0</w:t>
      </w:r>
      <w:r>
        <w:rPr>
          <w:rFonts w:ascii="方正小标宋简体;汉仪书宋二KW" w:hAnsi="方正小标宋简体;汉仪书宋二KW" w:eastAsia="方正小标宋简体;汉仪书宋二KW"/>
          <w:sz w:val="44"/>
          <w:szCs w:val="44"/>
        </w:rPr>
        <w:t>版，</w:t>
      </w:r>
      <w:r>
        <w:rPr>
          <w:rFonts w:eastAsia="方正小标宋简体;汉仪书宋二KW" w:ascii="方正小标宋简体;汉仪书宋二KW" w:hAnsi="方正小标宋简体;汉仪书宋二KW"/>
          <w:sz w:val="44"/>
          <w:szCs w:val="44"/>
        </w:rPr>
        <w:t>202</w:t>
      </w:r>
      <w:r>
        <w:rPr>
          <w:rFonts w:eastAsia="方正小标宋简体;汉仪书宋二KW" w:ascii="方正小标宋简体;汉仪书宋二KW" w:hAnsi="方正小标宋简体;汉仪书宋二KW"/>
          <w:sz w:val="44"/>
          <w:szCs w:val="44"/>
          <w:lang w:val="en-US" w:eastAsia="zh-CN"/>
        </w:rPr>
        <w:t>4</w:t>
      </w:r>
      <w:r>
        <w:rPr>
          <w:rFonts w:ascii="方正小标宋简体;汉仪书宋二KW" w:hAnsi="方正小标宋简体;汉仪书宋二KW" w:eastAsia="方正小标宋简体;汉仪书宋二KW"/>
          <w:sz w:val="44"/>
          <w:szCs w:val="44"/>
        </w:rPr>
        <w:t>年）</w:t>
      </w:r>
    </w:p>
    <w:p>
      <w:pPr>
        <w:pStyle w:val="Normal"/>
        <w:spacing w:lineRule="exact" w:line="480"/>
        <w:ind w:firstLine="480" w:right="0"/>
        <w:rPr>
          <w:rFonts w:ascii="方正小标宋简体;汉仪书宋二KW" w:hAnsi="方正小标宋简体;汉仪书宋二KW" w:eastAsia="方正小标宋简体;汉仪书宋二KW"/>
          <w:sz w:val="24"/>
          <w:szCs w:val="24"/>
        </w:rPr>
      </w:pPr>
      <w:r>
        <w:rPr>
          <w:rFonts w:eastAsia="方正小标宋简体;汉仪书宋二KW" w:ascii="方正小标宋简体;汉仪书宋二KW" w:hAnsi="方正小标宋简体;汉仪书宋二KW"/>
          <w:sz w:val="24"/>
          <w:szCs w:val="24"/>
        </w:rPr>
      </w:r>
    </w:p>
    <w:p>
      <w:pPr>
        <w:pStyle w:val="Normal"/>
        <w:spacing w:lineRule="exact" w:line="480"/>
        <w:ind w:firstLine="480" w:right="0"/>
        <w:rPr>
          <w:sz w:val="24"/>
          <w:szCs w:val="24"/>
        </w:rPr>
      </w:pPr>
      <w:r>
        <w:rPr>
          <w:sz w:val="24"/>
          <w:szCs w:val="24"/>
        </w:rPr>
      </w:r>
    </w:p>
    <w:p>
      <w:pPr>
        <w:pStyle w:val="Normal"/>
        <w:spacing w:lineRule="exact" w:line="480"/>
        <w:ind w:firstLine="480" w:right="0"/>
        <w:rPr>
          <w:sz w:val="24"/>
          <w:szCs w:val="24"/>
        </w:rPr>
      </w:pPr>
      <w:r>
        <w:rPr>
          <w:sz w:val="24"/>
          <w:szCs w:val="24"/>
        </w:rPr>
      </w:r>
    </w:p>
    <w:p>
      <w:pPr>
        <w:pStyle w:val="Normal"/>
        <w:snapToGrid w:val="false"/>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填报说明：</w:t>
      </w:r>
    </w:p>
    <w:p>
      <w:pPr>
        <w:pStyle w:val="Normal"/>
        <w:spacing w:lineRule="exact" w:line="480"/>
        <w:ind w:firstLine="420" w:right="0"/>
        <w:rPr>
          <w:rFonts w:ascii="宋体;汉仪书宋二KW" w:hAnsi="宋体;汉仪书宋二KW" w:eastAsia="宋体;汉仪书宋二KW" w:cs="宋体;汉仪书宋二KW"/>
          <w:szCs w:val="21"/>
          <w:lang w:val="en-US" w:eastAsia="zh-CN"/>
        </w:rPr>
      </w:pPr>
      <w:r>
        <w:rPr>
          <w:rFonts w:eastAsia="宋体;汉仪书宋二KW" w:cs="宋体;汉仪书宋二KW" w:ascii="宋体;汉仪书宋二KW" w:hAnsi="宋体;汉仪书宋二KW"/>
          <w:szCs w:val="21"/>
          <w:lang w:val="en-US" w:eastAsia="zh-CN"/>
        </w:rPr>
        <w:t>1</w:t>
      </w:r>
      <w:r>
        <w:rPr>
          <w:rFonts w:ascii="宋体;汉仪书宋二KW" w:hAnsi="宋体;汉仪书宋二KW" w:cs="宋体;汉仪书宋二KW"/>
          <w:szCs w:val="21"/>
          <w:lang w:val="en-US" w:eastAsia="zh-CN"/>
        </w:rPr>
        <w:t>、本模板适用于固定资产贷款（含项目融资），不适用房地产开发贷款。</w:t>
      </w:r>
    </w:p>
    <w:p>
      <w:pPr>
        <w:pStyle w:val="Normal"/>
        <w:spacing w:lineRule="exact" w:line="480"/>
        <w:ind w:firstLine="420" w:right="0"/>
        <w:rPr>
          <w:rFonts w:ascii="宋体;汉仪书宋二KW" w:hAnsi="宋体;汉仪书宋二KW" w:eastAsia="宋体;汉仪书宋二KW" w:cs="宋体;汉仪书宋二KW"/>
          <w:szCs w:val="21"/>
          <w:lang w:val="en-US" w:eastAsia="zh-CN"/>
        </w:rPr>
      </w:pPr>
      <w:r>
        <w:rPr>
          <w:rFonts w:eastAsia="宋体;汉仪书宋二KW" w:cs="宋体;汉仪书宋二KW" w:ascii="宋体;汉仪书宋二KW" w:hAnsi="宋体;汉仪书宋二KW"/>
          <w:szCs w:val="21"/>
          <w:lang w:val="en-US" w:eastAsia="zh-CN"/>
        </w:rPr>
        <w:t>2</w:t>
      </w:r>
      <w:r>
        <w:rPr>
          <w:rFonts w:ascii="宋体;汉仪书宋二KW" w:hAnsi="宋体;汉仪书宋二KW" w:cs="宋体;汉仪书宋二KW"/>
          <w:szCs w:val="21"/>
          <w:lang w:val="en-US" w:eastAsia="zh-CN"/>
        </w:rPr>
        <w:t>、不再区分一般固定资产和重大固定资产。</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lang w:val="en-US" w:eastAsia="zh-CN"/>
        </w:rPr>
        <w:t>3</w:t>
      </w:r>
      <w:r>
        <w:rPr>
          <w:rFonts w:ascii="宋体;汉仪书宋二KW" w:hAnsi="宋体;汉仪书宋二KW" w:cs="宋体;汉仪书宋二KW"/>
          <w:szCs w:val="21"/>
          <w:lang w:val="en-US" w:eastAsia="zh-CN"/>
        </w:rPr>
        <w:t>、</w:t>
      </w:r>
      <w:r>
        <w:rPr>
          <w:rFonts w:ascii="宋体;汉仪书宋二KW" w:hAnsi="宋体;汉仪书宋二KW" w:cs="宋体;汉仪书宋二KW"/>
          <w:szCs w:val="21"/>
          <w:lang w:val="en-US" w:eastAsia="zh-CN"/>
        </w:rPr>
        <w:t>由</w:t>
      </w:r>
      <w:r>
        <w:rPr>
          <w:rFonts w:ascii="宋体;汉仪书宋二KW" w:hAnsi="宋体;汉仪书宋二KW" w:cs="宋体;汉仪书宋二KW"/>
          <w:szCs w:val="21"/>
        </w:rPr>
        <w:t>于项目前期</w:t>
      </w:r>
      <w:r>
        <w:rPr>
          <w:rFonts w:ascii="宋体;汉仪书宋二KW" w:hAnsi="宋体;汉仪书宋二KW" w:cs="宋体;汉仪书宋二KW"/>
          <w:szCs w:val="21"/>
          <w:lang w:eastAsia="zh-CN"/>
        </w:rPr>
        <w:t>贷款</w:t>
      </w:r>
      <w:r>
        <w:rPr>
          <w:rFonts w:ascii="宋体;汉仪书宋二KW" w:hAnsi="宋体;汉仪书宋二KW" w:cs="宋体;汉仪书宋二KW"/>
          <w:szCs w:val="21"/>
        </w:rPr>
        <w:t>后续须由固定资产贷款接续，故项目前期</w:t>
      </w:r>
      <w:r>
        <w:rPr>
          <w:rFonts w:ascii="宋体;汉仪书宋二KW" w:hAnsi="宋体;汉仪书宋二KW" w:cs="宋体;汉仪书宋二KW"/>
          <w:szCs w:val="21"/>
          <w:lang w:eastAsia="zh-CN"/>
        </w:rPr>
        <w:t>贷款</w:t>
      </w:r>
      <w:r>
        <w:rPr>
          <w:rFonts w:ascii="宋体;汉仪书宋二KW" w:hAnsi="宋体;汉仪书宋二KW" w:cs="宋体;汉仪书宋二KW"/>
          <w:szCs w:val="21"/>
        </w:rPr>
        <w:t>参考本模板撰写报告。</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lang w:val="en-US" w:eastAsia="zh-CN"/>
        </w:rPr>
        <w:t>4</w:t>
      </w:r>
      <w:r>
        <w:rPr>
          <w:rFonts w:ascii="宋体;汉仪书宋二KW" w:hAnsi="宋体;汉仪书宋二KW" w:cs="宋体;汉仪书宋二KW"/>
          <w:szCs w:val="21"/>
          <w:lang w:val="en-US" w:eastAsia="zh-CN"/>
        </w:rPr>
        <w:t>、</w:t>
      </w:r>
      <w:r>
        <w:rPr>
          <w:rFonts w:ascii="宋体;汉仪书宋二KW" w:hAnsi="宋体;汉仪书宋二KW" w:cs="宋体;汉仪书宋二KW"/>
          <w:szCs w:val="21"/>
        </w:rPr>
        <w:t>可根据客户类型、授信产品、风险缓释手段等情况对模板内容进行优化，增加必要的内容或减少不必要的内容。对于未按规定填写的内容，须填写理由。</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lang w:val="en-US" w:eastAsia="zh-CN"/>
        </w:rPr>
        <w:t>5</w:t>
      </w:r>
      <w:r>
        <w:rPr>
          <w:rFonts w:ascii="宋体;汉仪书宋二KW" w:hAnsi="宋体;汉仪书宋二KW" w:cs="宋体;汉仪书宋二KW"/>
          <w:szCs w:val="21"/>
        </w:rPr>
        <w:t>、报告正文为宋体五号号字，正文行间距：</w:t>
      </w:r>
      <w:r>
        <w:rPr>
          <w:rFonts w:cs="宋体;汉仪书宋二KW" w:ascii="宋体;汉仪书宋二KW" w:hAnsi="宋体;汉仪书宋二KW"/>
          <w:szCs w:val="21"/>
        </w:rPr>
        <w:t>2</w:t>
      </w:r>
      <w:r>
        <w:rPr>
          <w:rFonts w:cs="宋体;汉仪书宋二KW" w:ascii="宋体;汉仪书宋二KW" w:hAnsi="宋体;汉仪书宋二KW"/>
          <w:szCs w:val="21"/>
        </w:rPr>
        <w:t>4</w:t>
      </w:r>
      <w:r>
        <w:rPr>
          <w:rFonts w:ascii="宋体;汉仪书宋二KW" w:hAnsi="宋体;汉仪书宋二KW" w:cs="宋体;汉仪书宋二KW"/>
          <w:szCs w:val="21"/>
        </w:rPr>
        <w:t>磅。表格统一采用宋体五号字（可适当选用小五号字）。</w:t>
      </w:r>
    </w:p>
    <w:p>
      <w:pPr>
        <w:pStyle w:val="Normal"/>
        <w:snapToGrid w:val="false"/>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lang w:val="en-US" w:eastAsia="zh-CN"/>
        </w:rPr>
        <w:t>6</w:t>
      </w:r>
      <w:r>
        <w:rPr>
          <w:rFonts w:ascii="宋体;汉仪书宋二KW" w:hAnsi="宋体;汉仪书宋二KW" w:cs="宋体;汉仪书宋二KW"/>
          <w:szCs w:val="21"/>
        </w:rPr>
        <w:t>、所有采信资料上传信贷系统。采信材料复印件须签署“经与原件核实无误”，并由客户经理、经营机构负责人签字确认。</w:t>
      </w:r>
    </w:p>
    <w:p>
      <w:pPr>
        <w:pStyle w:val="Normal"/>
        <w:snapToGrid w:val="false"/>
        <w:spacing w:lineRule="exact" w:line="480"/>
        <w:ind w:firstLine="420" w:right="0"/>
        <w:rPr>
          <w:b/>
          <w:szCs w:val="21"/>
        </w:rPr>
      </w:pPr>
      <w:r>
        <w:rPr>
          <w:rFonts w:cs="宋体;汉仪书宋二KW" w:ascii="宋体;汉仪书宋二KW" w:hAnsi="宋体;汉仪书宋二KW"/>
          <w:szCs w:val="21"/>
          <w:lang w:val="en-US" w:eastAsia="zh-CN"/>
        </w:rPr>
        <w:t>7</w:t>
      </w:r>
      <w:r>
        <w:rPr>
          <w:rFonts w:ascii="宋体;汉仪书宋二KW" w:hAnsi="宋体;汉仪书宋二KW" w:cs="宋体;汉仪书宋二KW"/>
          <w:szCs w:val="21"/>
        </w:rPr>
        <w:t>、各授信业务发起机构，应按照“经营主责任人”的相关制度的规定，签署《经营主责任人签字确认表》，并上传信贷系统。</w:t>
      </w:r>
    </w:p>
    <w:p>
      <w:pPr>
        <w:pStyle w:val="Normal"/>
        <w:spacing w:lineRule="exact" w:line="480"/>
        <w:rPr>
          <w:rFonts w:ascii="宋体;汉仪书宋二KW" w:hAnsi="宋体;汉仪书宋二KW" w:cs="宋体;汉仪书宋二KW"/>
          <w:szCs w:val="21"/>
        </w:rPr>
      </w:pPr>
      <w:r>
        <w:rPr>
          <w:rFonts w:eastAsia="Times New Roman"/>
          <w:szCs w:val="21"/>
        </w:rPr>
        <w:t xml:space="preserve">  </w:t>
      </w:r>
      <w:r>
        <w:rPr>
          <w:rFonts w:ascii="宋体;汉仪书宋二KW" w:hAnsi="宋体;汉仪书宋二KW" w:cs="宋体;汉仪书宋二KW"/>
          <w:szCs w:val="21"/>
        </w:rPr>
        <w:t xml:space="preserve"> </w:t>
      </w:r>
      <w:r>
        <w:rPr>
          <w:rFonts w:ascii="宋体;汉仪书宋二KW" w:hAnsi="宋体;汉仪书宋二KW" w:cs="宋体;汉仪书宋二KW"/>
          <w:szCs w:val="21"/>
        </w:rPr>
        <w:t xml:space="preserve"> </w:t>
      </w:r>
      <w:r>
        <w:br w:type="page"/>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调查人员声明：</w:t>
      </w:r>
    </w:p>
    <w:p>
      <w:pPr>
        <w:pStyle w:val="Normal"/>
        <w:spacing w:lineRule="exact" w:line="480"/>
        <w:rPr>
          <w:rFonts w:ascii="宋体;汉仪书宋二KW" w:hAnsi="宋体;汉仪书宋二KW" w:cs="宋体;汉仪书宋二KW"/>
          <w:szCs w:val="21"/>
        </w:rPr>
      </w:pPr>
      <w:r>
        <w:rPr>
          <w:rFonts w:ascii="宋体;汉仪书宋二KW" w:hAnsi="宋体;汉仪书宋二KW" w:cs="宋体;汉仪书宋二KW"/>
          <w:szCs w:val="21"/>
        </w:rPr>
        <w:t xml:space="preserve">    </w:t>
      </w:r>
      <w:r>
        <w:rPr>
          <w:rFonts w:ascii="宋体;汉仪书宋二KW" w:hAnsi="宋体;汉仪书宋二KW" w:cs="宋体;汉仪书宋二KW"/>
          <w:szCs w:val="21"/>
        </w:rPr>
        <w:t>项目主办客户经理</w:t>
      </w:r>
      <w:r>
        <w:rPr>
          <w:rFonts w:ascii="宋体;汉仪书宋二KW" w:hAnsi="宋体;汉仪书宋二KW" w:cs="宋体;汉仪书宋二KW"/>
          <w:szCs w:val="21"/>
          <w:lang w:eastAsia="zh-CN"/>
        </w:rPr>
        <w:t>刘洋洋</w:t>
      </w:r>
      <w:r>
        <w:rPr>
          <w:rFonts w:ascii="宋体;汉仪书宋二KW" w:hAnsi="宋体;汉仪书宋二KW" w:cs="宋体;汉仪书宋二KW"/>
          <w:szCs w:val="21"/>
        </w:rPr>
        <w:t>与协办客户经理</w:t>
      </w:r>
      <w:r>
        <w:rPr>
          <w:rFonts w:ascii="宋体;汉仪书宋二KW" w:hAnsi="宋体;汉仪书宋二KW" w:cs="宋体;汉仪书宋二KW"/>
          <w:szCs w:val="21"/>
          <w:lang w:eastAsia="zh-CN"/>
        </w:rPr>
        <w:t>范智超</w:t>
      </w:r>
      <w:r>
        <w:rPr>
          <w:rFonts w:ascii="宋体;汉仪书宋二KW" w:hAnsi="宋体;汉仪书宋二KW" w:cs="宋体;汉仪书宋二KW"/>
          <w:szCs w:val="21"/>
        </w:rPr>
        <w:t>对该公司进行了现场调查，对企业财务报表现场进行了账账、账表、账实核对，并与审计机构的审计报告原件核对一致，对其他材料的复印件也与原件进行了核实。</w:t>
      </w:r>
    </w:p>
    <w:p>
      <w:pPr>
        <w:pStyle w:val="Normal"/>
        <w:spacing w:lineRule="exact" w:line="480"/>
        <w:rPr>
          <w:rFonts w:ascii="宋体;汉仪书宋二KW" w:hAnsi="宋体;汉仪书宋二KW" w:cs="宋体;汉仪书宋二KW"/>
          <w:szCs w:val="21"/>
        </w:rPr>
      </w:pPr>
      <w:r>
        <w:rPr>
          <w:rFonts w:ascii="宋体;汉仪书宋二KW" w:hAnsi="宋体;汉仪书宋二KW" w:cs="宋体;汉仪书宋二KW"/>
          <w:szCs w:val="21"/>
        </w:rPr>
        <w:t xml:space="preserve">    </w:t>
      </w:r>
      <w:r>
        <w:rPr>
          <w:rFonts w:ascii="宋体;汉仪书宋二KW" w:hAnsi="宋体;汉仪书宋二KW" w:cs="宋体;汉仪书宋二KW"/>
          <w:szCs w:val="21"/>
        </w:rPr>
        <w:t>调查人员与该公司不存在《中华人民共和国商业银行法》规定的关系人关系。</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调查人员对提交的调查报告及企业提供材料的真实性、完整性、有效性负责。</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r>
    </w:p>
    <w:p>
      <w:pPr>
        <w:pStyle w:val="Normal"/>
        <w:spacing w:lineRule="exact" w:line="480"/>
        <w:ind w:firstLine="420" w:right="0"/>
        <w:rPr>
          <w:szCs w:val="21"/>
        </w:rPr>
      </w:pPr>
      <w:r>
        <w:rPr>
          <w:szCs w:val="21"/>
        </w:rPr>
        <w:t>主办客户经理：</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协办客户经理：</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经营机构分管领导：</w:t>
      </w:r>
    </w:p>
    <w:p>
      <w:pPr>
        <w:pStyle w:val="Normal"/>
        <w:spacing w:lineRule="exact" w:line="480"/>
        <w:ind w:firstLine="420" w:right="0"/>
        <w:rPr>
          <w:szCs w:val="21"/>
        </w:rPr>
      </w:pPr>
      <w:r>
        <w:rPr>
          <w:szCs w:val="21"/>
        </w:rPr>
        <w:t>联系电话：</w:t>
      </w:r>
    </w:p>
    <w:p>
      <w:pPr>
        <w:pStyle w:val="Normal"/>
        <w:spacing w:lineRule="exact" w:line="480"/>
        <w:ind w:firstLine="420" w:right="0"/>
        <w:rPr>
          <w:szCs w:val="21"/>
        </w:rPr>
      </w:pPr>
      <w:r>
        <w:rPr>
          <w:szCs w:val="21"/>
        </w:rPr>
      </w:r>
    </w:p>
    <w:p>
      <w:pPr>
        <w:pStyle w:val="Normal"/>
        <w:spacing w:lineRule="exact" w:line="480"/>
        <w:ind w:firstLine="420" w:right="0"/>
        <w:rPr>
          <w:szCs w:val="21"/>
        </w:rPr>
      </w:pPr>
      <w:r>
        <w:rPr>
          <w:szCs w:val="21"/>
        </w:rPr>
        <w:t>经营机构负责人：</w:t>
      </w:r>
    </w:p>
    <w:p>
      <w:pPr>
        <w:pStyle w:val="Normal"/>
        <w:spacing w:lineRule="exact" w:line="480"/>
        <w:ind w:firstLine="420" w:right="0"/>
        <w:rPr>
          <w:szCs w:val="21"/>
        </w:rPr>
      </w:pPr>
      <w:r>
        <w:rPr>
          <w:szCs w:val="21"/>
        </w:rPr>
        <w:t>联系电话：</w:t>
      </w:r>
    </w:p>
    <w:p>
      <w:pPr>
        <w:pStyle w:val="Normal"/>
        <w:spacing w:lineRule="exact" w:line="480"/>
        <w:ind w:firstLine="480" w:right="0"/>
        <w:rPr>
          <w:sz w:val="24"/>
          <w:szCs w:val="24"/>
        </w:rPr>
      </w:pPr>
      <w:r>
        <w:rPr>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b/>
          <w:sz w:val="24"/>
          <w:szCs w:val="24"/>
        </w:rPr>
      </w:pPr>
      <w:r>
        <w:rPr>
          <w:b/>
          <w:sz w:val="24"/>
          <w:szCs w:val="24"/>
        </w:rPr>
      </w:r>
    </w:p>
    <w:p>
      <w:pPr>
        <w:pStyle w:val="Normal"/>
        <w:spacing w:lineRule="exact" w:line="480"/>
        <w:ind w:firstLine="471" w:right="0"/>
        <w:rPr>
          <w:rFonts w:ascii="黑体;汉仪中黑KW" w:hAnsi="黑体;汉仪中黑KW" w:eastAsia="黑体;汉仪中黑KW" w:cs="黑体;汉仪中黑KW"/>
          <w:b/>
          <w:sz w:val="24"/>
          <w:szCs w:val="24"/>
        </w:rPr>
      </w:pPr>
      <w:r>
        <w:rPr>
          <w:rFonts w:ascii="黑体;汉仪中黑KW" w:hAnsi="黑体;汉仪中黑KW" w:cs="黑体;汉仪中黑KW" w:eastAsia="黑体;汉仪中黑KW"/>
          <w:b/>
          <w:sz w:val="24"/>
          <w:szCs w:val="24"/>
        </w:rPr>
        <w:t>一、授信申请方案</w:t>
      </w:r>
    </w:p>
    <w:p>
      <w:pPr>
        <w:pStyle w:val="Normal"/>
        <w:snapToGrid w:val="false"/>
        <w:spacing w:lineRule="exact" w:line="480"/>
        <w:ind w:firstLine="480" w:right="0"/>
        <w:rPr>
          <w:rFonts w:ascii="楷体;汉仪楷体KW" w:hAnsi="楷体;汉仪楷体KW" w:eastAsia="楷体;汉仪楷体KW" w:cs="楷体;汉仪楷体KW"/>
          <w:sz w:val="24"/>
          <w:szCs w:val="24"/>
        </w:rPr>
      </w:pPr>
      <w:r>
        <w:rPr>
          <w:rFonts w:ascii="楷体;汉仪楷体KW" w:hAnsi="楷体;汉仪楷体KW" w:cs="楷体;汉仪楷体KW" w:eastAsia="楷体;汉仪楷体KW"/>
          <w:sz w:val="24"/>
          <w:szCs w:val="24"/>
        </w:rPr>
        <w:t>（一）授信申请方案</w:t>
      </w:r>
    </w:p>
    <w:tbl>
      <w:tblPr>
        <w:tblW w:w="9222" w:type="dxa"/>
        <w:jc w:val="left"/>
        <w:tblInd w:w="0" w:type="dxa"/>
        <w:tblLayout w:type="fixed"/>
        <w:tblCellMar>
          <w:top w:w="0" w:type="dxa"/>
          <w:left w:w="108" w:type="dxa"/>
          <w:bottom w:w="0" w:type="dxa"/>
          <w:right w:w="108" w:type="dxa"/>
        </w:tblCellMar>
      </w:tblPr>
      <w:tblGrid>
        <w:gridCol w:w="2959"/>
        <w:gridCol w:w="1626"/>
        <w:gridCol w:w="2013"/>
        <w:gridCol w:w="2624"/>
      </w:tblGrid>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中水（临漳）水务有限公司</w:t>
            </w:r>
          </w:p>
        </w:tc>
        <w:tc>
          <w:tcPr>
            <w:tcW w:w="6263" w:type="dxa"/>
            <w:gridSpan w:val="3"/>
            <w:tcBorders>
              <w:top w:val="single" w:sz="4" w:space="0" w:color="000000"/>
              <w:left w:val="single" w:sz="4" w:space="0" w:color="000000"/>
              <w:bottom w:val="single" w:sz="4" w:space="0" w:color="000000"/>
              <w:right w:val="single" w:sz="4" w:space="0" w:color="000000"/>
            </w:tcBorders>
          </w:tcPr>
          <w:p>
            <w:r/>
            <w:r>
              <w:rPr>
                <w:b w:val="0"/>
                <w:sz w:val="21"/>
              </w:rPr>
              <w:t>中水（临漳）水务有限公司</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D46 水的生产和供应业</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D46 水的生产和供应业</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szCs w:val="21"/>
                <w:highlight w:val="none"/>
              </w:rPr>
            </w:pPr>
            <w:r>
              <w:rPr>
                <w:rFonts w:ascii="宋体;汉仪书宋二KW" w:hAnsi="宋体;汉仪书宋二KW"/>
                <w:szCs w:val="21"/>
              </w:rPr>
              <w:t xml:space="preserve">自来水生产和供应 </w:t>
            </w:r>
            <w:r>
              <w:rPr>
                <w:rFonts w:ascii="宋体;汉仪书宋二KW" w:hAnsi="宋体;汉仪书宋二KW"/>
                <w:szCs w:val="21"/>
              </w:rPr>
              <w:t>(D4610)</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拟申请固定资产贷款</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水利管理业</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szCs w:val="21"/>
                <w:highlight w:val="none"/>
              </w:rPr>
            </w:pPr>
            <w:r>
              <w:rPr>
                <w:rFonts w:ascii="宋体;汉仪书宋二KW" w:hAnsi="宋体;汉仪书宋二KW"/>
                <w:szCs w:val="21"/>
              </w:rPr>
              <w:t xml:space="preserve">自来水生产和供应 </w:t>
            </w:r>
            <w:r>
              <w:rPr>
                <w:rFonts w:ascii="宋体;汉仪书宋二KW" w:hAnsi="宋体;汉仪书宋二KW"/>
                <w:szCs w:val="21"/>
              </w:rPr>
              <w:t>(D4610)</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否</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城镇供水特许经营项目</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eastAsia="宋体;汉仪书宋二KW"/>
                <w:szCs w:val="21"/>
                <w:highlight w:val="yellow"/>
                <w:lang w:val="en-US" w:eastAsia="zh-CN"/>
              </w:rPr>
            </w:pPr>
            <w:r>
              <w:rPr>
                <w:rFonts w:ascii="宋体;汉仪书宋二KW" w:hAnsi="宋体;汉仪书宋二KW"/>
                <w:szCs w:val="21"/>
                <w:lang w:val="en-US" w:eastAsia="zh-CN"/>
              </w:rPr>
              <w:t>固定资产贷款</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拟申请（具体金额待可研确认）</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待确认</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待确认</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eastAsia="宋体;汉仪书宋二KW"/>
                <w:szCs w:val="21"/>
                <w:lang w:eastAsia="zh-CN"/>
              </w:rPr>
            </w:pPr>
            <w:r>
              <w:rPr>
                <w:rFonts w:ascii="宋体;汉仪书宋二KW" w:hAnsi="宋体;汉仪书宋二KW"/>
                <w:szCs w:val="21"/>
                <w:lang w:eastAsia="zh-CN"/>
              </w:rPr>
              <w:t>按我行要求执行</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rPr>
                <w:rFonts w:ascii="宋体;汉仪书宋二KW" w:hAnsi="宋体;汉仪书宋二KW" w:cs="宋体;汉仪书宋二KW"/>
                <w:bCs/>
                <w:szCs w:val="21"/>
                <w:highlight w:val="yellow"/>
              </w:rPr>
            </w:pPr>
            <w:r>
              <w:rPr>
                <w:rFonts w:cs="宋体;汉仪书宋二KW" w:ascii="宋体;汉仪书宋二KW" w:hAnsi="宋体;汉仪书宋二KW"/>
                <w:bCs/>
                <w:szCs w:val="21"/>
                <w:highlight w:val="yellow"/>
              </w:rPr>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特许经营权质押+供水收费权质押+项目资产抵押</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待确认</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eastAsia="宋体;汉仪书宋二KW"/>
                <w:szCs w:val="21"/>
                <w:lang w:eastAsia="zh-CN"/>
              </w:rPr>
            </w:pPr>
            <w:r>
              <w:rPr>
                <w:rFonts w:ascii="宋体;汉仪书宋二KW" w:hAnsi="宋体;汉仪书宋二KW"/>
                <w:szCs w:val="21"/>
                <w:lang w:eastAsia="zh-CN"/>
              </w:rPr>
              <w:t>按我行要求执行</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eastAsia="宋体;汉仪书宋二KW"/>
                <w:szCs w:val="21"/>
                <w:lang w:val="en-US" w:eastAsia="zh-CN"/>
              </w:rPr>
            </w:pPr>
            <w:r>
              <w:rPr>
                <w:rFonts w:ascii="宋体;汉仪书宋二KW" w:hAnsi="宋体;汉仪书宋二KW"/>
                <w:szCs w:val="21"/>
                <w:lang w:val="en-US" w:eastAsia="zh-CN"/>
              </w:rPr>
              <w:t>0</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eastAsia="宋体;汉仪书宋二KW"/>
                <w:szCs w:val="21"/>
                <w:lang w:val="en-US" w:eastAsia="zh-CN"/>
              </w:rPr>
            </w:pPr>
            <w:r>
              <w:rPr>
                <w:rFonts w:ascii="宋体;汉仪书宋二KW" w:hAnsi="宋体;汉仪书宋二KW"/>
                <w:szCs w:val="21"/>
                <w:lang w:eastAsia="zh-CN"/>
              </w:rPr>
              <w:t>基建行业事业部</w:t>
            </w:r>
            <w:r>
              <w:rPr>
                <w:rFonts w:ascii="宋体;汉仪书宋二KW" w:hAnsi="宋体;汉仪书宋二KW"/>
                <w:szCs w:val="21"/>
                <w:lang w:val="en-US" w:eastAsia="zh-CN"/>
              </w:rPr>
              <w:t xml:space="preserve"> 吴疆</w:t>
            </w:r>
          </w:p>
        </w:tc>
      </w:tr>
      <w:tr>
        <w:trPr/>
        <w:tc>
          <w:tcPr>
            <w:tcW w:w="2959"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62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13"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6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eastAsia="宋体;汉仪书宋二KW"/>
                <w:szCs w:val="21"/>
                <w:lang w:eastAsia="zh-CN"/>
              </w:rPr>
            </w:pPr>
            <w:r>
              <w:rPr>
                <w:rFonts w:ascii="宋体;汉仪书宋二KW" w:hAnsi="宋体;汉仪书宋二KW"/>
                <w:szCs w:val="21"/>
                <w:lang w:eastAsia="zh-CN"/>
              </w:rPr>
              <w:t>同意上报该授信</w:t>
            </w:r>
          </w:p>
        </w:tc>
      </w:tr>
    </w:tbl>
    <w:p>
      <w:pPr>
        <w:pStyle w:val="Normal"/>
        <w:spacing w:lineRule="exact" w:line="480"/>
        <w:ind w:firstLine="420" w:right="0"/>
        <w:rPr>
          <w:rFonts w:ascii="宋体;汉仪书宋二KW" w:hAnsi="宋体;汉仪书宋二KW" w:eastAsia="宋体;汉仪书宋二KW" w:cs="宋体;汉仪书宋二KW"/>
          <w:szCs w:val="21"/>
          <w:lang w:val="en-US" w:eastAsia="zh-CN"/>
        </w:rPr>
      </w:pPr>
      <w:r>
        <w:rPr>
          <w:rFonts w:ascii="宋体" w:hAnsi="宋体" w:eastAsia="宋体"/>
          <w:sz w:val="21"/>
        </w:rPr>
        <w:t>我部拟为中水（临漳）水务有限公司（以下简称"公司"或"借款人"）申请固定资产贷款，用于支付临漳县40年供水经营权转让价款及项目建设投资。贷款额度拟根据项目可研报告确定，贷款期限拟申请15-20年，担保方式为特许经营权质押+供水收费权质押+项目资产抵押+邺城供水集团有限公司持有的借款人100%股权质押。</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、此处可完整表</w:t>
      </w:r>
      <w:r>
        <w:rPr>
          <w:rFonts w:ascii="宋体;汉仪书宋二KW" w:hAnsi="宋体;汉仪书宋二KW" w:cs="宋体;汉仪书宋二KW"/>
          <w:szCs w:val="21"/>
        </w:rPr>
        <w:t>述授信业务申请方案，</w:t>
      </w:r>
      <w:r>
        <w:rPr>
          <w:rFonts w:ascii="宋体;汉仪书宋二KW" w:hAnsi="宋体;汉仪书宋二KW" w:cs="宋体;汉仪书宋二KW"/>
          <w:szCs w:val="21"/>
        </w:rPr>
        <w:t>对借款人、授信金额、贷款用途、期限（贷款期限、提款期及宽限期）、还款安排、担保方式、利（费）率、前提条件等基本要素必须有清晰表述。</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2</w:t>
      </w:r>
      <w:r>
        <w:rPr>
          <w:rFonts w:ascii="宋体;汉仪书宋二KW" w:hAnsi="宋体;汉仪书宋二KW" w:cs="宋体;汉仪书宋二KW"/>
          <w:szCs w:val="21"/>
        </w:rPr>
        <w:t>、如贷款采用银团或行内联合贷款形式的，需列明银团（或行内联合贷款）备忘录和相关条款文本等内容，包括但不限于贷款总金额，银团各方的角色和份额，银团主要条件等。</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3</w:t>
      </w:r>
      <w:r>
        <w:rPr>
          <w:rFonts w:ascii="宋体;汉仪书宋二KW" w:hAnsi="宋体;汉仪书宋二KW" w:cs="宋体;汉仪书宋二KW"/>
          <w:szCs w:val="21"/>
        </w:rPr>
        <w:t>、如涉及特殊交易结构及操作模式，须对模式进行说明，尽量以图表配以文字形式说明模式的关键流程。</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4</w:t>
      </w:r>
      <w:r>
        <w:rPr>
          <w:rFonts w:ascii="宋体;汉仪书宋二KW" w:hAnsi="宋体;汉仪书宋二KW" w:cs="宋体;汉仪书宋二KW"/>
          <w:szCs w:val="21"/>
        </w:rPr>
        <w:t>、业务管理部门意见。</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按照总分行审查审批流程要求，对需由业务管理部门出具</w:t>
      </w:r>
      <w:r>
        <w:rPr>
          <w:rFonts w:ascii="宋体;汉仪书宋二KW" w:hAnsi="宋体;汉仪书宋二KW" w:cs="宋体;汉仪书宋二KW"/>
          <w:szCs w:val="21"/>
          <w:highlight w:val="yellow"/>
        </w:rPr>
        <w:t>立项</w:t>
      </w:r>
      <w:r>
        <w:rPr>
          <w:rFonts w:ascii="宋体;汉仪书宋二KW" w:hAnsi="宋体;汉仪书宋二KW" w:cs="宋体;汉仪书宋二KW"/>
          <w:szCs w:val="21"/>
        </w:rPr>
        <w:t>或相关意见的业务，在取得明示立项或意见后方可进入审批流程。</w:t>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（二）我行对借款人及所属集团现有授信批复及额度使用情况</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、借款</w:t>
      </w:r>
      <w:r>
        <w:rPr>
          <w:rFonts w:ascii="宋体;汉仪书宋二KW" w:hAnsi="宋体;汉仪书宋二KW" w:cs="宋体;汉仪书宋二KW"/>
          <w:szCs w:val="21"/>
        </w:rPr>
        <w:t>人所属集团上年度表</w:t>
      </w:r>
      <w:r>
        <w:rPr>
          <w:rFonts w:ascii="宋体;汉仪书宋二KW" w:hAnsi="宋体;汉仪书宋二KW" w:cs="宋体;汉仪书宋二KW"/>
          <w:szCs w:val="21"/>
        </w:rPr>
        <w:t>内授信、理财、发债、结构化融资等各类业务的批复情况（包括批复机构、批复额度、批复时间、批复期限、批复内容、批复是否有效、授信余额等）。其中：</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1</w:t>
      </w:r>
      <w:r>
        <w:rPr>
          <w:rFonts w:ascii="宋体;汉仪书宋二KW" w:hAnsi="宋体;汉仪书宋二KW" w:cs="宋体;汉仪书宋二KW"/>
          <w:szCs w:val="21"/>
        </w:rPr>
        <w:t>）贷后检查发现存在明显问题的，须列明具体问题并提出解决方案。</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2</w:t>
      </w:r>
      <w:r>
        <w:rPr>
          <w:rFonts w:ascii="宋体;汉仪书宋二KW" w:hAnsi="宋体;汉仪书宋二KW" w:cs="宋体;汉仪书宋二KW"/>
          <w:szCs w:val="21"/>
        </w:rPr>
        <w:t>）其中额度使用率过低的（低于</w:t>
      </w:r>
      <w:r>
        <w:rPr>
          <w:rFonts w:cs="宋体;汉仪书宋二KW" w:ascii="宋体;汉仪书宋二KW" w:hAnsi="宋体;汉仪书宋二KW"/>
          <w:szCs w:val="21"/>
        </w:rPr>
        <w:t>10%</w:t>
      </w:r>
      <w:r>
        <w:rPr>
          <w:rFonts w:ascii="宋体;汉仪书宋二KW" w:hAnsi="宋体;汉仪书宋二KW" w:cs="宋体;汉仪书宋二KW"/>
          <w:szCs w:val="21"/>
        </w:rPr>
        <w:t>），应注明原因，并说明新方案如何提高额度使用率或继续维持过低的额度使用率的理由。</w:t>
      </w:r>
    </w:p>
    <w:p>
      <w:pPr>
        <w:pStyle w:val="Normal"/>
        <w:spacing w:lineRule="exact" w:line="480"/>
        <w:ind w:firstLine="420" w:right="0"/>
        <w:rPr>
          <w:rFonts w:ascii="宋体;汉仪书宋二KW" w:hAnsi="宋体;汉仪书宋二KW" w:cs="宋体;汉仪书宋二KW"/>
          <w:szCs w:val="21"/>
          <w:lang w:eastAsia="zh-CN"/>
        </w:rPr>
      </w:pPr>
    </w:p>
    <w:p>
      <w:pPr>
        <w:pStyle w:val="Normal"/>
        <w:spacing w:lineRule="exact" w:line="480"/>
        <w:ind w:firstLine="420" w:right="0"/>
        <w:rPr>
          <w:rFonts w:ascii="宋体;汉仪书宋二KW" w:hAnsi="宋体;汉仪书宋二KW" w:cs="宋体;汉仪书宋二KW"/>
          <w:szCs w:val="21"/>
          <w:lang w:eastAsia="zh-CN"/>
        </w:rPr>
      </w:pPr>
      <w:r>
        <w:rPr>
          <w:rFonts w:ascii="宋体;汉仪书宋二KW" w:hAnsi="宋体;汉仪书宋二KW" w:cs="宋体;汉仪书宋二KW"/>
          <w:szCs w:val="21"/>
          <w:lang w:eastAsia="zh-CN"/>
        </w:rPr>
        <w:t>批复机构：中信银行总行</w:t>
      </w:r>
    </w:p>
    <w:p>
      <w:pPr>
        <w:pStyle w:val="Normal"/>
        <w:spacing w:lineRule="exact" w:line="480"/>
        <w:ind w:firstLine="420" w:right="0"/>
        <w:rPr>
          <w:rFonts w:ascii="宋体;汉仪书宋二KW" w:hAnsi="宋体;汉仪书宋二KW" w:cs="宋体;汉仪书宋二KW"/>
          <w:szCs w:val="21"/>
          <w:highlight w:val="none"/>
          <w:lang w:val="en-US" w:eastAsia="zh-CN"/>
        </w:rPr>
      </w:pPr>
      <w:r>
        <w:rPr>
          <w:rFonts w:ascii="宋体;汉仪书宋二KW" w:hAnsi="宋体;汉仪书宋二KW" w:cs="宋体;汉仪书宋二KW"/>
          <w:szCs w:val="21"/>
          <w:lang w:val="en-US" w:eastAsia="zh-CN"/>
        </w:rPr>
        <w:t>批复时间：</w:t>
      </w:r>
      <w:r>
        <w:rPr>
          <w:rFonts w:cs="宋体;汉仪书宋二KW" w:ascii="宋体;汉仪书宋二KW" w:hAnsi="宋体;汉仪书宋二KW"/>
          <w:szCs w:val="21"/>
          <w:lang w:val="en-US" w:eastAsia="zh-CN"/>
        </w:rPr>
        <w:t>2025</w:t>
      </w:r>
      <w:r>
        <w:rPr>
          <w:rFonts w:ascii="宋体;汉仪书宋二KW" w:hAnsi="宋体;汉仪书宋二KW" w:cs="宋体;汉仪书宋二KW"/>
          <w:szCs w:val="21"/>
          <w:lang w:val="en-US" w:eastAsia="zh-CN"/>
        </w:rPr>
        <w:t>年</w:t>
      </w:r>
      <w:r>
        <w:rPr>
          <w:rFonts w:cs="宋体;汉仪书宋二KW" w:ascii="宋体;汉仪书宋二KW" w:hAnsi="宋体;汉仪书宋二KW"/>
          <w:szCs w:val="21"/>
          <w:lang w:val="en-US" w:eastAsia="zh-CN"/>
        </w:rPr>
        <w:t>4</w:t>
      </w:r>
      <w:r>
        <w:rPr>
          <w:rFonts w:ascii="宋体;汉仪书宋二KW" w:hAnsi="宋体;汉仪书宋二KW" w:cs="宋体;汉仪书宋二KW"/>
          <w:szCs w:val="21"/>
          <w:lang w:val="en-US" w:eastAsia="zh-CN"/>
        </w:rPr>
        <w:t>月</w:t>
      </w:r>
      <w:r>
        <w:rPr>
          <w:rFonts w:cs="宋体;汉仪书宋二KW" w:ascii="宋体;汉仪书宋二KW" w:hAnsi="宋体;汉仪书宋二KW"/>
          <w:szCs w:val="21"/>
          <w:lang w:val="en-US" w:eastAsia="zh-CN"/>
        </w:rPr>
        <w:t>14</w:t>
      </w:r>
      <w:r>
        <w:rPr>
          <w:rFonts w:ascii="宋体;汉仪书宋二KW" w:hAnsi="宋体;汉仪书宋二KW" w:cs="宋体;汉仪书宋二KW"/>
          <w:szCs w:val="21"/>
          <w:lang w:val="en-US" w:eastAsia="zh-CN"/>
        </w:rPr>
        <w:t>日</w:t>
      </w:r>
    </w:p>
    <w:p>
      <w:pPr>
        <w:pStyle w:val="Style21"/>
        <w:keepNext w:val="false"/>
        <w:keepLines w:val="false"/>
        <w:widowControl/>
        <w:suppressLineNumbers w:val="0"/>
        <w:spacing w:lineRule="atLeast" w:line="360" w:before="75" w:after="75"/>
        <w:ind w:firstLine="480" w:right="0"/>
        <w:jc w:val="left"/>
        <w:rPr>
          <w:rFonts w:ascii="宋体;汉仪书宋二KW" w:hAnsi="宋体;汉仪书宋二KW" w:cs="宋体;汉仪书宋二KW"/>
          <w:szCs w:val="21"/>
          <w:highlight w:val="none"/>
          <w:lang w:val="en-US" w:eastAsia="zh-CN"/>
        </w:rPr>
      </w:pPr>
      <w:r>
        <w:rPr>
          <w:rFonts w:ascii="宋体;汉仪书宋二KW" w:hAnsi="宋体;汉仪书宋二KW" w:cs="宋体;汉仪书宋二KW"/>
          <w:szCs w:val="21"/>
          <w:lang w:val="en-US" w:eastAsia="zh-CN"/>
        </w:rPr>
        <w:t>批复内容：</w:t>
      </w:r>
    </w:p>
    <w:p>
      <w:pPr>
        <w:pStyle w:val="Style21"/>
        <w:keepNext w:val="false"/>
        <w:keepLines w:val="false"/>
        <w:widowControl/>
        <w:suppressLineNumbers w:val="0"/>
        <w:spacing w:lineRule="atLeast" w:line="360" w:before="75" w:after="75"/>
        <w:ind w:right="0"/>
        <w:jc w:val="left"/>
        <w:rPr>
          <w:rFonts w:ascii="仿宋_GB2312;方正仿宋_GBK" w:hAnsi="仿宋_GB2312;方正仿宋_GBK" w:eastAsia="仿宋_GB2312;方正仿宋_GBK" w:cs="仿宋_GB2312;方正仿宋_GBK"/>
          <w:sz w:val="21"/>
          <w:szCs w:val="20"/>
        </w:rPr>
      </w:pPr>
    </w:p>
    <w:p>
      <w:pPr>
        <w:pStyle w:val="Style21"/>
        <w:keepNext w:val="false"/>
        <w:keepLines w:val="false"/>
        <w:widowControl/>
        <w:suppressLineNumbers w:val="0"/>
        <w:spacing w:before="75" w:after="75"/>
        <w:ind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北京分行</w:t>
      </w:r>
      <w:r>
        <w:rPr>
          <w:rFonts w:ascii="仿宋_GB2312;方正仿宋_GBK" w:hAnsi="仿宋_GB2312;方正仿宋_GBK" w:cs="仿宋_GB2312;方正仿宋_GBK" w:eastAsia="仿宋_GB2312;方正仿宋_GBK"/>
          <w:sz w:val="21"/>
          <w:szCs w:val="20"/>
        </w:rPr>
        <w:t>：</w:t>
      </w:r>
    </w:p>
    <w:p>
      <w:pPr>
        <w:pStyle w:val="Style21"/>
        <w:keepNext w:val="false"/>
        <w:keepLines w:val="false"/>
        <w:widowControl/>
        <w:suppressLineNumbers w:val="0"/>
        <w:spacing w:before="75" w:after="75"/>
        <w:ind w:right="0"/>
        <w:rPr>
          <w:rFonts w:ascii="仿宋_GB2312;方正仿宋_GBK" w:hAnsi="仿宋_GB2312;方正仿宋_GBK" w:eastAsia="仿宋_GB2312;方正仿宋_GBK" w:cs="仿宋_GB2312;方正仿宋_GBK"/>
          <w:sz w:val="21"/>
          <w:szCs w:val="20"/>
        </w:rPr>
      </w:pP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一、同意将申请人风险限额调整至</w:t>
      </w:r>
      <w:r>
        <w:rPr>
          <w:rFonts w:eastAsia="仿宋_GB2312;方正仿宋_GBK" w:cs="仿宋_GB2312;方正仿宋_GBK" w:ascii="仿宋_GB2312;方正仿宋_GBK" w:hAnsi="仿宋_GB2312;方正仿宋_GBK"/>
          <w:sz w:val="24"/>
          <w:szCs w:val="24"/>
        </w:rPr>
        <w:t>33</w:t>
      </w:r>
      <w:r>
        <w:rPr>
          <w:rFonts w:ascii="仿宋_GB2312;方正仿宋_GBK" w:hAnsi="仿宋_GB2312;方正仿宋_GBK" w:cs="仿宋_GB2312;方正仿宋_GBK" w:eastAsia="仿宋_GB2312;方正仿宋_GBK"/>
          <w:sz w:val="24"/>
          <w:szCs w:val="24"/>
        </w:rPr>
        <w:t>亿元。</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二、授信基本要素</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1"/>
          <w:szCs w:val="20"/>
        </w:rPr>
        <w:t>（一）本笔授信不得新增地方政府隐性债务，额度分配如下：</w:t>
      </w:r>
    </w:p>
    <w:tbl>
      <w:tblPr>
        <w:tblW w:w="5910" w:type="dxa"/>
        <w:jc w:val="left"/>
        <w:tblInd w:w="0" w:type="dxa"/>
        <w:tblLayout w:type="fixed"/>
        <w:tblCellMar>
          <w:top w:w="0" w:type="dxa"/>
          <w:left w:w="105" w:type="dxa"/>
          <w:bottom w:w="0" w:type="dxa"/>
          <w:right w:w="105" w:type="dxa"/>
        </w:tblCellMar>
      </w:tblPr>
      <w:tblGrid>
        <w:gridCol w:w="1245"/>
        <w:gridCol w:w="1110"/>
        <w:gridCol w:w="1290"/>
        <w:gridCol w:w="2265"/>
      </w:tblGrid>
      <w:tr>
        <w:trPr>
          <w:trHeight w:val="270" w:hRule="atLeast"/>
        </w:trPr>
        <w:tc>
          <w:tcPr>
            <w:tcW w:w="1245" w:type="dxa"/>
            <w:tcBorders>
              <w:top w:val="single" w:sz="6" w:space="0" w:color="000000"/>
              <w:left w:val="single" w:sz="6" w:space="0" w:color="000000"/>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Style w:val="Strong"/>
                <w:rFonts w:ascii="仿宋_GB2312;方正仿宋_GBK" w:hAnsi="仿宋_GB2312;方正仿宋_GBK" w:cs="仿宋_GB2312;方正仿宋_GBK" w:eastAsia="仿宋_GB2312;方正仿宋_GBK"/>
                <w:sz w:val="21"/>
                <w:szCs w:val="20"/>
              </w:rPr>
              <w:t>授信主体</w:t>
            </w:r>
          </w:p>
        </w:tc>
        <w:tc>
          <w:tcPr>
            <w:tcW w:w="1110" w:type="dxa"/>
            <w:tcBorders>
              <w:top w:val="single" w:sz="6" w:space="0" w:color="000000"/>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Style w:val="Strong"/>
                <w:rFonts w:ascii="仿宋_GB2312;方正仿宋_GBK" w:hAnsi="仿宋_GB2312;方正仿宋_GBK" w:cs="仿宋_GB2312;方正仿宋_GBK" w:eastAsia="仿宋_GB2312;方正仿宋_GBK"/>
                <w:sz w:val="21"/>
                <w:szCs w:val="20"/>
              </w:rPr>
              <w:t>授信品种</w:t>
            </w:r>
          </w:p>
        </w:tc>
        <w:tc>
          <w:tcPr>
            <w:tcW w:w="1290" w:type="dxa"/>
            <w:tcBorders>
              <w:top w:val="single" w:sz="6" w:space="0" w:color="000000"/>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Style w:val="Strong"/>
                <w:rFonts w:ascii="仿宋_GB2312;方正仿宋_GBK" w:hAnsi="仿宋_GB2312;方正仿宋_GBK" w:cs="仿宋_GB2312;方正仿宋_GBK" w:eastAsia="仿宋_GB2312;方正仿宋_GBK"/>
                <w:sz w:val="21"/>
                <w:szCs w:val="20"/>
              </w:rPr>
              <w:t>授信额度（亿元）</w:t>
            </w:r>
          </w:p>
        </w:tc>
        <w:tc>
          <w:tcPr>
            <w:tcW w:w="2265" w:type="dxa"/>
            <w:tcBorders>
              <w:top w:val="single" w:sz="6" w:space="0" w:color="000000"/>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Style w:val="Strong"/>
                <w:rFonts w:ascii="仿宋_GB2312;方正仿宋_GBK" w:hAnsi="仿宋_GB2312;方正仿宋_GBK" w:cs="仿宋_GB2312;方正仿宋_GBK" w:eastAsia="仿宋_GB2312;方正仿宋_GBK"/>
                <w:sz w:val="21"/>
                <w:szCs w:val="20"/>
              </w:rPr>
              <w:t>备注</w:t>
            </w:r>
          </w:p>
        </w:tc>
      </w:tr>
      <w:tr>
        <w:trPr>
          <w:trHeight w:val="345" w:hRule="atLeast"/>
        </w:trPr>
        <w:tc>
          <w:tcPr>
            <w:tcW w:w="1245" w:type="dxa"/>
            <w:tcBorders>
              <w:left w:val="single" w:sz="6" w:space="0" w:color="000000"/>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1"/>
                <w:szCs w:val="20"/>
              </w:rPr>
              <w:t>申请人本部及子公司</w:t>
            </w:r>
          </w:p>
        </w:tc>
        <w:tc>
          <w:tcPr>
            <w:tcW w:w="1110" w:type="dxa"/>
            <w:tcBorders>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1"/>
                <w:szCs w:val="20"/>
              </w:rPr>
              <w:t>备用额度</w:t>
            </w:r>
          </w:p>
        </w:tc>
        <w:tc>
          <w:tcPr>
            <w:tcW w:w="1290" w:type="dxa"/>
            <w:tcBorders>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Fonts w:eastAsia="仿宋_GB2312;方正仿宋_GBK" w:cs="仿宋_GB2312;方正仿宋_GBK" w:ascii="仿宋_GB2312;方正仿宋_GBK" w:hAnsi="仿宋_GB2312;方正仿宋_GBK"/>
                <w:sz w:val="21"/>
                <w:szCs w:val="20"/>
              </w:rPr>
              <w:t>33</w:t>
            </w:r>
          </w:p>
        </w:tc>
        <w:tc>
          <w:tcPr>
            <w:tcW w:w="2265" w:type="dxa"/>
            <w:tcBorders>
              <w:bottom w:val="single" w:sz="6" w:space="0" w:color="000000"/>
              <w:right w:val="single" w:sz="6" w:space="0" w:color="000000"/>
            </w:tcBorders>
            <w:vAlign w:val="center"/>
          </w:tcPr>
          <w:p>
            <w:pPr>
              <w:pStyle w:val="Style21"/>
              <w:keepNext w:val="false"/>
              <w:keepLines w:val="false"/>
              <w:widowControl/>
              <w:suppressLineNumbers w:val="0"/>
              <w:pBdr/>
              <w:spacing w:before="100" w:after="0"/>
              <w:ind w:right="0"/>
              <w:jc w:val="center"/>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1"/>
                <w:szCs w:val="20"/>
              </w:rPr>
              <w:t>综合授信不超过</w:t>
            </w:r>
            <w:r>
              <w:rPr>
                <w:rFonts w:eastAsia="仿宋_GB2312;方正仿宋_GBK" w:cs="仿宋_GB2312;方正仿宋_GBK" w:ascii="仿宋_GB2312;方正仿宋_GBK" w:hAnsi="仿宋_GB2312;方正仿宋_GBK"/>
                <w:sz w:val="21"/>
                <w:szCs w:val="20"/>
              </w:rPr>
              <w:t>20</w:t>
            </w:r>
            <w:r>
              <w:rPr>
                <w:rFonts w:ascii="仿宋_GB2312;方正仿宋_GBK" w:hAnsi="仿宋_GB2312;方正仿宋_GBK" w:cs="仿宋_GB2312;方正仿宋_GBK" w:eastAsia="仿宋_GB2312;方正仿宋_GBK"/>
                <w:sz w:val="21"/>
                <w:szCs w:val="20"/>
              </w:rPr>
              <w:t>亿元，剩余为专项备用额度。按权限审慎审批。</w:t>
            </w:r>
          </w:p>
        </w:tc>
      </w:tr>
    </w:tbl>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（二）综合授信要求</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eastAsia="仿宋_GB2312;方正仿宋_GBK" w:cs="仿宋_GB2312;方正仿宋_GBK" w:ascii="仿宋_GB2312;方正仿宋_GBK" w:hAnsi="仿宋_GB2312;方正仿宋_GBK"/>
          <w:sz w:val="24"/>
          <w:szCs w:val="24"/>
        </w:rPr>
        <w:t>1.</w:t>
      </w:r>
      <w:r>
        <w:rPr>
          <w:rFonts w:ascii="仿宋_GB2312;方正仿宋_GBK" w:hAnsi="仿宋_GB2312;方正仿宋_GBK" w:cs="仿宋_GB2312;方正仿宋_GBK" w:eastAsia="仿宋_GB2312;方正仿宋_GBK"/>
          <w:sz w:val="24"/>
          <w:szCs w:val="24"/>
        </w:rPr>
        <w:t>综合授信仅限用于经营性业务日常经营周转，用信前你行须按照金融监管总局要求审慎测算流动资金贷款需求，确保用信额度合理，期限与业务需求相匹配，贸易背景真实，加强资金用途管理，确保用途依法合规；不得用于工程代建、土地整理、固定资产投资、股本权益性投资等，不得以任何形式流入股票市场、房地产市场、期货市场以及其他国家明令禁止领域。不得对房地产开发成员企业发放流动资金贷款性质的融资。</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eastAsia="仿宋_GB2312;方正仿宋_GBK" w:cs="仿宋_GB2312;方正仿宋_GBK" w:ascii="仿宋_GB2312;方正仿宋_GBK" w:hAnsi="仿宋_GB2312;方正仿宋_GBK"/>
          <w:sz w:val="24"/>
          <w:szCs w:val="24"/>
        </w:rPr>
        <w:t>2.</w:t>
      </w:r>
      <w:r>
        <w:rPr>
          <w:rFonts w:ascii="仿宋_GB2312;方正仿宋_GBK" w:hAnsi="仿宋_GB2312;方正仿宋_GBK" w:cs="仿宋_GB2312;方正仿宋_GBK" w:eastAsia="仿宋_GB2312;方正仿宋_GBK"/>
          <w:sz w:val="24"/>
          <w:szCs w:val="24"/>
        </w:rPr>
        <w:t>综合授信品种为流动资金贷款、银行承兑汇票、国内信用证及非融资性保函等。具体要求按我行相关管理办法执行。流动资金贷款期限若超过</w:t>
      </w:r>
      <w:r>
        <w:rPr>
          <w:rFonts w:eastAsia="仿宋_GB2312;方正仿宋_GBK" w:cs="仿宋_GB2312;方正仿宋_GBK" w:ascii="仿宋_GB2312;方正仿宋_GBK" w:hAnsi="仿宋_GB2312;方正仿宋_GBK"/>
          <w:sz w:val="24"/>
          <w:szCs w:val="24"/>
        </w:rPr>
        <w:t>1</w:t>
      </w:r>
      <w:r>
        <w:rPr>
          <w:rFonts w:ascii="仿宋_GB2312;方正仿宋_GBK" w:hAnsi="仿宋_GB2312;方正仿宋_GBK" w:cs="仿宋_GB2312;方正仿宋_GBK" w:eastAsia="仿宋_GB2312;方正仿宋_GBK"/>
          <w:sz w:val="24"/>
          <w:szCs w:val="24"/>
        </w:rPr>
        <w:t>年，应制定合理分期还款计划。</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（三）备用额度要求</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优选集团内经营情况良好、财务状况稳健、还款现金流有保障的主体或项目授信，并须符合我行行业授信政策，按照授权与审查审批标准审慎审批，有权审批机构应根据用信主体经营、财务等情况确定合理的授信金额与风险缓释措施。</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三、用信前提条件</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一）使用授信前（标准化债券除外），须查询财政部“融资平台公司债务和中长期支出事项监测平台”（简称：监测平台），确认授信主体有无地方政府隐性债务。若授信主体存在地方政府隐性债务，一是不得新提供流动资金贷款或流动资金贷款性质的融资。二是不得为其参与地方政府专项债券项目提供配套融资。对确因经营需求且符合项目融资要求的，必须由授信主体报本级人民政府书面审核确认，具体要求按照最新审查审批标准执行。</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二）用信前，查询用信主体或担保主体是否在人民银行管理的融资平台名单内。严格按照市场化、法治化原则向融资平台提供新增融资，严格执行区域融资平台债务增量的控制要求。严禁通过地方金融类资产交易场所新增融资平台债务、严控通过信托、资管、融资租赁、私募基金、民间借贷等渠道新增融资平台非标和其他融资。</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（三）在合同中约定，一旦发现申请人违规新增地方政府隐性债务，将中止提供融资，已签订融资合同的中止提款，同时将相关情况报告监管机构。</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四、贷后管理要求</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严格按照内外部制度规定加强贷投后管理，包括但不限于：（</w:t>
      </w:r>
      <w:r>
        <w:rPr>
          <w:rFonts w:eastAsia="仿宋_GB2312;方正仿宋_GBK" w:cs="仿宋_GB2312;方正仿宋_GBK" w:ascii="仿宋_GB2312;方正仿宋_GBK" w:hAnsi="仿宋_GB2312;方正仿宋_GBK"/>
          <w:sz w:val="24"/>
          <w:szCs w:val="24"/>
        </w:rPr>
        <w:t>1</w:t>
      </w:r>
      <w:r>
        <w:rPr>
          <w:rFonts w:ascii="仿宋_GB2312;方正仿宋_GBK" w:hAnsi="仿宋_GB2312;方正仿宋_GBK" w:cs="仿宋_GB2312;方正仿宋_GBK" w:eastAsia="仿宋_GB2312;方正仿宋_GBK"/>
          <w:sz w:val="24"/>
          <w:szCs w:val="24"/>
        </w:rPr>
        <w:t>）持续加强与客户的沟通联系，减少信息不对称风险。（</w:t>
      </w:r>
      <w:r>
        <w:rPr>
          <w:rFonts w:eastAsia="仿宋_GB2312;方正仿宋_GBK" w:cs="仿宋_GB2312;方正仿宋_GBK" w:ascii="仿宋_GB2312;方正仿宋_GBK" w:hAnsi="仿宋_GB2312;方正仿宋_GBK"/>
          <w:sz w:val="24"/>
          <w:szCs w:val="24"/>
        </w:rPr>
        <w:t>2</w:t>
      </w:r>
      <w:r>
        <w:rPr>
          <w:rFonts w:ascii="仿宋_GB2312;方正仿宋_GBK" w:hAnsi="仿宋_GB2312;方正仿宋_GBK" w:cs="仿宋_GB2312;方正仿宋_GBK" w:eastAsia="仿宋_GB2312;方正仿宋_GBK"/>
          <w:sz w:val="24"/>
          <w:szCs w:val="24"/>
        </w:rPr>
        <w:t>）重点关注区域布局变动趋势及业务结算变动等情形，并对可能带来的经营及盈利变化、资产减值变化等进行充分分析，发现不利于我行融资安全的风险因素，及时采取应对措施。</w:t>
      </w:r>
    </w:p>
    <w:p>
      <w:pPr>
        <w:pStyle w:val="Style21"/>
        <w:keepNext w:val="false"/>
        <w:keepLines w:val="false"/>
        <w:widowControl/>
        <w:suppressLineNumbers w:val="0"/>
        <w:spacing w:lineRule="atLeast" w:line="360" w:before="75" w:after="75"/>
        <w:ind w:firstLine="645" w:right="0"/>
        <w:rPr>
          <w:rFonts w:ascii="仿宋_GB2312;方正仿宋_GBK" w:hAnsi="仿宋_GB2312;方正仿宋_GBK" w:eastAsia="仿宋_GB2312;方正仿宋_GBK" w:cs="仿宋_GB2312;方正仿宋_GBK"/>
          <w:sz w:val="21"/>
          <w:szCs w:val="20"/>
        </w:rPr>
      </w:pPr>
      <w:r>
        <w:rPr>
          <w:rFonts w:ascii="仿宋_GB2312;方正仿宋_GBK" w:hAnsi="仿宋_GB2312;方正仿宋_GBK" w:cs="仿宋_GB2312;方正仿宋_GBK" w:eastAsia="仿宋_GB2312;方正仿宋_GBK"/>
          <w:sz w:val="24"/>
          <w:szCs w:val="24"/>
        </w:rPr>
        <w:t>特此批复</w:t>
      </w:r>
    </w:p>
    <w:p>
      <w:pPr>
        <w:pStyle w:val="Normal"/>
        <w:spacing w:lineRule="exact" w:line="480"/>
        <w:rPr>
          <w:rFonts w:ascii="宋体;汉仪书宋二KW" w:hAnsi="宋体;汉仪书宋二KW" w:eastAsia="仿宋_GB2312;方正仿宋_GBK" w:cs="宋体;汉仪书宋二KW"/>
          <w:sz w:val="21"/>
          <w:szCs w:val="21"/>
          <w:highlight w:val="yellow"/>
          <w:lang w:val="en-US" w:eastAsia="zh-CN"/>
        </w:rPr>
      </w:pPr>
      <w:r>
        <w:rPr>
          <w:rFonts w:eastAsia="仿宋_GB2312;方正仿宋_GBK" w:cs="宋体;汉仪书宋二KW" w:ascii="宋体;汉仪书宋二KW" w:hAnsi="宋体;汉仪书宋二KW"/>
          <w:sz w:val="21"/>
          <w:szCs w:val="21"/>
          <w:highlight w:val="yellow"/>
          <w:lang w:val="en-US" w:eastAsia="zh-CN"/>
        </w:rPr>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2</w:t>
      </w:r>
      <w:r>
        <w:rPr>
          <w:rFonts w:ascii="宋体;汉仪书宋二KW" w:hAnsi="宋体;汉仪书宋二KW" w:cs="宋体;汉仪书宋二KW"/>
          <w:szCs w:val="21"/>
        </w:rPr>
        <w:t>、借款人上年度表内授信、理财、发债、结构化融资等各类业务的批复情况（包括批复机构、批复额度、批复时间、批复期限、批复内容、批复是否有效、授信余额等）。其中：</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1</w:t>
      </w:r>
      <w:r>
        <w:rPr>
          <w:rFonts w:ascii="宋体;汉仪书宋二KW" w:hAnsi="宋体;汉仪书宋二KW" w:cs="宋体;汉仪书宋二KW"/>
          <w:szCs w:val="21"/>
        </w:rPr>
        <w:t>）贷后检查发现存在明显问题的，须列明具体问题并提出解决方案。</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2</w:t>
      </w:r>
      <w:r>
        <w:rPr>
          <w:rFonts w:ascii="宋体;汉仪书宋二KW" w:hAnsi="宋体;汉仪书宋二KW" w:cs="宋体;汉仪书宋二KW"/>
          <w:szCs w:val="21"/>
        </w:rPr>
        <w:t>）其中额度使用率过低的（低于</w:t>
      </w:r>
      <w:r>
        <w:rPr>
          <w:rFonts w:cs="宋体;汉仪书宋二KW" w:ascii="宋体;汉仪书宋二KW" w:hAnsi="宋体;汉仪书宋二KW"/>
          <w:szCs w:val="21"/>
        </w:rPr>
        <w:t>10%</w:t>
      </w:r>
      <w:r>
        <w:rPr>
          <w:rFonts w:ascii="宋体;汉仪书宋二KW" w:hAnsi="宋体;汉仪书宋二KW" w:cs="宋体;汉仪书宋二KW"/>
          <w:szCs w:val="21"/>
        </w:rPr>
        <w:t>），应注明原因，并说明新方案如何提高额度使用率或继续维持过低的额度使用率的理由。</w:t>
      </w:r>
    </w:p>
    <w:p>
      <w:pPr>
        <w:pStyle w:val="Normal"/>
        <w:spacing w:lineRule="exact" w:line="480"/>
        <w:ind w:firstLine="420" w:right="0"/>
        <w:rPr>
          <w:rFonts w:ascii="宋体;汉仪书宋二KW" w:hAnsi="宋体;汉仪书宋二KW" w:cs="宋体;汉仪书宋二KW"/>
          <w:szCs w:val="21"/>
          <w:lang w:eastAsia="zh-CN"/>
        </w:rPr>
      </w:pPr>
      <w:r>
        <w:rPr>
          <w:rFonts w:ascii="宋体;汉仪书宋二KW" w:hAnsi="宋体;汉仪书宋二KW" w:cs="宋体;汉仪书宋二KW"/>
          <w:szCs w:val="21"/>
          <w:lang w:eastAsia="zh-CN"/>
        </w:rPr>
        <w:t>借款人为新设立项目公司，无授信历史。</w:t>
      </w:r>
    </w:p>
    <w:p>
      <w:pPr>
        <w:pStyle w:val="1"/>
        <w:rPr>
          <w:rFonts w:ascii="宋体;汉仪书宋二KW" w:hAnsi="宋体;汉仪书宋二KW" w:cs="宋体;汉仪书宋二KW"/>
          <w:szCs w:val="21"/>
          <w:lang w:eastAsia="zh-CN"/>
        </w:rPr>
      </w:pPr>
      <w:r>
        <w:rPr>
          <w:rFonts w:cs="宋体;汉仪书宋二KW" w:ascii="宋体;汉仪书宋二KW" w:hAnsi="宋体;汉仪书宋二KW"/>
          <w:szCs w:val="21"/>
          <w:lang w:eastAsia="zh-CN"/>
        </w:rPr>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（三）合作收益情况</w:t>
      </w:r>
    </w:p>
    <w:p>
      <w:pPr>
        <w:pStyle w:val="Normal"/>
        <w:spacing w:lineRule="exact" w:line="480"/>
        <w:ind w:firstLine="5670" w:right="0"/>
        <w:rPr>
          <w:szCs w:val="21"/>
        </w:rPr>
      </w:pPr>
      <w:r>
        <w:rPr>
          <w:szCs w:val="21"/>
        </w:rPr>
        <w:t>单位</w:t>
      </w:r>
      <w:r>
        <w:rPr>
          <w:szCs w:val="21"/>
          <w:lang w:eastAsia="zh-CN"/>
        </w:rPr>
        <w:t>：</w:t>
      </w:r>
      <w:r>
        <w:rPr>
          <w:szCs w:val="21"/>
        </w:rPr>
        <w:t>万元</w:t>
      </w:r>
    </w:p>
    <w:tbl>
      <w:tblPr>
        <w:tblW w:w="10168" w:type="dxa"/>
        <w:jc w:val="center"/>
        <w:tblInd w:w="0" w:type="dxa"/>
        <w:tblLayout w:type="fixed"/>
        <w:tblCellMar>
          <w:top w:w="0" w:type="dxa"/>
          <w:left w:w="108" w:type="dxa"/>
          <w:bottom w:w="0" w:type="dxa"/>
          <w:right w:w="108" w:type="dxa"/>
        </w:tblCellMar>
      </w:tblPr>
      <w:tblGrid>
        <w:gridCol w:w="1026"/>
        <w:gridCol w:w="1200"/>
        <w:gridCol w:w="1160"/>
        <w:gridCol w:w="1420"/>
        <w:gridCol w:w="1360"/>
        <w:gridCol w:w="1420"/>
        <w:gridCol w:w="1260"/>
        <w:gridCol w:w="1322"/>
      </w:tblGrid>
      <w:tr>
        <w:trPr/>
        <w:tc>
          <w:tcPr>
            <w:tcW w:w="1026" w:type="dxa"/>
            <w:vMerge w:val="restart"/>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时间</w:t>
            </w:r>
          </w:p>
        </w:tc>
        <w:tc>
          <w:tcPr>
            <w:tcW w:w="9142" w:type="dxa"/>
            <w:gridSpan w:val="7"/>
            <w:tcBorders>
              <w:top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公司业务收益</w:t>
            </w:r>
          </w:p>
        </w:tc>
      </w:tr>
      <w:tr>
        <w:trPr/>
        <w:tc>
          <w:tcPr>
            <w:tcW w:w="1026"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snapToGrid w:val="false"/>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日均活期存款</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日均保证金存款</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日均贷款余额</w:t>
            </w:r>
          </w:p>
        </w:tc>
        <w:tc>
          <w:tcPr>
            <w:tcW w:w="13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银票余额</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银票贴现量</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平均贷款利率</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t>RORAC</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汉仪书宋二KW" w:hAnsi="宋体;汉仪书宋二KW" w:cs="宋体;汉仪书宋二KW"/>
                <w:szCs w:val="21"/>
              </w:rPr>
            </w:pPr>
            <w:r>
              <w:rPr>
                <w:rFonts w:cs="宋体;汉仪书宋二KW" w:ascii="宋体;汉仪书宋二KW" w:hAnsi="宋体;汉仪书宋二KW"/>
                <w:szCs w:val="21"/>
                <w:lang w:val="en-US" w:eastAsia="zh-CN"/>
              </w:rPr>
              <w:t>2024</w:t>
            </w:r>
            <w:r>
              <w:rPr>
                <w:rFonts w:ascii="宋体;汉仪书宋二KW" w:hAnsi="宋体;汉仪书宋二KW" w:cs="宋体;汉仪书宋二KW"/>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color w:val="000000"/>
                <w:szCs w:val="21"/>
              </w:rPr>
              <w:t>3737</w:t>
            </w:r>
            <w:r>
              <w:rPr>
                <w:rFonts w:cs="宋体;汉仪书宋二KW" w:ascii="宋体;汉仪书宋二KW" w:hAnsi="宋体;汉仪书宋二KW"/>
                <w:color w:val="000000"/>
                <w:szCs w:val="21"/>
                <w:lang w:val="en-US" w:eastAsia="zh-CN"/>
              </w:rPr>
              <w:t>.16</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0</w:t>
            </w:r>
            <w:r>
              <w:rPr>
                <w:rFonts w:ascii="宋体;汉仪书宋二KW" w:hAnsi="宋体;汉仪书宋二KW" w:cs="宋体;汉仪书宋二KW"/>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36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汉仪书宋二KW" w:hAnsi="宋体;汉仪书宋二KW" w:cs="宋体;汉仪书宋二KW"/>
                <w:szCs w:val="21"/>
              </w:rPr>
            </w:pPr>
            <w:r>
              <w:rPr>
                <w:rFonts w:cs="宋体;汉仪书宋二KW" w:ascii="宋体;汉仪书宋二KW" w:hAnsi="宋体;汉仪书宋二KW"/>
                <w:szCs w:val="21"/>
                <w:lang w:val="en-US" w:eastAsia="zh-CN"/>
              </w:rPr>
              <w:t>2025</w:t>
            </w:r>
            <w:r>
              <w:rPr>
                <w:rFonts w:ascii="宋体;汉仪书宋二KW" w:hAnsi="宋体;汉仪书宋二KW" w:cs="宋体;汉仪书宋二KW"/>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cs="宋体;汉仪书宋二KW" w:ascii="宋体;汉仪书宋二KW" w:hAnsi="宋体;汉仪书宋二KW"/>
                <w:kern w:val="0"/>
                <w:szCs w:val="21"/>
                <w:lang w:val="en-US" w:eastAsia="zh-CN"/>
              </w:rPr>
              <w:t>5338.66</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 w:val="21"/>
                <w:szCs w:val="21"/>
                <w:lang w:val="en-US" w:eastAsia="zh-CN" w:bidi="ar-SA"/>
              </w:rPr>
            </w:pPr>
            <w:r>
              <w:rPr>
                <w:rFonts w:cs="宋体;汉仪书宋二KW" w:ascii="宋体;汉仪书宋二KW" w:hAnsi="宋体;汉仪书宋二KW"/>
                <w:kern w:val="0"/>
                <w:szCs w:val="21"/>
                <w:lang w:val="en-US" w:eastAsia="zh-CN"/>
              </w:rPr>
              <w:t>0</w:t>
            </w:r>
            <w:r>
              <w:rPr>
                <w:rFonts w:ascii="宋体;汉仪书宋二KW" w:hAnsi="宋体;汉仪书宋二KW" w:cs="宋体;汉仪书宋二KW"/>
                <w:kern w:val="0"/>
                <w:szCs w:val="21"/>
              </w:rPr>
              <w:t>　</w:t>
            </w:r>
          </w:p>
        </w:tc>
        <w:tc>
          <w:tcPr>
            <w:tcW w:w="1420" w:type="dxa"/>
            <w:tcBorders>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360" w:type="dxa"/>
            <w:tcBorders>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汉仪书宋二KW" w:hAnsi="宋体;汉仪书宋二KW" w:eastAsia="宋体;汉仪书宋二KW"/>
                <w:szCs w:val="21"/>
                <w:lang w:val="en-US" w:eastAsia="zh-CN"/>
              </w:rPr>
            </w:pPr>
            <w:r>
              <w:rPr>
                <w:rFonts w:cs="宋体;汉仪书宋二KW" w:ascii="宋体;汉仪书宋二KW" w:hAnsi="宋体;汉仪书宋二KW"/>
                <w:szCs w:val="21"/>
                <w:lang w:val="en-US" w:eastAsia="zh-CN"/>
              </w:rPr>
              <w:t>2026.2</w:t>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1010.09</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 w:val="21"/>
                <w:szCs w:val="21"/>
                <w:lang w:val="en-US" w:eastAsia="zh-CN" w:bidi="ar-SA"/>
              </w:rPr>
            </w:pPr>
            <w:r>
              <w:rPr>
                <w:rFonts w:cs="宋体;汉仪书宋二KW" w:ascii="宋体;汉仪书宋二KW" w:hAnsi="宋体;汉仪书宋二KW"/>
                <w:kern w:val="0"/>
                <w:szCs w:val="21"/>
                <w:lang w:val="en-US" w:eastAsia="zh-CN"/>
              </w:rPr>
              <w:t>0</w:t>
            </w:r>
            <w:r>
              <w:rPr>
                <w:rFonts w:ascii="宋体;汉仪书宋二KW" w:hAnsi="宋体;汉仪书宋二KW" w:cs="宋体;汉仪书宋二KW"/>
                <w:kern w:val="0"/>
                <w:szCs w:val="21"/>
              </w:rPr>
              <w:t>　</w:t>
            </w:r>
          </w:p>
        </w:tc>
        <w:tc>
          <w:tcPr>
            <w:tcW w:w="1420" w:type="dxa"/>
            <w:tcBorders>
              <w:top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360" w:type="dxa"/>
            <w:tcBorders>
              <w:top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0</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 w:val="21"/>
                <w:szCs w:val="21"/>
                <w:lang w:val="en-US" w:eastAsia="zh-CN" w:bidi="ar-SA"/>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r>
      <w:tr>
        <w:trPr/>
        <w:tc>
          <w:tcPr>
            <w:tcW w:w="1026" w:type="dxa"/>
            <w:vMerge w:val="restart"/>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时间</w:t>
            </w:r>
          </w:p>
        </w:tc>
        <w:tc>
          <w:tcPr>
            <w:tcW w:w="2360" w:type="dxa"/>
            <w:gridSpan w:val="2"/>
            <w:tcBorders>
              <w:top w:val="single" w:sz="8" w:space="0" w:color="000000"/>
              <w:bottom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零售业务收益</w:t>
            </w:r>
          </w:p>
        </w:tc>
        <w:tc>
          <w:tcPr>
            <w:tcW w:w="2780"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国际业务收益</w:t>
            </w:r>
          </w:p>
        </w:tc>
        <w:tc>
          <w:tcPr>
            <w:tcW w:w="2680" w:type="dxa"/>
            <w:gridSpan w:val="2"/>
            <w:tcBorders>
              <w:top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金融市场板块收益</w:t>
            </w:r>
          </w:p>
        </w:tc>
        <w:tc>
          <w:tcPr>
            <w:tcW w:w="1322" w:type="dxa"/>
            <w:tcBorders>
              <w:bottom w:val="single" w:sz="8" w:space="0" w:color="000000"/>
              <w:right w:val="single" w:sz="8" w:space="0" w:color="000000"/>
            </w:tcBorders>
            <w:vAlign w:val="center"/>
          </w:tcPr>
          <w:p>
            <w:pPr>
              <w:pStyle w:val="Normal"/>
              <w:widowControl/>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　</w:t>
            </w:r>
          </w:p>
        </w:tc>
      </w:tr>
      <w:tr>
        <w:trPr/>
        <w:tc>
          <w:tcPr>
            <w:tcW w:w="1026" w:type="dxa"/>
            <w:vMerge w:val="continue"/>
            <w:tcBorders>
              <w:left w:val="single" w:sz="8" w:space="0" w:color="000000"/>
              <w:bottom w:val="single" w:sz="8" w:space="0" w:color="000000"/>
              <w:right w:val="single" w:sz="8" w:space="0" w:color="000000"/>
            </w:tcBorders>
            <w:vAlign w:val="center"/>
          </w:tcPr>
          <w:p>
            <w:pPr>
              <w:pStyle w:val="Normal"/>
              <w:widowControl/>
              <w:snapToGrid w:val="false"/>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代发工资</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储蓄存款</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收付汇量</w:t>
            </w:r>
          </w:p>
        </w:tc>
        <w:tc>
          <w:tcPr>
            <w:tcW w:w="13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国际业务中收</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结售汇</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金融市场板块中间收入</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汉仪书宋二KW" w:hAnsi="宋体;汉仪书宋二KW" w:cs="宋体;汉仪书宋二KW"/>
                <w:szCs w:val="21"/>
              </w:rPr>
            </w:pPr>
            <w:r>
              <w:rPr>
                <w:rFonts w:cs="宋体;汉仪书宋二KW" w:ascii="宋体;汉仪书宋二KW" w:hAnsi="宋体;汉仪书宋二KW"/>
                <w:szCs w:val="21"/>
                <w:lang w:val="en-US" w:eastAsia="zh-CN"/>
              </w:rPr>
              <w:t>2024</w:t>
            </w:r>
            <w:r>
              <w:rPr>
                <w:rFonts w:ascii="宋体;汉仪书宋二KW" w:hAnsi="宋体;汉仪书宋二KW" w:cs="宋体;汉仪书宋二KW"/>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3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汉仪书宋二KW" w:hAnsi="宋体;汉仪书宋二KW" w:cs="宋体;汉仪书宋二KW"/>
                <w:szCs w:val="21"/>
              </w:rPr>
            </w:pPr>
            <w:r>
              <w:rPr>
                <w:rFonts w:cs="宋体;汉仪书宋二KW" w:ascii="宋体;汉仪书宋二KW" w:hAnsi="宋体;汉仪书宋二KW"/>
                <w:szCs w:val="21"/>
                <w:lang w:val="en-US" w:eastAsia="zh-CN"/>
              </w:rPr>
              <w:t>2025</w:t>
            </w:r>
            <w:r>
              <w:rPr>
                <w:rFonts w:ascii="宋体;汉仪书宋二KW" w:hAnsi="宋体;汉仪书宋二KW" w:cs="宋体;汉仪书宋二KW"/>
                <w:szCs w:val="21"/>
              </w:rPr>
              <w:t>年</w:t>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3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　</w:t>
            </w:r>
          </w:p>
        </w:tc>
      </w:tr>
      <w:tr>
        <w:trPr/>
        <w:tc>
          <w:tcPr>
            <w:tcW w:w="1026" w:type="dxa"/>
            <w:tcBorders>
              <w:left w:val="single" w:sz="8" w:space="0" w:color="000000"/>
              <w:bottom w:val="single" w:sz="8" w:space="0" w:color="000000"/>
              <w:right w:val="single" w:sz="8" w:space="0" w:color="000000"/>
            </w:tcBorders>
            <w:vAlign w:val="bottom"/>
          </w:tcPr>
          <w:p>
            <w:pPr>
              <w:pStyle w:val="Normal"/>
              <w:jc w:val="center"/>
              <w:rPr>
                <w:rFonts w:ascii="宋体;汉仪书宋二KW" w:hAnsi="宋体;汉仪书宋二KW" w:eastAsia="宋体;汉仪书宋二KW"/>
                <w:szCs w:val="21"/>
                <w:lang w:val="en-US" w:eastAsia="zh-CN"/>
              </w:rPr>
            </w:pPr>
            <w:r>
              <w:rPr>
                <w:rFonts w:cs="宋体;汉仪书宋二KW" w:ascii="宋体;汉仪书宋二KW" w:hAnsi="宋体;汉仪书宋二KW"/>
                <w:szCs w:val="21"/>
                <w:lang w:val="en-US" w:eastAsia="zh-CN"/>
              </w:rPr>
              <w:t>2026.2</w:t>
            </w:r>
          </w:p>
        </w:tc>
        <w:tc>
          <w:tcPr>
            <w:tcW w:w="120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1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3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42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kern w:val="0"/>
                <w:szCs w:val="21"/>
                <w:lang w:val="en-US" w:eastAsia="zh-CN"/>
              </w:rPr>
            </w:pPr>
            <w:r>
              <w:rPr>
                <w:rFonts w:ascii="宋体;汉仪书宋二KW" w:hAnsi="宋体;汉仪书宋二KW" w:cs="宋体;汉仪书宋二KW"/>
                <w:kern w:val="0"/>
                <w:szCs w:val="21"/>
              </w:rPr>
              <w:t>　</w:t>
            </w:r>
            <w:r>
              <w:rPr>
                <w:rFonts w:cs="宋体;汉仪书宋二KW" w:ascii="宋体;汉仪书宋二KW" w:hAnsi="宋体;汉仪书宋二KW"/>
                <w:kern w:val="0"/>
                <w:szCs w:val="21"/>
                <w:lang w:val="en-US" w:eastAsia="zh-CN"/>
              </w:rPr>
              <w:t>/</w:t>
            </w:r>
          </w:p>
        </w:tc>
        <w:tc>
          <w:tcPr>
            <w:tcW w:w="1260"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lang w:val="en-US" w:eastAsia="zh-CN"/>
              </w:rPr>
              <w:t>/</w:t>
            </w:r>
            <w:r>
              <w:rPr>
                <w:rFonts w:ascii="宋体;汉仪书宋二KW" w:hAnsi="宋体;汉仪书宋二KW" w:cs="宋体;汉仪书宋二KW"/>
                <w:kern w:val="0"/>
                <w:szCs w:val="21"/>
              </w:rPr>
              <w:t>　</w:t>
            </w:r>
          </w:p>
        </w:tc>
        <w:tc>
          <w:tcPr>
            <w:tcW w:w="1322" w:type="dxa"/>
            <w:tcBorders>
              <w:bottom w:val="single" w:sz="8" w:space="0" w:color="000000"/>
              <w:right w:val="single" w:sz="8" w:space="0" w:color="000000"/>
            </w:tcBorders>
            <w:vAlign w:val="center"/>
          </w:tcPr>
          <w:p>
            <w:pPr>
              <w:pStyle w:val="Normal"/>
              <w:widowControl/>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　</w:t>
            </w:r>
          </w:p>
        </w:tc>
      </w:tr>
    </w:tbl>
    <w:p>
      <w:pPr>
        <w:pStyle w:val="Normal"/>
        <w:widowControl/>
        <w:spacing w:lineRule="exact" w:line="480"/>
        <w:ind w:firstLine="420" w:right="0"/>
        <w:jc w:val="left"/>
        <w:rPr>
          <w:rFonts w:eastAsia="宋体;汉仪书宋二KW"/>
          <w:szCs w:val="21"/>
          <w:lang w:eastAsia="zh-CN"/>
        </w:rPr>
      </w:pPr>
    </w:p>
    <w:p>
      <w:pPr>
        <w:pStyle w:val="Normal"/>
        <w:spacing w:lineRule="exact" w:line="480"/>
        <w:ind w:firstLine="471" w:right="0"/>
        <w:rPr>
          <w:rFonts w:ascii="黑体;汉仪中黑KW" w:hAnsi="黑体;汉仪中黑KW" w:eastAsia="黑体;汉仪中黑KW" w:cs="黑体;汉仪中黑KW"/>
          <w:b/>
          <w:sz w:val="24"/>
          <w:szCs w:val="24"/>
        </w:rPr>
      </w:pPr>
      <w:r>
        <w:rPr>
          <w:rFonts w:ascii="黑体;汉仪中黑KW" w:hAnsi="黑体;汉仪中黑KW" w:cs="黑体;汉仪中黑KW" w:eastAsia="黑体;汉仪中黑KW"/>
          <w:b/>
          <w:sz w:val="24"/>
          <w:szCs w:val="24"/>
        </w:rPr>
        <w:t>二、申请人基本情况</w:t>
      </w:r>
    </w:p>
    <w:p>
      <w:pPr>
        <w:pStyle w:val="Normal"/>
        <w:spacing w:lineRule="exact" w:line="480"/>
        <w:ind w:firstLine="480" w:right="0"/>
        <w:rPr>
          <w:rFonts w:ascii="楷体;汉仪楷体KW" w:hAnsi="楷体;汉仪楷体KW" w:eastAsia="楷体;汉仪楷体KW" w:cs="楷体;汉仪楷体KW"/>
          <w:bCs/>
          <w:sz w:val="24"/>
          <w:szCs w:val="24"/>
        </w:rPr>
      </w:pPr>
      <w:r>
        <w:rPr>
          <w:rFonts w:ascii="楷体;汉仪楷体KW" w:hAnsi="楷体;汉仪楷体KW" w:cs="楷体;汉仪楷体KW" w:eastAsia="楷体;汉仪楷体KW"/>
          <w:bCs/>
          <w:sz w:val="24"/>
          <w:szCs w:val="24"/>
        </w:rPr>
        <w:t>（一）基本信息</w:t>
      </w:r>
    </w:p>
    <w:tbl>
      <w:tblPr>
        <w:tblW w:w="8755" w:type="dxa"/>
        <w:jc w:val="left"/>
        <w:tblInd w:w="-113" w:type="dxa"/>
        <w:tblLayout w:type="fixed"/>
        <w:tblCellMar>
          <w:top w:w="0" w:type="dxa"/>
          <w:left w:w="108" w:type="dxa"/>
          <w:bottom w:w="0" w:type="dxa"/>
          <w:right w:w="108" w:type="dxa"/>
        </w:tblCellMar>
      </w:tblPr>
      <w:tblGrid>
        <w:gridCol w:w="2330"/>
        <w:gridCol w:w="2242"/>
        <w:gridCol w:w="2116"/>
        <w:gridCol w:w="2067"/>
      </w:tblGrid>
      <w:tr>
        <w:trPr/>
        <w:tc>
          <w:tcPr>
            <w:tcW w:w="2330" w:type="dxa"/>
            <w:tcBorders>
              <w:top w:val="single" w:sz="4" w:space="0" w:color="000000"/>
              <w:left w:val="single" w:sz="4" w:space="0" w:color="000000"/>
              <w:bottom w:val="single" w:sz="4" w:space="0" w:color="000000"/>
              <w:right w:val="single" w:sz="4" w:space="0" w:color="000000"/>
            </w:tcBorders>
          </w:tcPr>
          <w:p>
            <w:r/>
            <w:r>
              <w:rPr>
                <w:b w:val="0"/>
                <w:sz w:val="21"/>
              </w:rPr>
              <w:t>中水（临漳）水务有限公司</w:t>
            </w:r>
          </w:p>
        </w:tc>
        <w:tc>
          <w:tcPr>
            <w:tcW w:w="6425" w:type="dxa"/>
            <w:gridSpan w:val="3"/>
            <w:tcBorders>
              <w:top w:val="single" w:sz="4" w:space="0" w:color="000000"/>
              <w:left w:val="single" w:sz="4" w:space="0" w:color="000000"/>
              <w:bottom w:val="single" w:sz="4" w:space="0" w:color="000000"/>
              <w:right w:val="single" w:sz="4" w:space="0" w:color="000000"/>
            </w:tcBorders>
          </w:tcPr>
          <w:p>
            <w:r/>
            <w:r>
              <w:rPr>
                <w:b w:val="0"/>
                <w:sz w:val="21"/>
              </w:rPr>
              <w:t>-</w:t>
            </w:r>
          </w:p>
        </w:tc>
      </w:tr>
      <w:tr>
        <w:trPr>
          <w:trHeight w:val="90" w:hRule="atLeast"/>
        </w:trPr>
        <w:tc>
          <w:tcPr>
            <w:tcW w:w="2330" w:type="dxa"/>
            <w:tcBorders>
              <w:top w:val="single" w:sz="4" w:space="0" w:color="000000"/>
              <w:left w:val="single" w:sz="4" w:space="0" w:color="000000"/>
              <w:bottom w:val="single" w:sz="4" w:space="0" w:color="000000"/>
              <w:right w:val="single" w:sz="4" w:space="0" w:color="000000"/>
            </w:tcBorders>
          </w:tcPr>
          <w:p>
            <w:r>
              <w:t>中水（临漳）水务有限公司</w:t>
            </w:r>
          </w:p>
        </w:tc>
        <w:tc>
          <w:tcPr>
            <w:tcW w:w="6425" w:type="dxa"/>
            <w:gridSpan w:val="3"/>
            <w:tcBorders>
              <w:top w:val="single" w:sz="4" w:space="0" w:color="000000"/>
              <w:left w:val="single" w:sz="4" w:space="0" w:color="000000"/>
              <w:bottom w:val="single" w:sz="4" w:space="0" w:color="000000"/>
              <w:right w:val="single" w:sz="4" w:space="0" w:color="000000"/>
            </w:tcBorders>
          </w:tcPr>
          <w:p>
            <w:r>
              <w:t>-</w:t>
            </w:r>
          </w:p>
        </w:tc>
      </w:tr>
      <w:tr>
        <w:trPr/>
        <w:tc>
          <w:tcPr>
            <w:tcW w:w="2330" w:type="dxa"/>
            <w:tcBorders>
              <w:top w:val="single" w:sz="4" w:space="0" w:color="000000"/>
              <w:left w:val="single" w:sz="4" w:space="0" w:color="000000"/>
              <w:bottom w:val="single" w:sz="4" w:space="0" w:color="000000"/>
              <w:right w:val="single" w:sz="4" w:space="0" w:color="000000"/>
            </w:tcBorders>
          </w:tcPr>
          <w:p>
            <w:r>
              <w:t>邺城供水集团有限公司</w:t>
            </w:r>
          </w:p>
        </w:tc>
        <w:tc>
          <w:tcPr>
            <w:tcW w:w="2242" w:type="dxa"/>
            <w:tcBorders>
              <w:top w:val="single" w:sz="4" w:space="0" w:color="000000"/>
              <w:left w:val="single" w:sz="4" w:space="0" w:color="000000"/>
              <w:bottom w:val="single" w:sz="4" w:space="0" w:color="000000"/>
              <w:right w:val="single" w:sz="4" w:space="0" w:color="000000"/>
            </w:tcBorders>
          </w:tcPr>
          <w:p>
            <w:r>
              <w:t>-</w:t>
            </w:r>
          </w:p>
        </w:tc>
        <w:tc>
          <w:tcPr>
            <w:tcW w:w="2116" w:type="dxa"/>
            <w:tcBorders>
              <w:top w:val="single" w:sz="4" w:space="0" w:color="000000"/>
              <w:left w:val="single" w:sz="4" w:space="0" w:color="000000"/>
              <w:bottom w:val="single" w:sz="4" w:space="0" w:color="000000"/>
              <w:right w:val="single" w:sz="4" w:space="0" w:color="000000"/>
            </w:tcBorders>
          </w:tcPr>
          <w:p>
            <w:r>
              <w:t>-</w:t>
            </w:r>
          </w:p>
        </w:tc>
        <w:tc>
          <w:tcPr>
            <w:tcW w:w="2067" w:type="dxa"/>
            <w:tcBorders>
              <w:top w:val="single" w:sz="4" w:space="0" w:color="000000"/>
              <w:left w:val="single" w:sz="4" w:space="0" w:color="000000"/>
              <w:bottom w:val="single" w:sz="4" w:space="0" w:color="000000"/>
              <w:right w:val="single" w:sz="4" w:space="0" w:color="000000"/>
            </w:tcBorders>
          </w:tcPr>
          <w:p>
            <w:r>
              <w:t>-</w:t>
            </w:r>
          </w:p>
        </w:tc>
      </w:tr>
      <w:tr>
        <w:trPr/>
        <w:tc>
          <w:tcPr>
            <w:tcW w:w="2330" w:type="dxa"/>
            <w:tcBorders>
              <w:top w:val="single" w:sz="4" w:space="0" w:color="000000"/>
              <w:left w:val="single" w:sz="4" w:space="0" w:color="000000"/>
              <w:bottom w:val="single" w:sz="4" w:space="0" w:color="000000"/>
              <w:right w:val="single" w:sz="4" w:space="0" w:color="000000"/>
            </w:tcBorders>
          </w:tcPr>
          <w:p>
            <w:r>
              <w:t>2020年10月29日</w:t>
            </w:r>
          </w:p>
        </w:tc>
        <w:tc>
          <w:tcPr>
            <w:tcW w:w="2242" w:type="dxa"/>
            <w:tcBorders>
              <w:top w:val="single" w:sz="4" w:space="0" w:color="000000"/>
              <w:left w:val="single" w:sz="4" w:space="0" w:color="000000"/>
              <w:bottom w:val="single" w:sz="4" w:space="0" w:color="000000"/>
              <w:right w:val="single" w:sz="4" w:space="0" w:color="000000"/>
            </w:tcBorders>
          </w:tcPr>
          <w:p>
            <w:r>
              <w:t>-</w:t>
            </w:r>
          </w:p>
        </w:tc>
        <w:tc>
          <w:tcPr>
            <w:tcW w:w="2116" w:type="dxa"/>
            <w:tcBorders>
              <w:top w:val="single" w:sz="4" w:space="0" w:color="000000"/>
              <w:left w:val="single" w:sz="4" w:space="0" w:color="000000"/>
              <w:bottom w:val="single" w:sz="4" w:space="0" w:color="000000"/>
              <w:right w:val="single" w:sz="4" w:space="0" w:color="000000"/>
            </w:tcBorders>
          </w:tcPr>
          <w:p>
            <w:r>
              <w:t>河北省邯郸市临漳县</w:t>
            </w:r>
          </w:p>
        </w:tc>
        <w:tc>
          <w:tcPr>
            <w:tcW w:w="2067" w:type="dxa"/>
            <w:tcBorders>
              <w:top w:val="single" w:sz="4" w:space="0" w:color="000000"/>
              <w:left w:val="single" w:sz="4" w:space="0" w:color="000000"/>
              <w:bottom w:val="single" w:sz="4" w:space="0" w:color="000000"/>
              <w:right w:val="single" w:sz="4" w:space="0" w:color="000000"/>
            </w:tcBorders>
          </w:tcPr>
          <w:p>
            <w:r>
              <w:t>有我行分支机构</w:t>
            </w:r>
          </w:p>
        </w:tc>
      </w:tr>
      <w:tr>
        <w:trPr/>
        <w:tc>
          <w:tcPr>
            <w:tcW w:w="2330" w:type="dxa"/>
            <w:tcBorders>
              <w:top w:val="single" w:sz="4" w:space="0" w:color="000000"/>
              <w:left w:val="single" w:sz="4" w:space="0" w:color="000000"/>
              <w:bottom w:val="single" w:sz="4" w:space="0" w:color="000000"/>
              <w:right w:val="single" w:sz="4" w:space="0" w:color="000000"/>
            </w:tcBorders>
          </w:tcPr>
          <w:p>
            <w:r>
              <w:t>杨帆</w:t>
            </w:r>
          </w:p>
        </w:tc>
        <w:tc>
          <w:tcPr>
            <w:tcW w:w="2242" w:type="dxa"/>
            <w:tcBorders>
              <w:top w:val="single" w:sz="4" w:space="0" w:color="000000"/>
              <w:left w:val="single" w:sz="4" w:space="0" w:color="000000"/>
              <w:bottom w:val="single" w:sz="4" w:space="0" w:color="000000"/>
              <w:right w:val="single" w:sz="4" w:space="0" w:color="000000"/>
            </w:tcBorders>
          </w:tcPr>
          <w:p>
            <w:r>
              <w:t>-</w:t>
            </w:r>
          </w:p>
        </w:tc>
        <w:tc>
          <w:tcPr>
            <w:tcW w:w="2116" w:type="dxa"/>
            <w:tcBorders>
              <w:top w:val="single" w:sz="4" w:space="0" w:color="000000"/>
              <w:left w:val="single" w:sz="4" w:space="0" w:color="000000"/>
              <w:bottom w:val="single" w:sz="4" w:space="0" w:color="000000"/>
              <w:right w:val="single" w:sz="4" w:space="0" w:color="000000"/>
            </w:tcBorders>
          </w:tcPr>
          <w:p>
            <w:r>
              <w:t>杨帆</w:t>
            </w:r>
          </w:p>
        </w:tc>
        <w:tc>
          <w:tcPr>
            <w:tcW w:w="2067" w:type="dxa"/>
            <w:tcBorders>
              <w:top w:val="single" w:sz="4" w:space="0" w:color="000000"/>
              <w:left w:val="single" w:sz="4" w:space="0" w:color="000000"/>
              <w:bottom w:val="single" w:sz="4" w:space="0" w:color="000000"/>
              <w:right w:val="single" w:sz="4" w:space="0" w:color="000000"/>
            </w:tcBorders>
          </w:tcPr>
          <w:p>
            <w:r>
              <w:t>自然人控股股东</w:t>
            </w:r>
          </w:p>
        </w:tc>
      </w:tr>
      <w:tr>
        <w:trPr/>
        <w:tc>
          <w:tcPr>
            <w:tcW w:w="2330" w:type="dxa"/>
            <w:tcBorders>
              <w:top w:val="single" w:sz="4" w:space="0" w:color="000000"/>
              <w:left w:val="single" w:sz="4" w:space="0" w:color="000000"/>
              <w:bottom w:val="single" w:sz="4" w:space="0" w:color="000000"/>
              <w:right w:val="single" w:sz="4" w:space="0" w:color="000000"/>
            </w:tcBorders>
          </w:tcPr>
          <w:p>
            <w:r>
              <w:t>10,000.00万元</w:t>
            </w:r>
          </w:p>
        </w:tc>
        <w:tc>
          <w:tcPr>
            <w:tcW w:w="2242" w:type="dxa"/>
            <w:tcBorders>
              <w:top w:val="single" w:sz="4" w:space="0" w:color="000000"/>
              <w:left w:val="single" w:sz="4" w:space="0" w:color="000000"/>
              <w:bottom w:val="single" w:sz="4" w:space="0" w:color="000000"/>
              <w:right w:val="single" w:sz="4" w:space="0" w:color="000000"/>
            </w:tcBorders>
          </w:tcPr>
          <w:p>
            <w:r>
              <w:t>-</w:t>
            </w:r>
          </w:p>
        </w:tc>
        <w:tc>
          <w:tcPr>
            <w:tcW w:w="2116" w:type="dxa"/>
            <w:tcBorders>
              <w:top w:val="single" w:sz="4" w:space="0" w:color="000000"/>
              <w:left w:val="single" w:sz="4" w:space="0" w:color="000000"/>
              <w:bottom w:val="single" w:sz="4" w:space="0" w:color="000000"/>
              <w:right w:val="single" w:sz="4" w:space="0" w:color="000000"/>
            </w:tcBorders>
          </w:tcPr>
          <w:p>
            <w:r>
              <w:t>10,000.00万元</w:t>
            </w:r>
          </w:p>
        </w:tc>
        <w:tc>
          <w:tcPr>
            <w:tcW w:w="2067" w:type="dxa"/>
            <w:tcBorders>
              <w:top w:val="single" w:sz="4" w:space="0" w:color="000000"/>
              <w:left w:val="single" w:sz="4" w:space="0" w:color="000000"/>
              <w:bottom w:val="single" w:sz="4" w:space="0" w:color="000000"/>
              <w:right w:val="single" w:sz="4" w:space="0" w:color="000000"/>
            </w:tcBorders>
          </w:tcPr>
          <w:p>
            <w:r>
              <w:t>-</w:t>
            </w:r>
          </w:p>
        </w:tc>
      </w:tr>
      <w:tr>
        <w:trPr>
          <w:trHeight w:val="211" w:hRule="atLeast"/>
        </w:trPr>
        <w:tc>
          <w:tcPr>
            <w:tcW w:w="4572" w:type="dxa"/>
            <w:gridSpan w:val="2"/>
            <w:tcBorders>
              <w:top w:val="single" w:sz="4" w:space="0" w:color="000000"/>
              <w:left w:val="single" w:sz="4" w:space="0" w:color="000000"/>
              <w:bottom w:val="single" w:sz="4" w:space="0" w:color="000000"/>
              <w:right w:val="single" w:sz="4" w:space="0" w:color="000000"/>
            </w:tcBorders>
          </w:tcPr>
          <w:p>
            <w:r/>
            <w:r>
              <w:rPr>
                <w:b w:val="0"/>
                <w:sz w:val="21"/>
              </w:rPr>
              <w:t>100%</w:t>
            </w:r>
          </w:p>
        </w:tc>
        <w:tc>
          <w:tcPr>
            <w:tcW w:w="4183" w:type="dxa"/>
            <w:gridSpan w:val="2"/>
            <w:tcBorders>
              <w:top w:val="single" w:sz="4" w:space="0" w:color="000000"/>
              <w:left w:val="single" w:sz="4" w:space="0" w:color="000000"/>
              <w:bottom w:val="single" w:sz="4" w:space="0" w:color="000000"/>
              <w:right w:val="single" w:sz="4" w:space="0" w:color="000000"/>
            </w:tcBorders>
          </w:tcPr>
          <w:p>
            <w:r/>
            <w:r>
              <w:rPr>
                <w:b w:val="0"/>
                <w:sz w:val="21"/>
              </w:rPr>
              <w:t>100%</w:t>
            </w:r>
          </w:p>
        </w:tc>
      </w:tr>
      <w:tr>
        <w:trPr/>
        <w:tc>
          <w:tcPr>
            <w:tcW w:w="2330" w:type="dxa"/>
            <w:tcBorders>
              <w:top w:val="single" w:sz="4" w:space="0" w:color="000000"/>
              <w:left w:val="single" w:sz="4" w:space="0" w:color="000000"/>
              <w:bottom w:val="single" w:sz="4" w:space="0" w:color="000000"/>
              <w:right w:val="single" w:sz="4" w:space="0" w:color="000000"/>
            </w:tcBorders>
          </w:tcPr>
          <w:p>
            <w:r/>
            <w:r>
              <w:rPr>
                <w:b w:val="0"/>
                <w:sz w:val="21"/>
              </w:rPr>
              <w:t>邺城供水集团有限公司</w:t>
            </w:r>
          </w:p>
        </w:tc>
        <w:tc>
          <w:tcPr>
            <w:tcW w:w="2242" w:type="dxa"/>
            <w:tcBorders>
              <w:top w:val="single" w:sz="4" w:space="0" w:color="000000"/>
              <w:left w:val="single" w:sz="4" w:space="0" w:color="000000"/>
              <w:bottom w:val="single" w:sz="4" w:space="0" w:color="000000"/>
              <w:right w:val="single" w:sz="4" w:space="0" w:color="000000"/>
            </w:tcBorders>
          </w:tcPr>
          <w:p>
            <w:r/>
            <w:r>
              <w:rPr>
                <w:b w:val="0"/>
                <w:sz w:val="21"/>
              </w:rPr>
              <w:t>比例: 100%</w:t>
            </w:r>
          </w:p>
        </w:tc>
        <w:tc>
          <w:tcPr>
            <w:tcW w:w="2116" w:type="dxa"/>
            <w:tcBorders>
              <w:top w:val="single" w:sz="4" w:space="0" w:color="000000"/>
              <w:left w:val="single" w:sz="4" w:space="0" w:color="000000"/>
              <w:bottom w:val="single" w:sz="4" w:space="0" w:color="000000"/>
              <w:right w:val="single" w:sz="4" w:space="0" w:color="000000"/>
            </w:tcBorders>
          </w:tcPr>
          <w:p>
            <w:r/>
            <w:r>
              <w:rPr>
                <w:b w:val="0"/>
                <w:sz w:val="21"/>
              </w:rPr>
              <w:t>城镇供水</w:t>
            </w:r>
          </w:p>
        </w:tc>
        <w:tc>
          <w:tcPr>
            <w:tcW w:w="2067" w:type="dxa"/>
            <w:tcBorders>
              <w:top w:val="single" w:sz="4" w:space="0" w:color="000000"/>
              <w:left w:val="single" w:sz="4" w:space="0" w:color="000000"/>
              <w:bottom w:val="single" w:sz="4" w:space="0" w:color="000000"/>
              <w:right w:val="single" w:sz="4" w:space="0" w:color="000000"/>
            </w:tcBorders>
          </w:tcPr>
          <w:p>
            <w:r/>
            <w:r>
              <w:rPr>
                <w:b w:val="0"/>
                <w:sz w:val="21"/>
              </w:rPr>
              <w:t>比例: 100%</w:t>
            </w:r>
          </w:p>
        </w:tc>
      </w:tr>
      <w:tr>
        <w:trPr/>
        <w:tc>
          <w:tcPr>
            <w:tcW w:w="2330"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242"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11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67" w:type="dxa"/>
            <w:tcBorders>
              <w:top w:val="single" w:sz="4" w:space="0" w:color="000000"/>
              <w:left w:val="single" w:sz="4" w:space="0" w:color="000000"/>
              <w:bottom w:val="single" w:sz="4" w:space="0" w:color="000000"/>
              <w:right w:val="single" w:sz="4" w:space="0" w:color="000000"/>
            </w:tcBorders>
          </w:tcPr>
          <w:p>
            <w: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242"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11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2067" w:type="dxa"/>
            <w:tcBorders>
              <w:top w:val="single" w:sz="4" w:space="0" w:color="000000"/>
              <w:left w:val="single" w:sz="4" w:space="0" w:color="000000"/>
              <w:bottom w:val="single" w:sz="4" w:space="0" w:color="000000"/>
              <w:right w:val="single" w:sz="4" w:space="0" w:color="000000"/>
            </w:tcBorders>
          </w:tcPr>
          <w:p>
            <w:r/>
            <w:r>
              <w:rPr>
                <w:b w:val="0"/>
                <w:sz w:val="21"/>
              </w:rPr>
              <w:t>-</w:t>
            </w:r>
          </w:p>
        </w:tc>
      </w:tr>
      <w:tr>
        <w:trPr/>
        <w:tc>
          <w:tcPr>
            <w:tcW w:w="2330" w:type="dxa"/>
            <w:tcBorders>
              <w:top w:val="single" w:sz="4" w:space="0" w:color="000000"/>
              <w:left w:val="single" w:sz="4" w:space="0" w:color="000000"/>
              <w:bottom w:val="single" w:sz="4" w:space="0" w:color="000000"/>
              <w:right w:val="single" w:sz="4" w:space="0" w:color="000000"/>
            </w:tcBorders>
          </w:tcPr>
          <w:p>
            <w:r/>
            <w:r>
              <w:rPr>
                <w:b w:val="0"/>
                <w:sz w:val="21"/>
              </w:rPr>
              <w:t>合计</w:t>
            </w:r>
          </w:p>
        </w:tc>
        <w:tc>
          <w:tcPr>
            <w:tcW w:w="2242" w:type="dxa"/>
            <w:tcBorders>
              <w:top w:val="single" w:sz="4" w:space="0" w:color="000000"/>
              <w:left w:val="single" w:sz="4" w:space="0" w:color="000000"/>
              <w:bottom w:val="single" w:sz="4" w:space="0" w:color="000000"/>
              <w:right w:val="single" w:sz="4" w:space="0" w:color="000000"/>
            </w:tcBorders>
          </w:tcPr>
          <w:p>
            <w:r/>
            <w:r>
              <w:rPr>
                <w:b w:val="0"/>
                <w:sz w:val="21"/>
              </w:rPr>
              <w:t>比例合计: 100%</w:t>
            </w:r>
          </w:p>
        </w:tc>
        <w:tc>
          <w:tcPr>
            <w:tcW w:w="2116" w:type="dxa"/>
            <w:tcBorders>
              <w:top w:val="single" w:sz="4" w:space="0" w:color="000000"/>
              <w:left w:val="single" w:sz="4" w:space="0" w:color="000000"/>
              <w:bottom w:val="single" w:sz="4" w:space="0" w:color="000000"/>
              <w:right w:val="single" w:sz="4" w:space="0" w:color="000000"/>
            </w:tcBorders>
          </w:tcPr>
          <w:p>
            <w:r/>
            <w:r>
              <w:rPr>
                <w:b w:val="0"/>
                <w:sz w:val="21"/>
              </w:rPr>
              <w:t>合计</w:t>
            </w:r>
          </w:p>
        </w:tc>
        <w:tc>
          <w:tcPr>
            <w:tcW w:w="2067" w:type="dxa"/>
            <w:tcBorders>
              <w:top w:val="single" w:sz="4" w:space="0" w:color="000000"/>
              <w:left w:val="single" w:sz="4" w:space="0" w:color="000000"/>
              <w:bottom w:val="single" w:sz="4" w:space="0" w:color="000000"/>
              <w:right w:val="single" w:sz="4" w:space="0" w:color="000000"/>
            </w:tcBorders>
          </w:tcPr>
          <w:p>
            <w:r/>
            <w:r>
              <w:rPr>
                <w:b w:val="0"/>
                <w:sz w:val="21"/>
              </w:rPr>
              <w:t>比例合计: 100%</w:t>
            </w:r>
          </w:p>
        </w:tc>
      </w:tr>
    </w:tbl>
    <w:p>
      <w:pPr>
        <w:pStyle w:val="1"/>
        <w:ind w:firstLine="420" w:right="0"/>
        <w:rPr>
          <w:rFonts w:ascii="宋体;汉仪书宋二KW" w:hAnsi="宋体;汉仪书宋二KW" w:eastAsia="宋体;汉仪书宋二KW" w:cs="宋体;汉仪书宋二KW"/>
          <w:spacing w:val="0"/>
          <w:kern w:val="2"/>
          <w:sz w:val="21"/>
          <w:szCs w:val="21"/>
          <w:lang w:val="en-US" w:eastAsia="zh-CN" w:bidi="ar-SA"/>
        </w:rPr>
      </w:pP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、申请人历史沿革，重大股权调整情况。</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2</w:t>
      </w:r>
      <w:r>
        <w:rPr>
          <w:rFonts w:ascii="宋体;汉仪书宋二KW" w:hAnsi="宋体;汉仪书宋二KW" w:cs="宋体;汉仪书宋二KW"/>
          <w:szCs w:val="21"/>
        </w:rPr>
        <w:t>、说明公司章程中约定的各股东出资金额、比例、资金到位进度；各股东资金到位情况是否符合公司章程的约定。公司章程或其他协议中对某出资方资金不能到位情况下的处理约定。按公司章程中的条款填写下表并文字说明：</w:t>
      </w:r>
    </w:p>
    <w:tbl>
      <w:tblPr>
        <w:tblW w:w="7394" w:type="dxa"/>
        <w:jc w:val="center"/>
        <w:tblInd w:w="0" w:type="dxa"/>
        <w:tblLayout w:type="fixed"/>
        <w:tblCellMar>
          <w:top w:w="0" w:type="dxa"/>
          <w:left w:w="108" w:type="dxa"/>
          <w:bottom w:w="0" w:type="dxa"/>
          <w:right w:w="108" w:type="dxa"/>
        </w:tblCellMar>
      </w:tblPr>
      <w:tblGrid>
        <w:gridCol w:w="1046"/>
        <w:gridCol w:w="1587"/>
        <w:gridCol w:w="1587"/>
        <w:gridCol w:w="1587"/>
        <w:gridCol w:w="1587"/>
      </w:tblGrid>
      <w:tr>
        <w:trPr/>
        <w:tc>
          <w:tcPr>
            <w:tcW w:w="1046" w:type="dxa"/>
            <w:tcBorders>
              <w:top w:val="single" w:sz="4" w:space="0" w:color="000000"/>
              <w:left w:val="single" w:sz="4" w:space="0" w:color="000000"/>
              <w:bottom w:val="single" w:sz="4" w:space="0" w:color="000000"/>
              <w:right w:val="single" w:sz="4" w:space="0" w:color="000000"/>
            </w:tcBorders>
          </w:tcPr>
          <w:p>
            <w:r/>
            <w:r>
              <w:rPr>
                <w:b w:val="0"/>
                <w:sz w:val="21"/>
              </w:rPr>
              <w:t>出资方</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约定出资金额</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约定出资比例</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资金到位金额</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资金到位进度</w:t>
            </w:r>
          </w:p>
        </w:tc>
      </w:tr>
      <w:tr>
        <w:trPr/>
        <w:tc>
          <w:tcPr>
            <w:tcW w:w="1046" w:type="dxa"/>
            <w:tcBorders>
              <w:top w:val="single" w:sz="4" w:space="0" w:color="000000"/>
              <w:left w:val="single" w:sz="4" w:space="0" w:color="000000"/>
              <w:bottom w:val="single" w:sz="4" w:space="0" w:color="000000"/>
              <w:right w:val="single" w:sz="4" w:space="0" w:color="000000"/>
            </w:tcBorders>
          </w:tcPr>
          <w:p>
            <w:r/>
            <w:r>
              <w:rPr>
                <w:b w:val="0"/>
                <w:sz w:val="21"/>
              </w:rPr>
              <w:t>邺城供水集团有限公司</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w:t>
            </w:r>
          </w:p>
        </w:tc>
      </w:tr>
      <w:tr>
        <w:trPr/>
        <w:tc>
          <w:tcPr>
            <w:tcW w:w="104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r>
      <w:tr>
        <w:trPr/>
        <w:tc>
          <w:tcPr>
            <w:tcW w:w="1046"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w:t>
            </w:r>
          </w:p>
        </w:tc>
      </w:tr>
      <w:tr>
        <w:trPr/>
        <w:tc>
          <w:tcPr>
            <w:tcW w:w="1046" w:type="dxa"/>
            <w:tcBorders>
              <w:top w:val="single" w:sz="4" w:space="0" w:color="000000"/>
              <w:left w:val="single" w:sz="4" w:space="0" w:color="000000"/>
              <w:bottom w:val="single" w:sz="4" w:space="0" w:color="000000"/>
              <w:right w:val="single" w:sz="4" w:space="0" w:color="000000"/>
            </w:tcBorders>
          </w:tcPr>
          <w:p>
            <w:r/>
            <w:r>
              <w:rPr>
                <w:b w:val="0"/>
                <w:sz w:val="21"/>
              </w:rPr>
              <w:t>合计</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10,000.00万元</w:t>
            </w:r>
          </w:p>
        </w:tc>
        <w:tc>
          <w:tcPr>
            <w:tcW w:w="1587" w:type="dxa"/>
            <w:tcBorders>
              <w:top w:val="single" w:sz="4" w:space="0" w:color="000000"/>
              <w:left w:val="single" w:sz="4" w:space="0" w:color="000000"/>
              <w:bottom w:val="single" w:sz="4" w:space="0" w:color="000000"/>
              <w:right w:val="single" w:sz="4" w:space="0" w:color="000000"/>
            </w:tcBorders>
          </w:tcPr>
          <w:p>
            <w:r/>
            <w:r>
              <w:rPr>
                <w:b w:val="0"/>
                <w:sz w:val="21"/>
              </w:rPr>
              <w:t>100%</w:t>
            </w:r>
          </w:p>
        </w:tc>
      </w:tr>
    </w:tbl>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3</w:t>
      </w:r>
      <w:r>
        <w:rPr>
          <w:rFonts w:ascii="宋体;汉仪书宋二KW" w:hAnsi="宋体;汉仪书宋二KW" w:cs="宋体;汉仪书宋二KW"/>
          <w:szCs w:val="21"/>
        </w:rPr>
        <w:t>、列明目前公司股权结构图，要求追溯到最上级自然人或各级国资委，股权结构图须注明持股比例。</w:t>
      </w:r>
    </w:p>
    <w:p>
      <w:pPr>
        <w:pStyle w:val="Normal"/>
        <w:spacing w:lineRule="exact" w:line="480"/>
        <w:rPr>
          <w:rFonts w:ascii="宋体;汉仪书宋二KW" w:hAnsi="宋体;汉仪书宋二KW" w:cs="宋体;汉仪书宋二KW"/>
          <w:szCs w:val="21"/>
        </w:rPr>
      </w:pPr>
      <w:r>
        <w:rPr>
          <w:rFonts w:ascii="宋体;汉仪书宋二KW" w:hAnsi="宋体;汉仪书宋二KW" w:cs="宋体;汉仪书宋二KW"/>
          <w:szCs w:val="21"/>
        </w:rPr>
        <w:t xml:space="preserve">    </w:t>
      </w:r>
      <w:r>
        <w:rPr>
          <w:rFonts w:cs="宋体;汉仪书宋二KW" w:ascii="宋体;汉仪书宋二KW" w:hAnsi="宋体;汉仪书宋二KW"/>
          <w:szCs w:val="21"/>
        </w:rPr>
        <w:t>4</w:t>
      </w:r>
      <w:r>
        <w:rPr>
          <w:rFonts w:ascii="宋体;汉仪书宋二KW" w:hAnsi="宋体;汉仪书宋二KW" w:cs="宋体;汉仪书宋二KW"/>
          <w:szCs w:val="21"/>
        </w:rPr>
        <w:t>、管理层情况</w:t>
      </w:r>
    </w:p>
    <w:p>
      <w:pPr>
        <w:pStyle w:val="Normal"/>
        <w:spacing w:lineRule="exact" w:line="480"/>
        <w:ind w:firstLine="420" w:right="0"/>
        <w:rPr>
          <w:rFonts w:ascii="宋体;汉仪书宋二KW" w:hAnsi="宋体;汉仪书宋二KW" w:cs="宋体;汉仪书宋二KW"/>
          <w:szCs w:val="21"/>
        </w:rPr>
      </w:pPr>
      <w:r>
        <w:rPr>
          <w:rFonts w:ascii="宋体" w:hAnsi="宋体" w:eastAsia="宋体"/>
          <w:sz w:val="21"/>
        </w:rPr>
        <w:t>（1）管理层情况</w:t>
        <w:br/>
        <w:t>法定代表人/执行董事/总经理：杨帆</w:t>
        <w:br/>
        <w:t>杨帆，男，长期从事供水行业，具有丰富的供水项目投资、建设和运营管理经验。现任邺城供水集团有限公司法定代表人/总经理，同时担任中水（临漳）水务有限公司法定代表人/执行董事/总经理。无不良信用记录，无涉诉及被执行记录。</w:t>
        <w:br/>
        <w:t>财务负责人：李庚</w:t>
        <w:br/>
        <w:t>李庚，男，具有财务管理工作经验，负责申请人财务核算及资金管理工作，无不良信用记录。</w:t>
        <w:br/>
        <w:t>管理层总体评价：申请人管理层团队在供水行业具有丰富经验，管理团队稳定，无重大违规违纪情况。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2</w:t>
      </w:r>
      <w:r>
        <w:rPr>
          <w:rFonts w:ascii="宋体;汉仪书宋二KW" w:hAnsi="宋体;汉仪书宋二KW" w:cs="宋体;汉仪书宋二KW"/>
          <w:szCs w:val="21"/>
        </w:rPr>
        <w:t>）了解企业高管层有无重大违规违纪情况。</w:t>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（二）组织结构</w:t>
      </w:r>
    </w:p>
    <w:p>
      <w:pPr>
        <w:pStyle w:val="Normal"/>
        <w:spacing w:lineRule="exact" w:line="480"/>
        <w:ind w:firstLine="420" w:right="0"/>
        <w:rPr>
          <w:rFonts w:ascii="宋体;汉仪书宋二KW" w:hAnsi="宋体;汉仪书宋二KW" w:eastAsia="宋体;汉仪书宋二KW" w:cs="宋体;汉仪书宋二KW"/>
          <w:szCs w:val="21"/>
          <w:lang w:eastAsia="zh-CN"/>
        </w:rPr>
      </w:pPr>
      <w:r>
        <w:rPr>
          <w:rFonts w:ascii="宋体;汉仪书宋二KW" w:hAnsi="宋体;汉仪书宋二KW" w:cs="宋体;汉仪书宋二KW" w:eastAsia="宋体;汉仪书宋二KW"/>
          <w:szCs w:val="21"/>
          <w:lang w:eastAsia="zh-CN"/>
        </w:rPr>
        <w:t>申请人为新设项目公司，无下属子公司。</w:t>
      </w:r>
    </w:p>
    <w:p>
      <w:pPr>
        <w:pStyle w:val="Normal"/>
        <w:spacing w:lineRule="exact" w:line="480"/>
        <w:ind w:firstLine="471"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（三）借款人经营情况（仅适用于固定资产贷款，对于项目融资可</w:t>
      </w:r>
      <w:r>
        <w:rPr>
          <w:rFonts w:ascii="楷体;汉仪楷体KW" w:hAnsi="楷体;汉仪楷体KW" w:cs="楷体;汉仪楷体KW" w:eastAsia="楷体;汉仪楷体KW"/>
          <w:b/>
          <w:bCs/>
          <w:sz w:val="24"/>
          <w:szCs w:val="24"/>
          <w:lang w:eastAsia="zh-CN"/>
        </w:rPr>
        <w:t>视情况简化</w:t>
      </w:r>
      <w:r>
        <w:rPr>
          <w:rFonts w:ascii="楷体;汉仪楷体KW" w:hAnsi="楷体;汉仪楷体KW" w:cs="楷体;汉仪楷体KW" w:eastAsia="楷体;汉仪楷体KW"/>
          <w:b/>
          <w:bCs/>
          <w:sz w:val="24"/>
          <w:szCs w:val="24"/>
        </w:rPr>
        <w:t>）</w:t>
      </w:r>
    </w:p>
    <w:p>
      <w:pPr>
        <w:pStyle w:val="Normal"/>
        <w:spacing w:lineRule="exact" w:line="480"/>
        <w:ind w:firstLine="420" w:right="0"/>
        <w:rPr>
          <w:rFonts w:ascii="楷体;汉仪楷体KW" w:hAnsi="楷体;汉仪楷体KW" w:eastAsia="楷体;汉仪楷体KW" w:cs="楷体;汉仪楷体KW"/>
          <w:b/>
          <w:sz w:val="24"/>
          <w:szCs w:val="24"/>
        </w:rPr>
      </w:pPr>
      <w:r>
        <w:rPr>
          <w:rFonts w:ascii="宋体;汉仪书宋二KW" w:hAnsi="宋体;汉仪书宋二KW" w:cs="宋体;汉仪书宋二KW" w:eastAsia="宋体;汉仪书宋二KW"/>
          <w:szCs w:val="21"/>
          <w:lang w:eastAsia="zh-CN"/>
        </w:rPr>
        <w:t>申请人为新设项目公司，重点分析股东经营情况作为参考。</w:t>
      </w:r>
    </w:p>
    <w:p>
      <w:pPr>
        <w:pStyle w:val="Normal"/>
        <w:spacing w:lineRule="exact" w:line="480"/>
        <w:ind w:firstLine="480" w:right="0"/>
        <w:rPr>
          <w:b/>
          <w:bCs/>
          <w:sz w:val="24"/>
          <w:szCs w:val="24"/>
        </w:rPr>
      </w:pPr>
      <w:r>
        <w:rPr>
          <w:rFonts w:ascii="楷体;汉仪楷体KW" w:hAnsi="楷体;汉仪楷体KW" w:cs="楷体;汉仪楷体KW" w:eastAsia="楷体;汉仪楷体KW"/>
          <w:b/>
          <w:sz w:val="24"/>
          <w:szCs w:val="24"/>
        </w:rPr>
        <w:t>（四）</w:t>
      </w:r>
      <w:r>
        <w:rPr>
          <w:rFonts w:ascii="楷体;汉仪楷体KW" w:hAnsi="楷体;汉仪楷体KW" w:cs="楷体;汉仪楷体KW" w:eastAsia="楷体;汉仪楷体KW"/>
          <w:b/>
          <w:bCs/>
          <w:sz w:val="24"/>
          <w:szCs w:val="24"/>
        </w:rPr>
        <w:t>借款人环保达标情况（仅适用于固定资产贷款，对于项目融资可</w:t>
      </w:r>
      <w:r>
        <w:rPr>
          <w:rFonts w:ascii="楷体;汉仪楷体KW" w:hAnsi="楷体;汉仪楷体KW" w:cs="楷体;汉仪楷体KW" w:eastAsia="楷体;汉仪楷体KW"/>
          <w:b/>
          <w:bCs/>
          <w:sz w:val="24"/>
          <w:szCs w:val="24"/>
          <w:lang w:eastAsia="zh-CN"/>
        </w:rPr>
        <w:t>视情况简化</w:t>
      </w:r>
      <w:r>
        <w:rPr>
          <w:rFonts w:ascii="楷体;汉仪楷体KW" w:hAnsi="楷体;汉仪楷体KW" w:cs="楷体;汉仪楷体KW" w:eastAsia="楷体;汉仪楷体KW"/>
          <w:b/>
          <w:bCs/>
          <w:sz w:val="24"/>
          <w:szCs w:val="24"/>
        </w:rPr>
        <w:t>）</w:t>
      </w:r>
      <w:r>
        <w:rPr>
          <w:rFonts w:eastAsia="Times New Roman"/>
          <w:b/>
          <w:bCs/>
          <w:sz w:val="24"/>
          <w:szCs w:val="24"/>
        </w:rPr>
        <w:t xml:space="preserve"> </w:t>
      </w:r>
    </w:p>
    <w:p>
      <w:pPr>
        <w:pStyle w:val="1"/>
        <w:ind w:firstLine="420" w:right="0"/>
        <w:rPr/>
      </w:pPr>
      <w:r>
        <w:rPr>
          <w:rFonts w:ascii="宋体;汉仪书宋二KW" w:hAnsi="宋体;汉仪书宋二KW" w:cs="宋体;汉仪书宋二KW" w:eastAsia="宋体;汉仪书宋二KW"/>
          <w:spacing w:val="0"/>
          <w:kern w:val="2"/>
          <w:sz w:val="21"/>
          <w:szCs w:val="21"/>
          <w:lang w:val="en-US" w:eastAsia="zh-CN" w:bidi="ar-SA"/>
        </w:rPr>
        <w:t>申请人为新设项目公司，尚未获取环保相关情况。</w:t>
      </w:r>
    </w:p>
    <w:p>
      <w:pPr>
        <w:pStyle w:val="Normal"/>
        <w:widowControl/>
        <w:spacing w:lineRule="exact" w:line="480"/>
        <w:ind w:firstLine="420" w:right="0"/>
        <w:jc w:val="left"/>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、申请人的环保手续取得情况：</w:t>
      </w:r>
    </w:p>
    <w:tbl>
      <w:tblPr>
        <w:tblW w:w="9247" w:type="dxa"/>
        <w:jc w:val="center"/>
        <w:tblInd w:w="0" w:type="dxa"/>
        <w:tblLayout w:type="fixed"/>
        <w:tblCellMar>
          <w:top w:w="0" w:type="dxa"/>
          <w:left w:w="108" w:type="dxa"/>
          <w:bottom w:w="0" w:type="dxa"/>
          <w:right w:w="108" w:type="dxa"/>
        </w:tblCellMar>
      </w:tblPr>
      <w:tblGrid>
        <w:gridCol w:w="2974"/>
        <w:gridCol w:w="2039"/>
        <w:gridCol w:w="1238"/>
        <w:gridCol w:w="1498"/>
        <w:gridCol w:w="1498"/>
      </w:tblGrid>
      <w:tr>
        <w:trPr>
          <w:trHeight w:val="389" w:hRule="atLeast"/>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手续（报告）名称</w:t>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文号</w:t>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批复部门</w:t>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取得时间</w:t>
            </w:r>
          </w:p>
        </w:tc>
      </w:tr>
      <w:tr>
        <w:trPr>
          <w:trHeight w:val="358" w:hRule="atLeast"/>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产能建设前环评手续取得情况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r>
      <w:tr>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产能验收环评手续的取得情况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r>
      <w:tr>
        <w:trPr/>
        <w:tc>
          <w:tcPr>
            <w:tcW w:w="2974" w:type="dxa"/>
            <w:tcBorders>
              <w:top w:val="single" w:sz="4" w:space="0" w:color="000000"/>
              <w:left w:val="single" w:sz="4" w:space="0" w:color="000000"/>
              <w:bottom w:val="single" w:sz="4" w:space="0" w:color="000000"/>
              <w:right w:val="single" w:sz="4" w:space="0" w:color="000000"/>
            </w:tcBorders>
          </w:tcPr>
          <w:p>
            <w:pPr>
              <w:pStyle w:val="Normal"/>
              <w:widowControl/>
              <w:jc w:val="left"/>
              <w:rPr>
                <w:rFonts w:ascii="宋体;汉仪书宋二KW" w:hAnsi="宋体;汉仪书宋二KW" w:cs="宋体;汉仪书宋二KW"/>
                <w:szCs w:val="21"/>
              </w:rPr>
            </w:pPr>
            <w:r>
              <w:rPr>
                <w:rFonts w:ascii="宋体;汉仪书宋二KW" w:hAnsi="宋体;汉仪书宋二KW" w:cs="宋体;汉仪书宋二KW"/>
                <w:szCs w:val="21"/>
              </w:rPr>
              <w:t>环保监测报告情况</w:t>
            </w:r>
          </w:p>
        </w:tc>
        <w:tc>
          <w:tcPr>
            <w:tcW w:w="2039"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23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c>
          <w:tcPr>
            <w:tcW w:w="1498" w:type="dxa"/>
            <w:tcBorders>
              <w:top w:val="single" w:sz="4" w:space="0" w:color="000000"/>
              <w:left w:val="single" w:sz="4" w:space="0" w:color="000000"/>
              <w:bottom w:val="single" w:sz="4" w:space="0" w:color="000000"/>
              <w:right w:val="single" w:sz="4" w:space="0" w:color="000000"/>
            </w:tcBorders>
          </w:tcPr>
          <w:p>
            <w:pPr>
              <w:pStyle w:val="Normal"/>
              <w:widowControl/>
              <w:snapToGrid w:val="false"/>
              <w:jc w:val="left"/>
              <w:rPr>
                <w:rFonts w:ascii="宋体;汉仪书宋二KW" w:hAnsi="宋体;汉仪书宋二KW" w:cs="宋体;汉仪书宋二KW"/>
                <w:szCs w:val="21"/>
              </w:rPr>
            </w:pPr>
            <w:r>
              <w:rPr>
                <w:rFonts w:cs="宋体;汉仪书宋二KW" w:ascii="宋体;汉仪书宋二KW" w:hAnsi="宋体;汉仪书宋二KW"/>
                <w:szCs w:val="21"/>
              </w:rPr>
            </w:r>
          </w:p>
        </w:tc>
      </w:tr>
    </w:tbl>
    <w:p>
      <w:pPr>
        <w:pStyle w:val="Normal"/>
        <w:widowControl/>
        <w:spacing w:lineRule="exact" w:line="480"/>
        <w:ind w:firstLine="420" w:right="0"/>
        <w:jc w:val="left"/>
        <w:rPr>
          <w:rFonts w:ascii="宋体;汉仪书宋二KW" w:hAnsi="宋体;汉仪书宋二KW" w:cs="宋体;汉仪书宋二KW"/>
          <w:szCs w:val="21"/>
        </w:rPr>
      </w:pPr>
      <w:r>
        <w:rPr>
          <w:rFonts w:ascii="宋体;汉仪书宋二KW" w:hAnsi="宋体;汉仪书宋二KW" w:cs="宋体;汉仪书宋二KW"/>
          <w:szCs w:val="21"/>
        </w:rPr>
        <w:t>注：对于环评手续不全或者延期取得等情况，应说明原因或者手续补办的进度，并说明预计取得的时间。</w:t>
      </w:r>
    </w:p>
    <w:p>
      <w:pPr>
        <w:pStyle w:val="Normal"/>
        <w:widowControl/>
        <w:spacing w:lineRule="exact" w:line="480"/>
        <w:jc w:val="left"/>
        <w:rPr>
          <w:rFonts w:ascii="宋体;汉仪书宋二KW" w:hAnsi="宋体;汉仪书宋二KW" w:cs="宋体;汉仪书宋二KW"/>
          <w:szCs w:val="21"/>
        </w:rPr>
      </w:pPr>
      <w:r>
        <w:rPr>
          <w:rFonts w:ascii="宋体;汉仪书宋二KW" w:hAnsi="宋体;汉仪书宋二KW" w:cs="宋体;汉仪书宋二KW"/>
          <w:szCs w:val="21"/>
        </w:rPr>
        <w:t xml:space="preserve">    </w:t>
      </w:r>
      <w:r>
        <w:rPr>
          <w:rFonts w:cs="宋体;汉仪书宋二KW" w:ascii="宋体;汉仪书宋二KW" w:hAnsi="宋体;汉仪书宋二KW"/>
          <w:szCs w:val="21"/>
        </w:rPr>
        <w:t>2</w:t>
      </w:r>
      <w:r>
        <w:rPr>
          <w:rFonts w:ascii="宋体;汉仪书宋二KW" w:hAnsi="宋体;汉仪书宋二KW" w:cs="宋体;汉仪书宋二KW"/>
          <w:szCs w:val="21"/>
        </w:rPr>
        <w:t>、调查分析申请人是否存在环保处罚问题，重点关注以下情况：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1</w:t>
      </w:r>
      <w:r>
        <w:rPr>
          <w:rFonts w:ascii="宋体;汉仪书宋二KW" w:hAnsi="宋体;汉仪书宋二KW" w:cs="宋体;汉仪书宋二KW"/>
          <w:szCs w:val="21"/>
        </w:rPr>
        <w:t>）通过环保部、各省环保厅及省内各地市环保局网站查询《国家重点监控企业排污费欠缴情况公告》，对申请人缴纳排污费的情况进行调查；</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2</w:t>
      </w:r>
      <w:r>
        <w:rPr>
          <w:rFonts w:ascii="宋体;汉仪书宋二KW" w:hAnsi="宋体;汉仪书宋二KW" w:cs="宋体;汉仪书宋二KW"/>
          <w:szCs w:val="21"/>
        </w:rPr>
        <w:t>）根据环保部下发的《环保部重点监测企业名单》，查看申请人是否存在因环保问题被环保部列入国家重点监控企业名单等情况；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3</w:t>
      </w:r>
      <w:r>
        <w:rPr>
          <w:rFonts w:ascii="宋体;汉仪书宋二KW" w:hAnsi="宋体;汉仪书宋二KW" w:cs="宋体;汉仪书宋二KW"/>
          <w:szCs w:val="21"/>
        </w:rPr>
        <w:t>）是否存在因主要污染物排放超标被环保部公告通报的情况，是否存在因异味扰民、噪声扰民、废水污染、粉尘污染以及违规生产等原因被举报等情况；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4</w:t>
      </w:r>
      <w:r>
        <w:rPr>
          <w:rFonts w:ascii="宋体;汉仪书宋二KW" w:hAnsi="宋体;汉仪书宋二KW" w:cs="宋体;汉仪书宋二KW"/>
          <w:szCs w:val="21"/>
        </w:rPr>
        <w:t>）是否存在因环保不达标被相关环保部门约谈、限期整改、停产治理、处以罚款、补办环评手续、现场纠正、取缔关闭等情况；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5</w:t>
      </w:r>
      <w:r>
        <w:rPr>
          <w:rFonts w:ascii="宋体;汉仪书宋二KW" w:hAnsi="宋体;汉仪书宋二KW" w:cs="宋体;汉仪书宋二KW"/>
          <w:szCs w:val="21"/>
        </w:rPr>
        <w:t>）是否存在其他与环保相关的问题。</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注：</w:t>
      </w:r>
      <w:r>
        <w:rPr>
          <w:rFonts w:cs="宋体;汉仪书宋二KW" w:ascii="宋体;汉仪书宋二KW" w:hAnsi="宋体;汉仪书宋二KW"/>
          <w:szCs w:val="21"/>
        </w:rPr>
        <w:t>1</w:t>
      </w:r>
      <w:r>
        <w:rPr>
          <w:rFonts w:ascii="宋体;汉仪书宋二KW" w:hAnsi="宋体;汉仪书宋二KW" w:cs="宋体;汉仪书宋二KW"/>
          <w:szCs w:val="21"/>
        </w:rPr>
        <w:t>、对于申请人存在欠缴排污费记录的情况，需做出具体说明。对于已经补缴的需提供补缴凭证复印件，对于尚未补缴的，应具体说明原因及当地环保部门的处理进度。</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2</w:t>
      </w:r>
      <w:r>
        <w:rPr>
          <w:rFonts w:ascii="宋体;汉仪书宋二KW" w:hAnsi="宋体;汉仪书宋二KW" w:cs="宋体;汉仪书宋二KW"/>
          <w:szCs w:val="21"/>
        </w:rPr>
        <w:t>、对于存在环评处罚记录的，需做出具体说明。对于已缴纳罚款的，需提供罚款交费单凭证。</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3</w:t>
      </w:r>
      <w:r>
        <w:rPr>
          <w:rFonts w:ascii="宋体;汉仪书宋二KW" w:hAnsi="宋体;汉仪书宋二KW" w:cs="宋体;汉仪书宋二KW"/>
          <w:szCs w:val="21"/>
        </w:rPr>
        <w:t>、如涉及整改事项，须提供整改、相关验收情况。</w:t>
      </w:r>
    </w:p>
    <w:p>
      <w:pPr>
        <w:pStyle w:val="Normal"/>
        <w:spacing w:lineRule="exact" w:line="480"/>
        <w:rPr>
          <w:rFonts w:ascii="宋体;汉仪书宋二KW" w:hAnsi="宋体;汉仪书宋二KW" w:cs="宋体;汉仪书宋二KW"/>
          <w:sz w:val="24"/>
          <w:szCs w:val="24"/>
        </w:rPr>
      </w:pPr>
      <w:r>
        <w:rPr>
          <w:rFonts w:cs="宋体;汉仪书宋二KW" w:ascii="宋体;汉仪书宋二KW" w:hAnsi="宋体;汉仪书宋二KW"/>
          <w:sz w:val="24"/>
          <w:szCs w:val="24"/>
        </w:rPr>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（五）借款人财务情况。</w:t>
      </w:r>
    </w:p>
    <w:p>
      <w:pPr>
        <w:pStyle w:val="Normal"/>
        <w:spacing w:lineRule="exact" w:line="480"/>
        <w:ind w:firstLine="420" w:right="0"/>
        <w:rPr>
          <w:rFonts w:ascii="宋体;汉仪书宋二KW" w:hAnsi="宋体;汉仪书宋二KW" w:eastAsia="宋体;汉仪书宋二KW" w:cs="宋体;汉仪书宋二KW"/>
          <w:spacing w:val="0"/>
          <w:kern w:val="2"/>
          <w:sz w:val="21"/>
          <w:szCs w:val="21"/>
          <w:lang w:val="en-US" w:eastAsia="zh-CN" w:bidi="ar-SA"/>
        </w:rPr>
      </w:pPr>
      <w:r>
        <w:rPr>
          <w:rFonts w:ascii="宋体;汉仪书宋二KW" w:hAnsi="宋体;汉仪书宋二KW" w:cs="宋体;汉仪书宋二KW" w:eastAsia="宋体;汉仪书宋二KW"/>
          <w:spacing w:val="0"/>
          <w:kern w:val="2"/>
          <w:sz w:val="21"/>
          <w:szCs w:val="21"/>
          <w:lang w:val="en-US" w:eastAsia="zh-CN" w:bidi="ar-SA"/>
        </w:rPr>
        <w:t>申请人为新设项目公司，暂无财务报表。</w:t>
      </w:r>
    </w:p>
    <w:p>
      <w:pPr>
        <w:pStyle w:val="Normal"/>
        <w:spacing w:lineRule="exact" w:line="480"/>
        <w:ind w:firstLine="420" w:right="0"/>
        <w:rPr>
          <w:rFonts w:ascii="宋体;汉仪书宋二KW" w:hAnsi="宋体;汉仪书宋二KW" w:eastAsia="宋体;汉仪书宋二KW" w:cs="宋体;汉仪书宋二KW"/>
          <w:spacing w:val="0"/>
          <w:kern w:val="2"/>
          <w:sz w:val="21"/>
          <w:szCs w:val="21"/>
          <w:lang w:val="en-US" w:eastAsia="zh-CN" w:bidi="ar-SA"/>
        </w:rPr>
      </w:pPr>
      <w:r>
        <w:rPr>
          <w:rFonts w:eastAsia="宋体;汉仪书宋二KW" w:cs="宋体;汉仪书宋二KW" w:ascii="宋体;汉仪书宋二KW" w:hAnsi="宋体;汉仪书宋二KW"/>
          <w:spacing w:val="0"/>
          <w:kern w:val="2"/>
          <w:sz w:val="21"/>
          <w:szCs w:val="21"/>
          <w:lang w:val="en-US" w:eastAsia="zh-CN" w:bidi="ar-SA"/>
        </w:rPr>
      </w:r>
    </w:p>
    <w:p>
      <w:pPr>
        <w:pStyle w:val="Normal"/>
        <w:spacing w:lineRule="exact" w:line="480"/>
        <w:ind w:firstLine="480" w:right="0"/>
        <w:rPr>
          <w:rFonts w:ascii="宋体;汉仪书宋二KW" w:hAnsi="宋体;汉仪书宋二KW" w:cs="宋体;汉仪书宋二KW"/>
          <w:sz w:val="24"/>
          <w:szCs w:val="24"/>
        </w:rPr>
      </w:pPr>
      <w:r>
        <w:rPr>
          <w:rFonts w:cs="宋体;汉仪书宋二KW" w:ascii="宋体;汉仪书宋二KW" w:hAnsi="宋体;汉仪书宋二KW"/>
          <w:sz w:val="24"/>
          <w:szCs w:val="24"/>
        </w:rPr>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（六）融资情况和信用状况。（仅适用于固定资产贷款，对于项目融资可</w:t>
      </w:r>
      <w:r>
        <w:rPr>
          <w:rFonts w:ascii="楷体;汉仪楷体KW" w:hAnsi="楷体;汉仪楷体KW" w:cs="楷体;汉仪楷体KW" w:eastAsia="楷体;汉仪楷体KW"/>
          <w:b/>
          <w:bCs/>
          <w:sz w:val="24"/>
          <w:szCs w:val="24"/>
          <w:lang w:eastAsia="zh-CN"/>
        </w:rPr>
        <w:t>视情况简化</w:t>
      </w:r>
      <w:r>
        <w:rPr>
          <w:rFonts w:ascii="楷体;汉仪楷体KW" w:hAnsi="楷体;汉仪楷体KW" w:cs="楷体;汉仪楷体KW" w:eastAsia="楷体;汉仪楷体KW"/>
          <w:b/>
          <w:bCs/>
          <w:sz w:val="24"/>
          <w:szCs w:val="24"/>
        </w:rPr>
        <w:t>）</w:t>
      </w:r>
    </w:p>
    <w:p>
      <w:pPr>
        <w:pStyle w:val="Normal"/>
        <w:spacing w:lineRule="exact" w:line="480"/>
        <w:ind w:firstLine="420" w:right="0"/>
        <w:rPr>
          <w:szCs w:val="21"/>
        </w:rPr>
      </w:pPr>
      <w:r>
        <w:rPr>
          <w:szCs w:val="21"/>
        </w:rPr>
        <w:t>按流动资金贷款调查模板中“融资能力分析”部分的相关要求对借款人融资及信用情况进行说明。</w:t>
      </w:r>
    </w:p>
    <w:p>
      <w:pPr>
        <w:pStyle w:val="Normal"/>
        <w:spacing w:lineRule="exact" w:line="480"/>
        <w:ind w:firstLine="420" w:right="0"/>
        <w:rPr>
          <w:rFonts w:ascii="宋体;汉仪书宋二KW" w:hAnsi="宋体;汉仪书宋二KW" w:cs="宋体;汉仪书宋二KW"/>
          <w:b/>
          <w:szCs w:val="21"/>
        </w:rPr>
      </w:pPr>
      <w:r>
        <w:rPr>
          <w:rFonts w:cs="宋体;汉仪书宋二KW" w:ascii="宋体;汉仪书宋二KW" w:hAnsi="宋体;汉仪书宋二KW"/>
          <w:b/>
          <w:szCs w:val="21"/>
        </w:rPr>
        <w:t>1</w:t>
      </w:r>
      <w:r>
        <w:rPr>
          <w:rFonts w:ascii="宋体;汉仪书宋二KW" w:hAnsi="宋体;汉仪书宋二KW" w:cs="宋体;汉仪书宋二KW"/>
          <w:b/>
          <w:szCs w:val="21"/>
        </w:rPr>
        <w:t>、融资情况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eastAsia="宋体;汉仪书宋二KW"/>
          <w:szCs w:val="21"/>
          <w:lang w:eastAsia="zh-CN"/>
        </w:rPr>
        <w:t>暂无</w:t>
      </w:r>
      <w:r>
        <w:rPr>
          <w:rFonts w:ascii="宋体;汉仪书宋二KW" w:hAnsi="宋体;汉仪书宋二KW" w:cs="宋体;汉仪书宋二KW" w:eastAsia="宋体;汉仪书宋二KW"/>
          <w:szCs w:val="21"/>
        </w:rPr>
        <w:t>。</w:t>
      </w:r>
    </w:p>
    <w:p>
      <w:pPr>
        <w:pStyle w:val="Normal"/>
        <w:spacing w:lineRule="exact" w:line="480"/>
        <w:ind w:firstLine="420" w:right="0"/>
        <w:rPr>
          <w:rFonts w:ascii="宋体;汉仪书宋二KW" w:hAnsi="宋体;汉仪书宋二KW" w:cs="宋体;汉仪书宋二KW"/>
          <w:b/>
          <w:szCs w:val="21"/>
        </w:rPr>
      </w:pPr>
      <w:r>
        <w:rPr>
          <w:rFonts w:cs="宋体;汉仪书宋二KW" w:ascii="宋体;汉仪书宋二KW" w:hAnsi="宋体;汉仪书宋二KW"/>
          <w:b/>
          <w:szCs w:val="21"/>
        </w:rPr>
        <w:t>2</w:t>
      </w:r>
      <w:r>
        <w:rPr>
          <w:rFonts w:ascii="宋体;汉仪书宋二KW" w:hAnsi="宋体;汉仪书宋二KW" w:cs="宋体;汉仪书宋二KW"/>
          <w:b/>
          <w:szCs w:val="21"/>
        </w:rPr>
        <w:t>、对外担保情况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lang w:eastAsia="zh-CN"/>
        </w:rPr>
        <w:t>不涉及</w:t>
      </w:r>
      <w:r>
        <w:rPr>
          <w:rFonts w:ascii="宋体;汉仪书宋二KW" w:hAnsi="宋体;汉仪书宋二KW" w:cs="宋体;汉仪书宋二KW"/>
          <w:szCs w:val="21"/>
        </w:rPr>
        <w:t>。</w:t>
      </w:r>
    </w:p>
    <w:p>
      <w:pPr>
        <w:pStyle w:val="Normal"/>
        <w:spacing w:lineRule="exact" w:line="480"/>
        <w:ind w:firstLine="420" w:right="0"/>
        <w:rPr>
          <w:rFonts w:ascii="宋体;汉仪书宋二KW" w:hAnsi="宋体;汉仪书宋二KW" w:cs="宋体;汉仪书宋二KW"/>
          <w:b/>
          <w:szCs w:val="21"/>
        </w:rPr>
      </w:pPr>
      <w:r>
        <w:rPr>
          <w:rFonts w:cs="宋体;汉仪书宋二KW" w:ascii="宋体;汉仪书宋二KW" w:hAnsi="宋体;汉仪书宋二KW"/>
          <w:b/>
          <w:szCs w:val="21"/>
        </w:rPr>
        <w:t>3</w:t>
      </w:r>
      <w:r>
        <w:rPr>
          <w:rFonts w:ascii="宋体;汉仪书宋二KW" w:hAnsi="宋体;汉仪书宋二KW" w:cs="宋体;汉仪书宋二KW"/>
          <w:b/>
          <w:szCs w:val="21"/>
        </w:rPr>
        <w:t>、征信系统查询情况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lang w:eastAsia="zh-CN"/>
        </w:rPr>
        <w:t>暂无征信记录</w:t>
      </w:r>
      <w:r>
        <w:rPr>
          <w:rFonts w:ascii="宋体;汉仪书宋二KW" w:hAnsi="宋体;汉仪书宋二KW" w:cs="宋体;汉仪书宋二KW"/>
          <w:szCs w:val="21"/>
        </w:rPr>
        <w:t>。</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4</w:t>
      </w:r>
      <w:r>
        <w:rPr>
          <w:rFonts w:ascii="宋体;汉仪书宋二KW" w:hAnsi="宋体;汉仪书宋二KW" w:cs="宋体;汉仪书宋二KW"/>
          <w:szCs w:val="21"/>
        </w:rPr>
        <w:t>、外部风险信息查询情况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lang w:eastAsia="zh-CN"/>
        </w:rPr>
        <w:t>不涉及</w:t>
      </w:r>
      <w:r>
        <w:rPr>
          <w:rFonts w:ascii="宋体;汉仪书宋二KW" w:hAnsi="宋体;汉仪书宋二KW" w:cs="宋体;汉仪书宋二KW"/>
          <w:szCs w:val="21"/>
        </w:rPr>
        <w:t>。</w:t>
      </w:r>
    </w:p>
    <w:p>
      <w:pPr>
        <w:pStyle w:val="Normal"/>
        <w:spacing w:lineRule="exact" w:line="480"/>
        <w:ind w:firstLine="480" w:right="0"/>
        <w:rPr>
          <w:rFonts w:ascii="宋体;汉仪书宋二KW" w:hAnsi="宋体;汉仪书宋二KW" w:cs="宋体;汉仪书宋二KW"/>
          <w:sz w:val="24"/>
          <w:szCs w:val="24"/>
        </w:rPr>
      </w:pPr>
      <w:r>
        <w:rPr>
          <w:rFonts w:cs="宋体;汉仪书宋二KW" w:ascii="宋体;汉仪书宋二KW" w:hAnsi="宋体;汉仪书宋二KW"/>
          <w:sz w:val="24"/>
          <w:szCs w:val="24"/>
        </w:rPr>
      </w:r>
    </w:p>
    <w:p>
      <w:pPr>
        <w:pStyle w:val="Normal"/>
        <w:spacing w:lineRule="exact" w:line="480"/>
        <w:rPr>
          <w:sz w:val="24"/>
          <w:szCs w:val="24"/>
          <w:highlight w:val="none"/>
        </w:rPr>
      </w:pPr>
      <w:r>
        <w:rPr>
          <w:rFonts w:eastAsia="Times New Roman"/>
          <w:sz w:val="24"/>
          <w:szCs w:val="24"/>
        </w:rPr>
        <w:t xml:space="preserve"> </w:t>
      </w:r>
      <w:r>
        <w:rPr>
          <w:rFonts w:eastAsia="Times New Roman"/>
          <w:sz w:val="24"/>
          <w:szCs w:val="24"/>
        </w:rPr>
        <w:t xml:space="preserve">  </w:t>
      </w:r>
      <w:r>
        <w:rPr>
          <w:rFonts w:ascii="黑体;汉仪中黑KW" w:hAnsi="黑体;汉仪中黑KW" w:cs="黑体;汉仪中黑KW" w:eastAsia="黑体;汉仪中黑KW"/>
          <w:sz w:val="24"/>
          <w:szCs w:val="24"/>
        </w:rPr>
        <w:t xml:space="preserve"> </w:t>
      </w:r>
      <w:r>
        <w:rPr>
          <w:rFonts w:ascii="黑体;汉仪中黑KW" w:hAnsi="黑体;汉仪中黑KW" w:cs="黑体;汉仪中黑KW" w:eastAsia="黑体;汉仪中黑KW"/>
          <w:b/>
          <w:bCs/>
          <w:sz w:val="24"/>
          <w:szCs w:val="24"/>
        </w:rPr>
        <w:t>三、股东（出资人）情况</w:t>
      </w:r>
    </w:p>
    <w:p>
      <w:pPr>
        <w:pStyle w:val="Normal"/>
        <w:spacing w:lineRule="exact" w:line="480"/>
        <w:ind w:firstLine="480" w:right="0"/>
        <w:rPr>
          <w:rFonts w:ascii="楷体;汉仪楷体KW" w:hAnsi="楷体;汉仪楷体KW" w:eastAsia="楷体;汉仪楷体KW" w:cs="楷体;汉仪楷体KW"/>
          <w:b/>
          <w:bCs/>
          <w:sz w:val="24"/>
          <w:szCs w:val="24"/>
        </w:rPr>
      </w:pPr>
    </w:p>
    <w:p>
      <w:pPr>
        <w:pStyle w:val="Normal"/>
        <w:spacing w:lineRule="exact" w:line="480"/>
        <w:ind w:firstLine="480" w:right="0"/>
        <w:rPr>
          <w:rFonts w:ascii="楷体;汉仪楷体KW" w:hAnsi="楷体;汉仪楷体KW" w:eastAsia="楷体;汉仪楷体KW" w:cs="楷体;汉仪楷体KW"/>
          <w:bCs/>
          <w:sz w:val="24"/>
          <w:szCs w:val="24"/>
          <w:highlight w:val="none"/>
        </w:rPr>
      </w:pPr>
      <w:r>
        <w:rPr>
          <w:rFonts w:ascii="楷体;汉仪楷体KW" w:hAnsi="楷体;汉仪楷体KW" w:cs="楷体;汉仪楷体KW" w:eastAsia="楷体;汉仪楷体KW"/>
          <w:bCs/>
          <w:sz w:val="24"/>
          <w:szCs w:val="24"/>
          <w:lang w:val="en-US" w:eastAsia="zh-CN"/>
        </w:rPr>
        <w:t>（一）</w:t>
      </w:r>
      <w:r>
        <w:rPr>
          <w:rFonts w:ascii="楷体;汉仪楷体KW" w:hAnsi="楷体;汉仪楷体KW" w:cs="楷体;汉仪楷体KW" w:eastAsia="楷体;汉仪楷体KW"/>
          <w:bCs/>
          <w:sz w:val="24"/>
          <w:szCs w:val="24"/>
        </w:rPr>
        <w:t>基本信息</w:t>
      </w:r>
    </w:p>
    <w:tbl>
      <w:tblPr>
        <w:tblW w:w="8755" w:type="dxa"/>
        <w:jc w:val="left"/>
        <w:tblInd w:w="-113" w:type="dxa"/>
        <w:tblLayout w:type="fixed"/>
        <w:tblCellMar>
          <w:top w:w="0" w:type="dxa"/>
          <w:left w:w="108" w:type="dxa"/>
          <w:bottom w:w="0" w:type="dxa"/>
          <w:right w:w="108" w:type="dxa"/>
        </w:tblCellMar>
      </w:tblPr>
      <w:tblGrid>
        <w:gridCol w:w="2330"/>
        <w:gridCol w:w="2242"/>
        <w:gridCol w:w="1965"/>
        <w:gridCol w:w="2218"/>
      </w:tblGrid>
      <w:tr>
        <w:trPr/>
        <w:tc>
          <w:tcPr>
            <w:tcW w:w="2330"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宋体;汉仪书宋二KW" w:hAnsi="宋体;汉仪书宋二KW"/>
                <w:bCs/>
                <w:szCs w:val="21"/>
                <w:highlight w:val="none"/>
              </w:rPr>
            </w:pPr>
            <w:r>
              <w:rPr>
                <w:rFonts w:ascii="宋体;汉仪书宋二KW" w:hAnsi="宋体;汉仪书宋二KW" w:cs="宋体;汉仪书宋二KW"/>
                <w:bCs/>
                <w:szCs w:val="21"/>
              </w:rPr>
              <w:t>客户名称</w:t>
            </w:r>
          </w:p>
        </w:tc>
        <w:tc>
          <w:tcPr>
            <w:tcW w:w="6425" w:type="dxa"/>
            <w:gridSpan w:val="3"/>
            <w:tcBorders>
              <w:top w:val="single" w:sz="4" w:space="0" w:color="000000"/>
              <w:left w:val="single" w:sz="4" w:space="0" w:color="000000"/>
              <w:bottom w:val="single" w:sz="4" w:space="0" w:color="000000"/>
              <w:right w:val="single" w:sz="4" w:space="0" w:color="000000"/>
            </w:tcBorders>
          </w:tcPr>
          <w:p>
            <w:r/>
          </w:p>
        </w:tc>
      </w:tr>
      <w:tr>
        <w:trPr/>
        <w:tc>
          <w:tcPr>
            <w:tcW w:w="2330" w:type="dxa"/>
            <w:tcBorders>
              <w:top w:val="single" w:sz="4" w:space="0" w:color="000000"/>
              <w:left w:val="single" w:sz="4" w:space="0" w:color="000000"/>
              <w:bottom w:val="single" w:sz="4" w:space="0" w:color="000000"/>
              <w:right w:val="single" w:sz="4" w:space="0" w:color="000000"/>
            </w:tcBorders>
          </w:tcPr>
          <w:p>
            <w:r>
              <w:t>中水（临漳）水务有限公司</w:t>
            </w:r>
          </w:p>
        </w:tc>
        <w:tc>
          <w:tcPr>
            <w:tcW w:w="6425" w:type="dxa"/>
            <w:gridSpan w:val="3"/>
            <w:tcBorders>
              <w:top w:val="single" w:sz="4" w:space="0" w:color="000000"/>
              <w:left w:val="single" w:sz="4" w:space="0" w:color="000000"/>
              <w:bottom w:val="single" w:sz="4" w:space="0" w:color="000000"/>
              <w:right w:val="single" w:sz="4" w:space="0" w:color="000000"/>
            </w:tcBorders>
          </w:tcPr>
          <w:p>
            <w:r>
              <w:t>-</w:t>
            </w:r>
          </w:p>
        </w:tc>
      </w:tr>
      <w:tr>
        <w:trPr/>
        <w:tc>
          <w:tcPr>
            <w:tcW w:w="2330" w:type="dxa"/>
            <w:tcBorders>
              <w:top w:val="single" w:sz="4" w:space="0" w:color="000000"/>
              <w:left w:val="single" w:sz="4" w:space="0" w:color="000000"/>
              <w:bottom w:val="single" w:sz="4" w:space="0" w:color="000000"/>
              <w:right w:val="single" w:sz="4" w:space="0" w:color="000000"/>
            </w:tcBorders>
          </w:tcPr>
          <w:p>
            <w:r>
              <w:t>邺城供水集团有限公司</w:t>
            </w:r>
          </w:p>
        </w:tc>
        <w:tc>
          <w:tcPr>
            <w:tcW w:w="2242" w:type="dxa"/>
            <w:tcBorders>
              <w:top w:val="single" w:sz="4" w:space="0" w:color="000000"/>
              <w:left w:val="single" w:sz="4" w:space="0" w:color="000000"/>
              <w:bottom w:val="single" w:sz="4" w:space="0" w:color="000000"/>
              <w:right w:val="single" w:sz="4" w:space="0" w:color="000000"/>
            </w:tcBorders>
          </w:tcPr>
          <w:p>
            <w:r>
              <w:t>-</w:t>
            </w:r>
          </w:p>
        </w:tc>
        <w:tc>
          <w:tcPr>
            <w:tcW w:w="1965" w:type="dxa"/>
            <w:tcBorders>
              <w:top w:val="single" w:sz="4" w:space="0" w:color="000000"/>
              <w:left w:val="single" w:sz="4" w:space="0" w:color="000000"/>
              <w:bottom w:val="single" w:sz="4" w:space="0" w:color="000000"/>
              <w:right w:val="single" w:sz="4" w:space="0" w:color="000000"/>
            </w:tcBorders>
          </w:tcPr>
          <w:p>
            <w:r>
              <w:t>-</w:t>
            </w:r>
          </w:p>
        </w:tc>
        <w:tc>
          <w:tcPr>
            <w:tcW w:w="2218" w:type="dxa"/>
            <w:tcBorders>
              <w:top w:val="single" w:sz="4" w:space="0" w:color="000000"/>
              <w:left w:val="single" w:sz="4" w:space="0" w:color="000000"/>
              <w:bottom w:val="single" w:sz="4" w:space="0" w:color="000000"/>
              <w:right w:val="single" w:sz="4" w:space="0" w:color="000000"/>
            </w:tcBorders>
          </w:tcPr>
          <w:p>
            <w:r>
              <w:t>-</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r>
              <w:t>-</w:t>
            </w:r>
          </w:p>
        </w:tc>
        <w:tc>
          <w:tcPr>
            <w:tcW w:w="2242" w:type="dxa"/>
            <w:tcBorders>
              <w:top w:val="single" w:sz="4" w:space="0" w:color="000000"/>
              <w:left w:val="single" w:sz="4" w:space="0" w:color="000000"/>
              <w:bottom w:val="single" w:sz="4" w:space="0" w:color="000000"/>
              <w:right w:val="single" w:sz="4" w:space="0" w:color="000000"/>
            </w:tcBorders>
            <w:vAlign w:val="center"/>
          </w:tcPr>
          <w:p>
            <w:r>
              <w:t>-</w:t>
            </w:r>
          </w:p>
        </w:tc>
        <w:tc>
          <w:tcPr>
            <w:tcW w:w="1965" w:type="dxa"/>
            <w:tcBorders>
              <w:top w:val="single" w:sz="4" w:space="0" w:color="000000"/>
              <w:left w:val="single" w:sz="4" w:space="0" w:color="000000"/>
              <w:bottom w:val="single" w:sz="4" w:space="0" w:color="000000"/>
              <w:right w:val="single" w:sz="4" w:space="0" w:color="000000"/>
            </w:tcBorders>
          </w:tcPr>
          <w:p>
            <w:r>
              <w:t>河北省邯郸市临漳县</w:t>
            </w:r>
          </w:p>
        </w:tc>
        <w:tc>
          <w:tcPr>
            <w:tcW w:w="2218" w:type="dxa"/>
            <w:tcBorders>
              <w:top w:val="single" w:sz="4" w:space="0" w:color="000000"/>
              <w:left w:val="single" w:sz="4" w:space="0" w:color="000000"/>
              <w:bottom w:val="single" w:sz="4" w:space="0" w:color="000000"/>
              <w:right w:val="single" w:sz="4" w:space="0" w:color="000000"/>
            </w:tcBorders>
          </w:tcPr>
          <w:p>
            <w:r>
              <w:t>-</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r>
              <w:t>杨帆</w:t>
            </w:r>
          </w:p>
        </w:tc>
        <w:tc>
          <w:tcPr>
            <w:tcW w:w="2242" w:type="dxa"/>
            <w:tcBorders>
              <w:top w:val="single" w:sz="4" w:space="0" w:color="000000"/>
              <w:left w:val="single" w:sz="4" w:space="0" w:color="000000"/>
              <w:bottom w:val="single" w:sz="4" w:space="0" w:color="000000"/>
              <w:right w:val="single" w:sz="4" w:space="0" w:color="000000"/>
            </w:tcBorders>
            <w:vAlign w:val="center"/>
          </w:tcPr>
          <w:p>
            <w:r>
              <w:t>-</w:t>
            </w:r>
          </w:p>
        </w:tc>
        <w:tc>
          <w:tcPr>
            <w:tcW w:w="1965" w:type="dxa"/>
            <w:tcBorders>
              <w:top w:val="single" w:sz="4" w:space="0" w:color="000000"/>
              <w:left w:val="single" w:sz="4" w:space="0" w:color="000000"/>
              <w:bottom w:val="single" w:sz="4" w:space="0" w:color="000000"/>
              <w:right w:val="single" w:sz="4" w:space="0" w:color="000000"/>
            </w:tcBorders>
            <w:vAlign w:val="center"/>
          </w:tcPr>
          <w:p>
            <w:r>
              <w:t>杨帆</w:t>
            </w:r>
          </w:p>
        </w:tc>
        <w:tc>
          <w:tcPr>
            <w:tcW w:w="2218" w:type="dxa"/>
            <w:tcBorders>
              <w:top w:val="single" w:sz="4" w:space="0" w:color="000000"/>
              <w:left w:val="single" w:sz="4" w:space="0" w:color="000000"/>
              <w:bottom w:val="single" w:sz="4" w:space="0" w:color="000000"/>
              <w:right w:val="single" w:sz="4" w:space="0" w:color="000000"/>
            </w:tcBorders>
            <w:vAlign w:val="center"/>
          </w:tcPr>
          <w:p>
            <w:r>
              <w:t>自然人控股股东</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r>
              <w:t>10,000.00万元</w:t>
            </w:r>
          </w:p>
        </w:tc>
        <w:tc>
          <w:tcPr>
            <w:tcW w:w="2242" w:type="dxa"/>
            <w:tcBorders>
              <w:top w:val="single" w:sz="4" w:space="0" w:color="000000"/>
              <w:left w:val="single" w:sz="4" w:space="0" w:color="000000"/>
              <w:bottom w:val="single" w:sz="4" w:space="0" w:color="000000"/>
              <w:right w:val="single" w:sz="4" w:space="0" w:color="000000"/>
            </w:tcBorders>
            <w:vAlign w:val="center"/>
          </w:tcPr>
          <w:p>
            <w:r>
              <w:t>-</w:t>
            </w:r>
          </w:p>
        </w:tc>
        <w:tc>
          <w:tcPr>
            <w:tcW w:w="1965" w:type="dxa"/>
            <w:tcBorders>
              <w:top w:val="single" w:sz="4" w:space="0" w:color="000000"/>
              <w:left w:val="single" w:sz="4" w:space="0" w:color="000000"/>
              <w:bottom w:val="single" w:sz="4" w:space="0" w:color="000000"/>
              <w:right w:val="single" w:sz="4" w:space="0" w:color="000000"/>
            </w:tcBorders>
            <w:vAlign w:val="center"/>
          </w:tcPr>
          <w:p>
            <w:r>
              <w:t>10,000.00万元</w:t>
            </w:r>
          </w:p>
        </w:tc>
        <w:tc>
          <w:tcPr>
            <w:tcW w:w="2218" w:type="dxa"/>
            <w:tcBorders>
              <w:top w:val="single" w:sz="4" w:space="0" w:color="000000"/>
              <w:left w:val="single" w:sz="4" w:space="0" w:color="000000"/>
              <w:bottom w:val="single" w:sz="4" w:space="0" w:color="000000"/>
              <w:right w:val="single" w:sz="4" w:space="0" w:color="000000"/>
            </w:tcBorders>
            <w:vAlign w:val="center"/>
          </w:tcPr>
          <w:p>
            <w:r>
              <w:t>-</w:t>
            </w:r>
          </w:p>
        </w:tc>
      </w:tr>
      <w:tr>
        <w:trPr>
          <w:trHeight w:val="211" w:hRule="atLeast"/>
        </w:trPr>
        <w:tc>
          <w:tcPr>
            <w:tcW w:w="4572" w:type="dxa"/>
            <w:gridSpan w:val="2"/>
            <w:tcBorders>
              <w:top w:val="single" w:sz="4" w:space="0" w:color="000000"/>
              <w:left w:val="single" w:sz="4" w:space="0" w:color="000000"/>
              <w:bottom w:val="single" w:sz="4" w:space="0" w:color="000000"/>
              <w:right w:val="single" w:sz="4" w:space="0" w:color="000000"/>
            </w:tcBorders>
            <w:vAlign w:val="center"/>
          </w:tcPr>
          <w:p>
            <w:r>
              <w:t>-</w:t>
            </w:r>
          </w:p>
        </w:tc>
        <w:tc>
          <w:tcPr>
            <w:tcW w:w="4183" w:type="dxa"/>
            <w:gridSpan w:val="2"/>
            <w:tcBorders>
              <w:top w:val="single" w:sz="4" w:space="0" w:color="000000"/>
              <w:left w:val="single" w:sz="4" w:space="0" w:color="000000"/>
              <w:bottom w:val="single" w:sz="4" w:space="0" w:color="000000"/>
              <w:right w:val="single" w:sz="4" w:space="0" w:color="000000"/>
            </w:tcBorders>
            <w:vAlign w:val="center"/>
          </w:tcPr>
          <w:p>
            <w:r>
              <w:t>-</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left"/>
              <w:rPr>
                <w:rFonts w:ascii="宋体;汉仪书宋二KW" w:hAnsi="宋体;汉仪书宋二KW"/>
                <w:bCs/>
                <w:szCs w:val="21"/>
                <w:highlight w:val="yellow"/>
              </w:rPr>
            </w:pPr>
            <w:r>
              <w:rPr>
                <w:rFonts w:ascii="宋体;汉仪书宋二KW" w:hAnsi="宋体;汉仪书宋二KW" w:cs="宋体;汉仪书宋二KW"/>
                <w:sz w:val="21"/>
                <w:szCs w:val="21"/>
              </w:rPr>
              <w:t>中国电力建设集团有限公司</w:t>
            </w:r>
          </w:p>
        </w:tc>
        <w:tc>
          <w:tcPr>
            <w:tcW w:w="22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ascii="宋体;汉仪书宋二KW" w:hAnsi="宋体;汉仪书宋二KW"/>
                <w:bCs/>
                <w:szCs w:val="21"/>
                <w:highlight w:val="yellow"/>
              </w:rPr>
            </w:pPr>
            <w:r>
              <w:rPr>
                <w:rFonts w:ascii="宋体;汉仪书宋二KW" w:hAnsi="宋体;汉仪书宋二KW" w:cs="宋体;汉仪书宋二KW"/>
                <w:color w:val="000000"/>
                <w:szCs w:val="21"/>
              </w:rPr>
              <w:t>比例</w:t>
            </w:r>
            <w:r>
              <w:rPr>
                <w:rFonts w:cs="宋体;汉仪书宋二KW" w:ascii="宋体;汉仪书宋二KW" w:hAnsi="宋体;汉仪书宋二KW"/>
                <w:color w:val="000000"/>
                <w:szCs w:val="21"/>
              </w:rPr>
              <w:t>:</w:t>
            </w:r>
            <w:r>
              <w:rPr>
                <w:rFonts w:cs="宋体;汉仪书宋二KW" w:ascii="宋体;汉仪书宋二KW" w:hAnsi="宋体;汉仪书宋二KW"/>
                <w:sz w:val="21"/>
                <w:szCs w:val="21"/>
                <w:lang w:val="en-US" w:eastAsia="zh-CN"/>
              </w:rPr>
              <w:t>32.08%</w:t>
            </w:r>
          </w:p>
        </w:tc>
        <w:tc>
          <w:tcPr>
            <w:tcW w:w="1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left"/>
              <w:rPr>
                <w:rFonts w:ascii="宋体;汉仪书宋二KW" w:hAnsi="宋体;汉仪书宋二KW"/>
                <w:bCs/>
                <w:szCs w:val="21"/>
                <w:highlight w:val="yellow"/>
              </w:rPr>
            </w:pPr>
            <w:r>
              <w:rPr>
                <w:rFonts w:ascii="宋体;汉仪书宋二KW" w:hAnsi="宋体;汉仪书宋二KW" w:cs="宋体;汉仪书宋二KW"/>
                <w:color w:val="000000"/>
                <w:sz w:val="21"/>
                <w:szCs w:val="21"/>
              </w:rPr>
              <w:t>供水及污水处理</w:t>
            </w:r>
          </w:p>
        </w:tc>
        <w:tc>
          <w:tcPr>
            <w:tcW w:w="22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rFonts w:ascii="宋体;汉仪书宋二KW" w:hAnsi="宋体;汉仪书宋二KW"/>
                <w:bCs/>
                <w:szCs w:val="21"/>
                <w:highlight w:val="yellow"/>
              </w:rPr>
            </w:pPr>
            <w:r>
              <w:rPr>
                <w:rFonts w:ascii="宋体;汉仪书宋二KW" w:hAnsi="宋体;汉仪书宋二KW" w:cs="宋体;汉仪书宋二KW"/>
                <w:b/>
                <w:sz w:val="21"/>
                <w:szCs w:val="21"/>
              </w:rPr>
              <w:t>比例</w:t>
            </w:r>
            <w:r>
              <w:rPr>
                <w:rFonts w:cs="宋体;汉仪书宋二KW" w:ascii="宋体;汉仪书宋二KW" w:hAnsi="宋体;汉仪书宋二KW"/>
                <w:b/>
                <w:sz w:val="21"/>
                <w:szCs w:val="21"/>
              </w:rPr>
              <w:t>:</w:t>
            </w:r>
            <w:r>
              <w:rPr>
                <w:rFonts w:cs="宋体;汉仪书宋二KW" w:ascii="宋体;汉仪书宋二KW" w:hAnsi="宋体;汉仪书宋二KW"/>
                <w:sz w:val="21"/>
                <w:szCs w:val="21"/>
              </w:rPr>
              <w:t xml:space="preserve"> 60.09%</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r/>
          </w:p>
        </w:tc>
        <w:tc>
          <w:tcPr>
            <w:tcW w:w="22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ascii="宋体;汉仪书宋二KW" w:hAnsi="宋体;汉仪书宋二KW"/>
                <w:bCs/>
                <w:szCs w:val="21"/>
                <w:highlight w:val="yellow"/>
              </w:rPr>
            </w:pPr>
            <w:r>
              <w:rPr>
                <w:rFonts w:ascii="宋体;汉仪书宋二KW" w:hAnsi="宋体;汉仪书宋二KW" w:cs="宋体;汉仪书宋二KW"/>
                <w:color w:val="000000"/>
                <w:szCs w:val="21"/>
              </w:rPr>
              <w:t>比例</w:t>
            </w:r>
            <w:r>
              <w:rPr>
                <w:rFonts w:cs="宋体;汉仪书宋二KW" w:ascii="宋体;汉仪书宋二KW" w:hAnsi="宋体;汉仪书宋二KW"/>
                <w:color w:val="000000"/>
                <w:szCs w:val="21"/>
              </w:rPr>
              <w:t>:</w:t>
            </w:r>
            <w:r>
              <w:rPr>
                <w:rFonts w:cs="宋体;汉仪书宋二KW" w:ascii="宋体;汉仪书宋二KW" w:hAnsi="宋体;汉仪书宋二KW"/>
                <w:sz w:val="21"/>
                <w:szCs w:val="21"/>
              </w:rPr>
              <w:t>26.67%</w:t>
            </w:r>
          </w:p>
        </w:tc>
        <w:tc>
          <w:tcPr>
            <w:tcW w:w="1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left"/>
              <w:rPr>
                <w:rFonts w:ascii="宋体;汉仪书宋二KW" w:hAnsi="宋体;汉仪书宋二KW"/>
                <w:bCs/>
                <w:szCs w:val="21"/>
                <w:highlight w:val="yellow"/>
              </w:rPr>
            </w:pPr>
            <w:r>
              <w:rPr>
                <w:rFonts w:ascii="宋体;汉仪书宋二KW" w:hAnsi="宋体;汉仪书宋二KW" w:cs="宋体;汉仪书宋二KW"/>
                <w:color w:val="000000"/>
                <w:sz w:val="21"/>
                <w:szCs w:val="21"/>
              </w:rPr>
              <w:t>建筑业务类</w:t>
            </w:r>
          </w:p>
        </w:tc>
        <w:tc>
          <w:tcPr>
            <w:tcW w:w="22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rFonts w:ascii="宋体;汉仪书宋二KW" w:hAnsi="宋体;汉仪书宋二KW"/>
                <w:bCs/>
                <w:szCs w:val="21"/>
                <w:highlight w:val="yellow"/>
              </w:rPr>
            </w:pPr>
            <w:r>
              <w:rPr>
                <w:rFonts w:ascii="宋体;汉仪书宋二KW" w:hAnsi="宋体;汉仪书宋二KW" w:cs="宋体;汉仪书宋二KW"/>
                <w:b/>
                <w:sz w:val="21"/>
                <w:szCs w:val="21"/>
              </w:rPr>
              <w:t>比例</w:t>
            </w:r>
            <w:r>
              <w:rPr>
                <w:rFonts w:cs="宋体;汉仪书宋二KW" w:ascii="宋体;汉仪书宋二KW" w:hAnsi="宋体;汉仪书宋二KW"/>
                <w:b/>
                <w:sz w:val="21"/>
                <w:szCs w:val="21"/>
              </w:rPr>
              <w:t>:</w:t>
            </w:r>
            <w:r>
              <w:rPr>
                <w:rFonts w:cs="宋体;汉仪书宋二KW" w:ascii="宋体;汉仪书宋二KW" w:hAnsi="宋体;汉仪书宋二KW"/>
                <w:sz w:val="21"/>
                <w:szCs w:val="21"/>
              </w:rPr>
              <w:t xml:space="preserve"> 31.48%</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left"/>
              <w:rPr>
                <w:rFonts w:ascii="宋体;汉仪书宋二KW" w:hAnsi="宋体;汉仪书宋二KW"/>
                <w:bCs/>
                <w:szCs w:val="21"/>
                <w:highlight w:val="yellow"/>
              </w:rPr>
            </w:pPr>
            <w:r>
              <w:rPr>
                <w:rFonts w:ascii="宋体;汉仪书宋二KW" w:hAnsi="宋体;汉仪书宋二KW" w:cs="宋体;汉仪书宋二KW"/>
                <w:sz w:val="21"/>
                <w:szCs w:val="21"/>
              </w:rPr>
              <w:t>江阴市长江钢管有限公司</w:t>
            </w:r>
          </w:p>
        </w:tc>
        <w:tc>
          <w:tcPr>
            <w:tcW w:w="22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ascii="宋体;汉仪书宋二KW" w:hAnsi="宋体;汉仪书宋二KW"/>
                <w:bCs/>
                <w:szCs w:val="21"/>
                <w:highlight w:val="yellow"/>
              </w:rPr>
            </w:pPr>
            <w:r>
              <w:rPr>
                <w:rFonts w:ascii="宋体;汉仪书宋二KW" w:hAnsi="宋体;汉仪书宋二KW" w:cs="宋体;汉仪书宋二KW"/>
                <w:color w:val="000000"/>
                <w:szCs w:val="21"/>
              </w:rPr>
              <w:t>比例</w:t>
            </w:r>
            <w:r>
              <w:rPr>
                <w:rFonts w:cs="宋体;汉仪书宋二KW" w:ascii="宋体;汉仪书宋二KW" w:hAnsi="宋体;汉仪书宋二KW"/>
                <w:color w:val="000000"/>
                <w:szCs w:val="21"/>
              </w:rPr>
              <w:t>:</w:t>
            </w:r>
            <w:r>
              <w:rPr>
                <w:rFonts w:cs="宋体;汉仪书宋二KW" w:ascii="宋体;汉仪书宋二KW" w:hAnsi="宋体;汉仪书宋二KW"/>
                <w:sz w:val="21"/>
                <w:szCs w:val="21"/>
              </w:rPr>
              <w:t xml:space="preserve"> 10%</w:t>
            </w:r>
          </w:p>
        </w:tc>
        <w:tc>
          <w:tcPr>
            <w:tcW w:w="1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left"/>
              <w:rPr>
                <w:rFonts w:ascii="宋体;汉仪书宋二KW" w:hAnsi="宋体;汉仪书宋二KW"/>
                <w:bCs/>
                <w:szCs w:val="21"/>
                <w:highlight w:val="yellow"/>
              </w:rPr>
            </w:pPr>
            <w:r>
              <w:rPr>
                <w:rFonts w:ascii="宋体;汉仪书宋二KW" w:hAnsi="宋体;汉仪书宋二KW" w:cs="宋体;汉仪书宋二KW"/>
                <w:color w:val="000000"/>
                <w:sz w:val="21"/>
                <w:szCs w:val="21"/>
              </w:rPr>
              <w:t>其他</w:t>
            </w:r>
          </w:p>
        </w:tc>
        <w:tc>
          <w:tcPr>
            <w:tcW w:w="22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rFonts w:ascii="宋体;汉仪书宋二KW" w:hAnsi="宋体;汉仪书宋二KW"/>
                <w:bCs/>
                <w:szCs w:val="21"/>
                <w:highlight w:val="yellow"/>
              </w:rPr>
            </w:pPr>
            <w:r>
              <w:rPr>
                <w:rFonts w:ascii="宋体;汉仪书宋二KW" w:hAnsi="宋体;汉仪书宋二KW" w:cs="宋体;汉仪书宋二KW"/>
                <w:b/>
                <w:sz w:val="21"/>
                <w:szCs w:val="21"/>
              </w:rPr>
              <w:t>比例</w:t>
            </w:r>
            <w:r>
              <w:rPr>
                <w:rFonts w:cs="宋体;汉仪书宋二KW" w:ascii="宋体;汉仪书宋二KW" w:hAnsi="宋体;汉仪书宋二KW"/>
                <w:b/>
                <w:sz w:val="21"/>
                <w:szCs w:val="21"/>
              </w:rPr>
              <w:t>:</w:t>
            </w:r>
            <w:r>
              <w:rPr>
                <w:rFonts w:cs="宋体;汉仪书宋二KW" w:ascii="宋体;汉仪书宋二KW" w:hAnsi="宋体;汉仪书宋二KW"/>
                <w:b/>
                <w:sz w:val="21"/>
                <w:szCs w:val="21"/>
                <w:lang w:val="en-US" w:eastAsia="zh-CN"/>
              </w:rPr>
              <w:t xml:space="preserve"> </w:t>
            </w:r>
            <w:r>
              <w:rPr>
                <w:rFonts w:cs="宋体;汉仪书宋二KW" w:ascii="宋体;汉仪书宋二KW" w:hAnsi="宋体;汉仪书宋二KW"/>
                <w:sz w:val="21"/>
                <w:szCs w:val="21"/>
              </w:rPr>
              <w:t>0.88%</w:t>
            </w:r>
          </w:p>
        </w:tc>
      </w:tr>
      <w:tr>
        <w:trPr/>
        <w:tc>
          <w:tcPr>
            <w:tcW w:w="233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ascii="宋体;汉仪书宋二KW" w:hAnsi="宋体;汉仪书宋二KW"/>
                <w:bCs/>
                <w:szCs w:val="21"/>
                <w:highlight w:val="yellow"/>
              </w:rPr>
            </w:pPr>
            <w:r>
              <w:rPr>
                <w:rFonts w:ascii="宋体;汉仪书宋二KW" w:hAnsi="宋体;汉仪书宋二KW" w:cs="宋体;汉仪书宋二KW"/>
                <w:b/>
                <w:color w:val="000000"/>
                <w:szCs w:val="21"/>
              </w:rPr>
              <w:t>合计</w:t>
            </w:r>
          </w:p>
        </w:tc>
        <w:tc>
          <w:tcPr>
            <w:tcW w:w="22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ascii="宋体;汉仪书宋二KW" w:hAnsi="宋体;汉仪书宋二KW"/>
                <w:bCs/>
                <w:szCs w:val="21"/>
                <w:highlight w:val="yellow"/>
              </w:rPr>
            </w:pPr>
            <w:r>
              <w:rPr>
                <w:rFonts w:ascii="宋体;汉仪书宋二KW" w:hAnsi="宋体;汉仪书宋二KW" w:cs="宋体;汉仪书宋二KW"/>
                <w:b/>
                <w:color w:val="000000"/>
                <w:szCs w:val="21"/>
              </w:rPr>
              <w:t>比例合计</w:t>
            </w:r>
            <w:r>
              <w:rPr>
                <w:rFonts w:cs="宋体;汉仪书宋二KW" w:ascii="宋体;汉仪书宋二KW" w:hAnsi="宋体;汉仪书宋二KW"/>
                <w:b/>
                <w:color w:val="000000"/>
                <w:szCs w:val="21"/>
              </w:rPr>
              <w:t>:</w:t>
            </w:r>
            <w:r>
              <w:rPr>
                <w:rFonts w:cs="宋体;汉仪书宋二KW" w:ascii="宋体;汉仪书宋二KW" w:hAnsi="宋体;汉仪书宋二KW"/>
                <w:b/>
                <w:sz w:val="21"/>
                <w:szCs w:val="21"/>
              </w:rPr>
              <w:t>6</w:t>
            </w:r>
            <w:r>
              <w:rPr>
                <w:rFonts w:cs="宋体;汉仪书宋二KW" w:ascii="宋体;汉仪书宋二KW" w:hAnsi="宋体;汉仪书宋二KW"/>
                <w:b/>
                <w:sz w:val="21"/>
                <w:szCs w:val="21"/>
                <w:lang w:val="en-US" w:eastAsia="zh-CN"/>
              </w:rPr>
              <w:t>8</w:t>
            </w:r>
            <w:r>
              <w:rPr>
                <w:rFonts w:cs="宋体;汉仪书宋二KW" w:ascii="宋体;汉仪书宋二KW" w:hAnsi="宋体;汉仪书宋二KW"/>
                <w:b/>
                <w:sz w:val="21"/>
                <w:szCs w:val="21"/>
              </w:rPr>
              <w:t>.</w:t>
            </w:r>
            <w:r>
              <w:rPr>
                <w:rFonts w:cs="宋体;汉仪书宋二KW" w:ascii="宋体;汉仪书宋二KW" w:hAnsi="宋体;汉仪书宋二KW"/>
                <w:b/>
                <w:sz w:val="21"/>
                <w:szCs w:val="21"/>
                <w:lang w:val="en-US" w:eastAsia="zh-CN"/>
              </w:rPr>
              <w:t>75</w:t>
            </w:r>
            <w:r>
              <w:rPr>
                <w:rFonts w:cs="宋体;汉仪书宋二KW" w:ascii="宋体;汉仪书宋二KW" w:hAnsi="宋体;汉仪书宋二KW"/>
                <w:b/>
                <w:sz w:val="21"/>
                <w:szCs w:val="21"/>
              </w:rPr>
              <w:t>%</w:t>
            </w:r>
          </w:p>
        </w:tc>
        <w:tc>
          <w:tcPr>
            <w:tcW w:w="196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20"/>
              <w:rPr>
                <w:rFonts w:ascii="宋体;汉仪书宋二KW" w:hAnsi="宋体;汉仪书宋二KW"/>
                <w:bCs/>
                <w:szCs w:val="21"/>
                <w:highlight w:val="yellow"/>
              </w:rPr>
            </w:pPr>
            <w:r>
              <w:rPr>
                <w:rFonts w:ascii="宋体;汉仪书宋二KW" w:hAnsi="宋体;汉仪书宋二KW" w:cs="宋体;汉仪书宋二KW"/>
                <w:b/>
                <w:color w:val="000000"/>
                <w:szCs w:val="21"/>
              </w:rPr>
              <w:t>合计</w:t>
            </w:r>
          </w:p>
        </w:tc>
        <w:tc>
          <w:tcPr>
            <w:tcW w:w="221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20"/>
              <w:jc w:val="center"/>
              <w:rPr>
                <w:rFonts w:ascii="宋体;汉仪书宋二KW" w:hAnsi="宋体;汉仪书宋二KW"/>
                <w:bCs/>
                <w:szCs w:val="21"/>
                <w:highlight w:val="yellow"/>
              </w:rPr>
            </w:pPr>
            <w:r>
              <w:rPr>
                <w:rFonts w:cs="宋体;汉仪书宋二KW" w:ascii="宋体;汉仪书宋二KW" w:hAnsi="宋体;汉仪书宋二KW"/>
                <w:b/>
                <w:sz w:val="21"/>
                <w:szCs w:val="21"/>
              </w:rPr>
              <w:t>9</w:t>
            </w:r>
            <w:r>
              <w:rPr>
                <w:rFonts w:cs="宋体;汉仪书宋二KW" w:ascii="宋体;汉仪书宋二KW" w:hAnsi="宋体;汉仪书宋二KW"/>
                <w:b/>
                <w:sz w:val="21"/>
                <w:szCs w:val="21"/>
                <w:lang w:val="en-US" w:eastAsia="zh-CN"/>
              </w:rPr>
              <w:t>2.46</w:t>
            </w:r>
            <w:r>
              <w:rPr>
                <w:rFonts w:cs="宋体;汉仪书宋二KW" w:ascii="宋体;汉仪书宋二KW" w:hAnsi="宋体;汉仪书宋二KW"/>
                <w:b/>
                <w:sz w:val="21"/>
                <w:szCs w:val="21"/>
              </w:rPr>
              <w:t>%</w:t>
            </w:r>
          </w:p>
        </w:tc>
      </w:tr>
    </w:tbl>
    <w:p>
      <w:pPr>
        <w:pStyle w:val="Normal"/>
        <w:spacing w:lineRule="exact" w:line="480"/>
        <w:ind w:firstLine="420" w:right="0"/>
        <w:rPr>
          <w:rFonts w:ascii="宋体;汉仪书宋二KW" w:hAnsi="宋体;汉仪书宋二KW" w:cs="宋体;汉仪书宋二KW"/>
          <w:szCs w:val="21"/>
          <w:highlight w:val="none"/>
        </w:rPr>
      </w:pPr>
      <w:r>
        <w:rPr>
          <w:rFonts w:cs="宋体;汉仪书宋二KW" w:ascii="宋体;汉仪书宋二KW" w:hAnsi="宋体;汉仪书宋二KW"/>
          <w:szCs w:val="21"/>
        </w:rPr>
        <w:t>1</w:t>
      </w:r>
      <w:r>
        <w:rPr>
          <w:rFonts w:ascii="宋体;汉仪书宋二KW" w:hAnsi="宋体;汉仪书宋二KW" w:cs="宋体;汉仪书宋二KW"/>
          <w:szCs w:val="21"/>
        </w:rPr>
        <w:t>、申请人历史沿革，重大股权调整情况。</w:t>
      </w:r>
    </w:p>
    <w:p>
      <w:pPr>
        <w:pStyle w:val="Normal"/>
        <w:snapToGrid w:val="false"/>
        <w:spacing w:lineRule="auto" w:line="360" w:before="0" w:after="93"/>
        <w:ind w:firstLine="420" w:right="0"/>
        <w:rPr>
          <w:kern w:val="0"/>
          <w:sz w:val="24"/>
          <w:lang w:val="zh-CN"/>
        </w:rPr>
      </w:pPr>
      <w:r>
        <w:rPr>
          <w:rFonts w:ascii="宋体" w:hAnsi="宋体" w:eastAsia="宋体"/>
          <w:sz w:val="21"/>
        </w:rPr>
        <w:t>邺城供水集团有限公司是申请人的控股股东（唯一股东），持股比例100%。邺城供水集团有限公司是一家专注于城镇供水业务的民营企业，主营供水项目投资、建设和运营管理，法定代表人为杨帆。</w:t>
        <w:br/>
        <w:t>邺城供水集团有限公司注册资本及实收资本等信息详见股东财务简表。自申请人成立以来，股东结构未发生变动。</w:t>
      </w:r>
    </w:p>
    <w:tbl>
      <w:tblPr>
        <w:tblW w:w="4900" w:type="pct"/>
        <w:jc w:val="center"/>
        <w:tblInd w:w="0" w:type="dxa"/>
        <w:tblLayout w:type="fixed"/>
        <w:tblCellMar>
          <w:top w:w="0" w:type="dxa"/>
          <w:left w:w="108" w:type="dxa"/>
          <w:bottom w:w="0" w:type="dxa"/>
          <w:right w:w="108" w:type="dxa"/>
        </w:tblCellMar>
      </w:tblPr>
      <w:tblGrid>
        <w:gridCol w:w="872"/>
        <w:gridCol w:w="3894"/>
        <w:gridCol w:w="2065"/>
        <w:gridCol w:w="1308"/>
      </w:tblGrid>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szCs w:val="21"/>
              </w:rPr>
            </w:pPr>
            <w:r>
              <w:rPr>
                <w:b/>
                <w:bCs/>
                <w:szCs w:val="21"/>
              </w:rPr>
              <w:t>序号</w:t>
            </w:r>
          </w:p>
        </w:tc>
        <w:tc>
          <w:tcPr>
            <w:tcW w:w="389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szCs w:val="21"/>
              </w:rPr>
            </w:pPr>
            <w:r>
              <w:rPr>
                <w:b/>
                <w:bCs/>
                <w:szCs w:val="21"/>
              </w:rPr>
              <w:t>股东名称</w:t>
            </w:r>
          </w:p>
        </w:tc>
        <w:tc>
          <w:tcPr>
            <w:tcW w:w="206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szCs w:val="21"/>
              </w:rPr>
            </w:pPr>
            <w:r>
              <w:rPr>
                <w:b/>
                <w:bCs/>
                <w:szCs w:val="21"/>
              </w:rPr>
              <w:t>出资金额（万元）</w:t>
            </w:r>
          </w:p>
        </w:tc>
        <w:tc>
          <w:tcPr>
            <w:tcW w:w="13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szCs w:val="21"/>
              </w:rPr>
            </w:pPr>
            <w:r>
              <w:rPr>
                <w:b/>
                <w:bCs/>
                <w:szCs w:val="21"/>
              </w:rPr>
              <w:t>持股比例</w:t>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t>1</w:t>
            </w:r>
          </w:p>
        </w:tc>
        <w:tc>
          <w:tcPr>
            <w:tcW w:w="3894" w:type="dxa"/>
            <w:tcBorders>
              <w:top w:val="single" w:sz="4" w:space="0" w:color="000000"/>
              <w:left w:val="single" w:sz="4" w:space="0" w:color="000000"/>
              <w:bottom w:val="single" w:sz="4" w:space="0" w:color="000000"/>
              <w:right w:val="single" w:sz="4" w:space="0" w:color="000000"/>
            </w:tcBorders>
            <w:vAlign w:val="center"/>
          </w:tcPr>
          <w:p>
            <w:r>
              <w:t>邺城供水集团有限公司</w:t>
            </w:r>
          </w:p>
        </w:tc>
        <w:tc>
          <w:tcPr>
            <w:tcW w:w="2065" w:type="dxa"/>
            <w:tcBorders>
              <w:top w:val="single" w:sz="4" w:space="0" w:color="000000"/>
              <w:left w:val="single" w:sz="4" w:space="0" w:color="000000"/>
              <w:bottom w:val="single" w:sz="4" w:space="0" w:color="000000"/>
              <w:right w:val="single" w:sz="4" w:space="0" w:color="000000"/>
            </w:tcBorders>
            <w:vAlign w:val="center"/>
          </w:tcPr>
          <w:p>
            <w:r>
              <w:t>10,000.00</w:t>
            </w:r>
          </w:p>
        </w:tc>
        <w:tc>
          <w:tcPr>
            <w:tcW w:w="1308" w:type="dxa"/>
            <w:tcBorders>
              <w:top w:val="single" w:sz="4" w:space="0" w:color="000000"/>
              <w:left w:val="single" w:sz="4" w:space="0" w:color="000000"/>
              <w:bottom w:val="single" w:sz="4" w:space="0" w:color="000000"/>
              <w:right w:val="single" w:sz="4" w:space="0" w:color="000000"/>
            </w:tcBorders>
            <w:vAlign w:val="center"/>
          </w:tcPr>
          <w:p>
            <w:r>
              <w:t>100%</w:t>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r>
        <w:trPr>
          <w:trHeight w:val="340" w:hRule="atLeast"/>
        </w:trPr>
        <w:tc>
          <w:tcPr>
            <w:tcW w:w="872" w:type="dxa"/>
            <w:tcBorders>
              <w:top w:val="single" w:sz="4" w:space="0" w:color="000000"/>
              <w:left w:val="single" w:sz="4" w:space="0" w:color="000000"/>
              <w:bottom w:val="single" w:sz="4" w:space="0" w:color="000000"/>
              <w:right w:val="single" w:sz="4" w:space="0" w:color="000000"/>
            </w:tcBorders>
            <w:vAlign w:val="center"/>
          </w:tcPr>
          <w:p>
            <w:r/>
          </w:p>
        </w:tc>
        <w:tc>
          <w:tcPr>
            <w:tcW w:w="3894" w:type="dxa"/>
            <w:tcBorders>
              <w:top w:val="single" w:sz="4" w:space="0" w:color="000000"/>
              <w:left w:val="single" w:sz="4" w:space="0" w:color="000000"/>
              <w:bottom w:val="single" w:sz="4" w:space="0" w:color="000000"/>
              <w:right w:val="single" w:sz="4" w:space="0" w:color="000000"/>
            </w:tcBorders>
            <w:vAlign w:val="center"/>
          </w:tcPr>
          <w:p>
            <w:r/>
          </w:p>
        </w:tc>
        <w:tc>
          <w:tcPr>
            <w:tcW w:w="2065" w:type="dxa"/>
            <w:tcBorders>
              <w:top w:val="single" w:sz="4" w:space="0" w:color="000000"/>
              <w:left w:val="single" w:sz="4" w:space="0" w:color="000000"/>
              <w:bottom w:val="single" w:sz="4" w:space="0" w:color="000000"/>
              <w:right w:val="single" w:sz="4" w:space="0" w:color="000000"/>
            </w:tcBorders>
            <w:vAlign w:val="center"/>
          </w:tcPr>
          <w:p>
            <w:r/>
          </w:p>
        </w:tc>
        <w:tc>
          <w:tcPr>
            <w:tcW w:w="1308" w:type="dxa"/>
            <w:tcBorders>
              <w:top w:val="single" w:sz="4" w:space="0" w:color="000000"/>
              <w:left w:val="single" w:sz="4" w:space="0" w:color="000000"/>
              <w:bottom w:val="single" w:sz="4" w:space="0" w:color="000000"/>
              <w:right w:val="single" w:sz="4" w:space="0" w:color="000000"/>
            </w:tcBorders>
            <w:vAlign w:val="center"/>
          </w:tcPr>
          <w:p>
            <w:r/>
          </w:p>
        </w:tc>
      </w:tr>
    </w:tbl>
    <w:p>
      <w:pPr>
        <w:pStyle w:val="Normal"/>
        <w:keepNext w:val="false"/>
        <w:keepLines w:val="false"/>
        <w:pageBreakBefore w:val="false"/>
        <w:widowControl w:val="false"/>
        <w:kinsoku w:val="true"/>
        <w:overflowPunct w:val="true"/>
        <w:autoSpaceDE w:val="false"/>
        <w:bidi w:val="0"/>
        <w:snapToGrid w:val="true"/>
        <w:spacing w:lineRule="exact" w:line="480"/>
        <w:ind w:firstLine="420" w:right="0"/>
        <w:jc w:val="left"/>
        <w:rPr>
          <w:rFonts w:ascii="宋体;汉仪书宋二KW" w:hAnsi="宋体;汉仪书宋二KW" w:cs="宋体;汉仪书宋二KW"/>
          <w:color w:val="000000"/>
          <w:szCs w:val="21"/>
        </w:rPr>
      </w:pPr>
    </w:p>
    <w:p>
      <w:pPr>
        <w:pStyle w:val="Normal"/>
        <w:spacing w:lineRule="exact" w:line="480"/>
        <w:ind w:firstLine="420" w:right="0"/>
        <w:rPr>
          <w:rFonts w:ascii="宋体;汉仪书宋二KW" w:hAnsi="宋体;汉仪书宋二KW" w:cs="宋体;汉仪书宋二KW"/>
          <w:color w:val="000000"/>
          <w:szCs w:val="21"/>
          <w:highlight w:val="yellow"/>
        </w:rPr>
      </w:pPr>
      <w:r>
        <w:rPr>
          <w:rFonts w:cs="宋体;汉仪书宋二KW" w:ascii="宋体;汉仪书宋二KW" w:hAnsi="宋体;汉仪书宋二KW"/>
          <w:color w:val="000000"/>
          <w:szCs w:val="21"/>
          <w:highlight w:val="yellow"/>
        </w:rPr>
      </w:r>
    </w:p>
    <w:p>
      <w:pPr>
        <w:pStyle w:val="Normal"/>
        <w:spacing w:lineRule="exact" w:line="480"/>
        <w:ind w:firstLine="420" w:right="0"/>
        <w:rPr>
          <w:rFonts w:ascii="宋体;汉仪书宋二KW" w:hAnsi="宋体;汉仪书宋二KW" w:cs="宋体;汉仪书宋二KW"/>
          <w:szCs w:val="21"/>
          <w:highlight w:val="none"/>
        </w:rPr>
      </w:pPr>
      <w:r>
        <w:rPr>
          <w:rFonts w:cs="宋体;汉仪书宋二KW" w:ascii="宋体;汉仪书宋二KW" w:hAnsi="宋体;汉仪书宋二KW"/>
          <w:szCs w:val="21"/>
        </w:rPr>
        <w:t>2</w:t>
      </w:r>
      <w:r>
        <w:rPr>
          <w:rFonts w:ascii="宋体;汉仪书宋二KW" w:hAnsi="宋体;汉仪书宋二KW" w:cs="宋体;汉仪书宋二KW"/>
          <w:szCs w:val="21"/>
        </w:rPr>
        <w:t>、说明公司章程中约定的各股东出资金额、比例、资金到位进度；各股东资金到位情况是否符合公司章程的约定。公司章程或其他协议中对某出资方资金不能到位情况下的处理约定。按公司章程中的条款填写下表并文字说明：</w:t>
      </w:r>
    </w:p>
    <w:tbl>
      <w:tblPr>
        <w:tblpPr w:vertAnchor="text" w:horzAnchor="page" w:leftFromText="180" w:rightFromText="180" w:tblpX="1292" w:tblpY="294"/>
        <w:tblOverlap w:val="never"/>
        <w:tblW w:w="9789" w:type="dxa"/>
        <w:jc w:val="left"/>
        <w:tblInd w:w="108" w:type="dxa"/>
        <w:tblLayout w:type="fixed"/>
        <w:tblCellMar>
          <w:top w:w="0" w:type="dxa"/>
          <w:left w:w="108" w:type="dxa"/>
          <w:bottom w:w="0" w:type="dxa"/>
          <w:right w:w="108" w:type="dxa"/>
        </w:tblCellMar>
      </w:tblPr>
      <w:tblGrid>
        <w:gridCol w:w="3489"/>
        <w:gridCol w:w="1232"/>
        <w:gridCol w:w="1121"/>
        <w:gridCol w:w="1680"/>
        <w:gridCol w:w="2267"/>
      </w:tblGrid>
      <w:tr>
        <w:trPr/>
        <w:tc>
          <w:tcPr>
            <w:tcW w:w="348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szCs w:val="21"/>
              </w:rPr>
            </w:pPr>
            <w:r>
              <w:rPr>
                <w:rFonts w:ascii="宋体;汉仪书宋二KW" w:hAnsi="宋体;汉仪书宋二KW" w:cs="宋体;汉仪书宋二KW"/>
                <w:szCs w:val="21"/>
              </w:rPr>
              <w:t>出资方</w:t>
            </w:r>
          </w:p>
        </w:tc>
        <w:tc>
          <w:tcPr>
            <w:tcW w:w="1232"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szCs w:val="21"/>
              </w:rPr>
            </w:pPr>
            <w:r>
              <w:rPr>
                <w:rFonts w:ascii="宋体;汉仪书宋二KW" w:hAnsi="宋体;汉仪书宋二KW" w:cs="宋体;汉仪书宋二KW"/>
                <w:szCs w:val="21"/>
              </w:rPr>
              <w:t>约定出资金额</w:t>
            </w:r>
          </w:p>
        </w:tc>
        <w:tc>
          <w:tcPr>
            <w:tcW w:w="1121"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szCs w:val="21"/>
              </w:rPr>
            </w:pPr>
            <w:r>
              <w:rPr>
                <w:rFonts w:ascii="宋体;汉仪书宋二KW" w:hAnsi="宋体;汉仪书宋二KW" w:cs="宋体;汉仪书宋二KW"/>
                <w:szCs w:val="21"/>
              </w:rPr>
              <w:t>约定出资比例</w:t>
            </w:r>
          </w:p>
        </w:tc>
        <w:tc>
          <w:tcPr>
            <w:tcW w:w="1680"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szCs w:val="21"/>
              </w:rPr>
            </w:pPr>
            <w:r>
              <w:rPr>
                <w:rFonts w:ascii="宋体;汉仪书宋二KW" w:hAnsi="宋体;汉仪书宋二KW" w:cs="宋体;汉仪书宋二KW"/>
                <w:szCs w:val="21"/>
              </w:rPr>
              <w:t>资金到位金额</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szCs w:val="21"/>
              </w:rPr>
            </w:pPr>
            <w:r>
              <w:rPr>
                <w:rFonts w:ascii="宋体;汉仪书宋二KW" w:hAnsi="宋体;汉仪书宋二KW" w:cs="宋体;汉仪书宋二KW"/>
                <w:szCs w:val="21"/>
              </w:rPr>
              <w:t>资金到位进度</w:t>
            </w:r>
          </w:p>
        </w:tc>
      </w:tr>
      <w:tr>
        <w:trPr/>
        <w:tc>
          <w:tcPr>
            <w:tcW w:w="3489" w:type="dxa"/>
            <w:tcBorders>
              <w:top w:val="single" w:sz="4" w:space="0" w:color="000000"/>
              <w:left w:val="single" w:sz="4" w:space="0" w:color="000000"/>
              <w:bottom w:val="single" w:sz="4" w:space="0" w:color="000000"/>
              <w:right w:val="single" w:sz="4" w:space="0" w:color="000000"/>
            </w:tcBorders>
          </w:tcPr>
          <w:p>
            <w:r>
              <w:t>邺城供水集团有限公司</w:t>
            </w:r>
          </w:p>
        </w:tc>
        <w:tc>
          <w:tcPr>
            <w:tcW w:w="1232" w:type="dxa"/>
            <w:tcBorders>
              <w:top w:val="single" w:sz="4" w:space="0" w:color="000000"/>
              <w:left w:val="single" w:sz="4" w:space="0" w:color="000000"/>
              <w:bottom w:val="single" w:sz="4" w:space="0" w:color="000000"/>
              <w:right w:val="single" w:sz="4" w:space="0" w:color="000000"/>
            </w:tcBorders>
          </w:tcPr>
          <w:p>
            <w:r>
              <w:t>10,000.00万元</w:t>
            </w:r>
          </w:p>
        </w:tc>
        <w:tc>
          <w:tcPr>
            <w:tcW w:w="1121" w:type="dxa"/>
            <w:tcBorders>
              <w:top w:val="single" w:sz="4" w:space="0" w:color="000000"/>
              <w:left w:val="single" w:sz="4" w:space="0" w:color="000000"/>
              <w:bottom w:val="single" w:sz="4" w:space="0" w:color="000000"/>
              <w:right w:val="single" w:sz="4" w:space="0" w:color="000000"/>
            </w:tcBorders>
          </w:tcPr>
          <w:p>
            <w:r>
              <w:t>100%</w:t>
            </w:r>
          </w:p>
        </w:tc>
        <w:tc>
          <w:tcPr>
            <w:tcW w:w="1680" w:type="dxa"/>
            <w:tcBorders>
              <w:top w:val="single" w:sz="4" w:space="0" w:color="000000"/>
              <w:left w:val="single" w:sz="4" w:space="0" w:color="000000"/>
              <w:bottom w:val="single" w:sz="4" w:space="0" w:color="000000"/>
              <w:right w:val="single" w:sz="4" w:space="0" w:color="000000"/>
            </w:tcBorders>
          </w:tcPr>
          <w:p>
            <w:r>
              <w:t>10,000.00万元</w:t>
            </w:r>
          </w:p>
        </w:tc>
        <w:tc>
          <w:tcPr>
            <w:tcW w:w="2267" w:type="dxa"/>
            <w:tcBorders>
              <w:top w:val="single" w:sz="4" w:space="0" w:color="000000"/>
              <w:left w:val="single" w:sz="4" w:space="0" w:color="000000"/>
              <w:bottom w:val="single" w:sz="4" w:space="0" w:color="000000"/>
              <w:right w:val="single" w:sz="4" w:space="0" w:color="000000"/>
            </w:tcBorders>
          </w:tcPr>
          <w:p>
            <w:r>
              <w:t>已全额实缴</w:t>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r>
        <w:trPr/>
        <w:tc>
          <w:tcPr>
            <w:tcW w:w="3489" w:type="dxa"/>
            <w:tcBorders>
              <w:top w:val="single" w:sz="4" w:space="0" w:color="000000"/>
              <w:left w:val="single" w:sz="4" w:space="0" w:color="000000"/>
              <w:bottom w:val="single" w:sz="4" w:space="0" w:color="000000"/>
              <w:right w:val="single" w:sz="4" w:space="0" w:color="000000"/>
            </w:tcBorders>
          </w:tcPr>
          <w:p>
            <w:r/>
          </w:p>
        </w:tc>
        <w:tc>
          <w:tcPr>
            <w:tcW w:w="1232" w:type="dxa"/>
            <w:tcBorders>
              <w:top w:val="single" w:sz="4" w:space="0" w:color="000000"/>
              <w:left w:val="single" w:sz="4" w:space="0" w:color="000000"/>
              <w:bottom w:val="single" w:sz="4" w:space="0" w:color="000000"/>
              <w:right w:val="single" w:sz="4" w:space="0" w:color="000000"/>
            </w:tcBorders>
          </w:tcPr>
          <w:p>
            <w:r/>
          </w:p>
        </w:tc>
        <w:tc>
          <w:tcPr>
            <w:tcW w:w="1121" w:type="dxa"/>
            <w:tcBorders>
              <w:top w:val="single" w:sz="4" w:space="0" w:color="000000"/>
              <w:left w:val="single" w:sz="4" w:space="0" w:color="000000"/>
              <w:bottom w:val="single" w:sz="4" w:space="0" w:color="000000"/>
              <w:right w:val="single" w:sz="4" w:space="0" w:color="000000"/>
            </w:tcBorders>
          </w:tcPr>
          <w:p>
            <w:r/>
          </w:p>
        </w:tc>
        <w:tc>
          <w:tcPr>
            <w:tcW w:w="1680" w:type="dxa"/>
            <w:tcBorders>
              <w:top w:val="single" w:sz="4" w:space="0" w:color="000000"/>
              <w:left w:val="single" w:sz="4" w:space="0" w:color="000000"/>
              <w:bottom w:val="single" w:sz="4" w:space="0" w:color="000000"/>
              <w:right w:val="single" w:sz="4" w:space="0" w:color="000000"/>
            </w:tcBorders>
          </w:tcPr>
          <w:p>
            <w:r/>
          </w:p>
        </w:tc>
        <w:tc>
          <w:tcPr>
            <w:tcW w:w="2267" w:type="dxa"/>
            <w:tcBorders>
              <w:top w:val="single" w:sz="4" w:space="0" w:color="000000"/>
              <w:left w:val="single" w:sz="4" w:space="0" w:color="000000"/>
              <w:bottom w:val="single" w:sz="4" w:space="0" w:color="000000"/>
              <w:right w:val="single" w:sz="4" w:space="0" w:color="000000"/>
            </w:tcBorders>
          </w:tcPr>
          <w:p>
            <w:r/>
          </w:p>
        </w:tc>
      </w:tr>
    </w:tbl>
    <w:p>
      <w:pPr>
        <w:pStyle w:val="1"/>
        <w:rPr/>
      </w:pPr>
      <w:r>
        <w:rPr/>
      </w:r>
    </w:p>
    <w:p>
      <w:pPr>
        <w:pStyle w:val="Normal"/>
        <w:numPr>
          <w:ilvl w:val="0"/>
          <w:numId w:val="7"/>
        </w:numPr>
        <w:spacing w:lineRule="exact" w:line="480"/>
        <w:ind w:firstLine="420" w:left="0" w:right="0"/>
        <w:rPr>
          <w:rFonts w:ascii="宋体;汉仪书宋二KW" w:hAnsi="宋体;汉仪书宋二KW" w:cs="宋体;汉仪书宋二KW"/>
          <w:szCs w:val="21"/>
          <w:highlight w:val="none"/>
        </w:rPr>
      </w:pPr>
      <w:r>
        <w:rPr>
          <w:rFonts w:ascii="宋体;汉仪书宋二KW" w:hAnsi="宋体;汉仪书宋二KW" w:cs="宋体;汉仪书宋二KW"/>
          <w:szCs w:val="21"/>
        </w:rPr>
        <w:t>列明目前公司股权结构图，要求追溯到最上级自然人或各级国资委，股权结构图须注明持股比例。</w:t>
      </w:r>
    </w:p>
    <w:p>
      <w:pPr>
        <w:pStyle w:val="1"/>
        <w:numPr>
          <w:ilvl w:val="0"/>
          <w:numId w:val="0"/>
        </w:numPr>
        <w:ind w:hanging="0" w:left="0"/>
        <w:rPr>
          <w:rFonts w:ascii="宋体;汉仪书宋二KW" w:hAnsi="宋体;汉仪书宋二KW" w:cs="宋体;汉仪书宋二KW"/>
          <w:b/>
          <w:bCs/>
          <w:color w:val="000000"/>
          <w:kern w:val="0"/>
          <w:sz w:val="24"/>
          <w:szCs w:val="21"/>
          <w:highlight w:val="none"/>
        </w:rPr>
      </w:pPr>
      <w:r>
        <w:rPr>
          <w:rFonts w:cs="宋体;汉仪书宋二KW" w:ascii="宋体;汉仪书宋二KW" w:hAnsi="宋体;汉仪书宋二KW"/>
          <w:b/>
          <w:bCs/>
          <w:color w:val="000000"/>
          <w:kern w:val="0"/>
          <w:sz w:val="24"/>
          <w:szCs w:val="21"/>
        </w:rPr>
        <w:drawing>
          <wp:anchor behindDoc="0" distT="0" distB="0" distL="114935" distR="114935" simplePos="0" locked="0" layoutInCell="0" allowOverlap="1" relativeHeight="114">
            <wp:simplePos x="0" y="0"/>
            <wp:positionH relativeFrom="column">
              <wp:posOffset>-533400</wp:posOffset>
            </wp:positionH>
            <wp:positionV relativeFrom="paragraph">
              <wp:posOffset>511175</wp:posOffset>
            </wp:positionV>
            <wp:extent cx="6080760" cy="2257425"/>
            <wp:effectExtent l="0" t="0" r="0" b="0"/>
            <wp:wrapSquare wrapText="bothSides"/>
            <wp:docPr id="1"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pic:cNvPicPr>
                      <a:picLocks noChangeAspect="1" noChangeArrowheads="1"/>
                    </pic:cNvPicPr>
                  </pic:nvPicPr>
                  <pic:blipFill>
                    <a:blip r:embed="rId2"/>
                    <a:srcRect l="-9" t="-24" r="-9" b="-24"/>
                    <a:stretch>
                      <a:fillRect/>
                    </a:stretch>
                  </pic:blipFill>
                  <pic:spPr bwMode="auto">
                    <a:xfrm>
                      <a:off x="0" y="0"/>
                      <a:ext cx="6080760" cy="2257425"/>
                    </a:xfrm>
                    <a:prstGeom prst="rect">
                      <a:avLst/>
                    </a:prstGeom>
                  </pic:spPr>
                </pic:pic>
              </a:graphicData>
            </a:graphic>
          </wp:anchor>
        </w:drawing>
      </w:r>
    </w:p>
    <w:p>
      <w:pPr>
        <w:pStyle w:val="Normal"/>
        <w:spacing w:lineRule="exact" w:line="480"/>
        <w:rPr>
          <w:rFonts w:ascii="宋体;汉仪书宋二KW" w:hAnsi="宋体;汉仪书宋二KW" w:cs="宋体;汉仪书宋二KW"/>
          <w:szCs w:val="21"/>
          <w:highlight w:val="none"/>
        </w:rPr>
      </w:pPr>
      <w:r>
        <w:rPr>
          <w:rFonts w:ascii="宋体;汉仪书宋二KW" w:hAnsi="宋体;汉仪书宋二KW" w:cs="宋体;汉仪书宋二KW" w:eastAsia="宋体;汉仪书宋二KW"/>
          <w:szCs w:val="21"/>
        </w:rPr>
        <w:t xml:space="preserve">    </w:t>
      </w:r>
      <w:r>
        <w:rPr>
          <w:rFonts w:cs="宋体;汉仪书宋二KW" w:ascii="宋体;汉仪书宋二KW" w:hAnsi="宋体;汉仪书宋二KW"/>
          <w:szCs w:val="21"/>
        </w:rPr>
        <w:t>4</w:t>
      </w:r>
      <w:r>
        <w:rPr>
          <w:rFonts w:ascii="宋体;汉仪书宋二KW" w:hAnsi="宋体;汉仪书宋二KW" w:cs="宋体;汉仪书宋二KW"/>
          <w:szCs w:val="21"/>
        </w:rPr>
        <w:t>、管理层情况</w:t>
      </w:r>
    </w:p>
    <w:tbl>
      <w:tblPr>
        <w:tblW w:w="8130" w:type="dxa"/>
        <w:jc w:val="center"/>
        <w:tblInd w:w="0" w:type="dxa"/>
        <w:tblLayout w:type="fixed"/>
        <w:tblCellMar>
          <w:top w:w="0" w:type="dxa"/>
          <w:left w:w="51" w:type="dxa"/>
          <w:bottom w:w="0" w:type="dxa"/>
          <w:right w:w="51" w:type="dxa"/>
        </w:tblCellMar>
      </w:tblPr>
      <w:tblGrid>
        <w:gridCol w:w="1153"/>
        <w:gridCol w:w="1257"/>
        <w:gridCol w:w="5720"/>
      </w:tblGrid>
      <w:tr>
        <w:trPr>
          <w:trHeight w:val="23" w:hRule="atLeast"/>
        </w:trPr>
        <w:tc>
          <w:tcPr>
            <w:tcW w:w="1153" w:type="dxa"/>
            <w:tcBorders>
              <w:top w:val="single" w:sz="4" w:space="0" w:color="000000"/>
              <w:left w:val="single" w:sz="4" w:space="0" w:color="000000"/>
              <w:bottom w:val="single" w:sz="4" w:space="0" w:color="000000"/>
              <w:right w:val="single" w:sz="4" w:space="0" w:color="000000"/>
            </w:tcBorders>
            <w:vAlign w:val="center"/>
          </w:tcPr>
          <w:p>
            <w:pPr>
              <w:pStyle w:val="New"/>
              <w:widowControl/>
              <w:jc w:val="center"/>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color w:val="000000"/>
                <w:kern w:val="2"/>
                <w:sz w:val="21"/>
                <w:szCs w:val="21"/>
                <w:lang w:val="en-US" w:eastAsia="zh-CN" w:bidi="ar-SA"/>
              </w:rPr>
              <w:t>姓名</w:t>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ew"/>
              <w:widowControl/>
              <w:jc w:val="center"/>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color w:val="000000"/>
                <w:kern w:val="2"/>
                <w:sz w:val="21"/>
                <w:szCs w:val="21"/>
                <w:lang w:val="en-US" w:eastAsia="zh-CN" w:bidi="ar-SA"/>
              </w:rPr>
              <w:t>职务</w:t>
            </w:r>
          </w:p>
        </w:tc>
        <w:tc>
          <w:tcPr>
            <w:tcW w:w="5720" w:type="dxa"/>
            <w:tcBorders>
              <w:top w:val="single" w:sz="4" w:space="0" w:color="000000"/>
              <w:left w:val="single" w:sz="4" w:space="0" w:color="000000"/>
              <w:bottom w:val="single" w:sz="4" w:space="0" w:color="000000"/>
              <w:right w:val="single" w:sz="4" w:space="0" w:color="000000"/>
            </w:tcBorders>
            <w:vAlign w:val="center"/>
          </w:tcPr>
          <w:p>
            <w:pPr>
              <w:pStyle w:val="New"/>
              <w:widowControl/>
              <w:jc w:val="center"/>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color w:val="000000"/>
                <w:kern w:val="2"/>
                <w:sz w:val="21"/>
                <w:szCs w:val="21"/>
                <w:lang w:val="en-US" w:eastAsia="zh-CN" w:bidi="ar-SA"/>
              </w:rPr>
              <w:t>主要经历</w:t>
            </w:r>
          </w:p>
        </w:tc>
      </w:tr>
      <w:tr>
        <w:trPr>
          <w:trHeight w:val="23" w:hRule="atLeast"/>
        </w:trPr>
        <w:tc>
          <w:tcPr>
            <w:tcW w:w="1153" w:type="dxa"/>
            <w:tcBorders>
              <w:top w:val="single" w:sz="4" w:space="0" w:color="000000"/>
              <w:left w:val="single" w:sz="4" w:space="0" w:color="000000"/>
              <w:bottom w:val="single" w:sz="4" w:space="0" w:color="000000"/>
              <w:right w:val="single" w:sz="4" w:space="0" w:color="000000"/>
            </w:tcBorders>
            <w:vAlign w:val="center"/>
          </w:tcPr>
          <w:p>
            <w:r>
              <w:t>杨帆</w:t>
            </w:r>
          </w:p>
        </w:tc>
        <w:tc>
          <w:tcPr>
            <w:tcW w:w="1257" w:type="dxa"/>
            <w:tcBorders>
              <w:top w:val="single" w:sz="4" w:space="0" w:color="000000"/>
              <w:left w:val="single" w:sz="4" w:space="0" w:color="000000"/>
              <w:bottom w:val="single" w:sz="4" w:space="0" w:color="000000"/>
              <w:right w:val="single" w:sz="4" w:space="0" w:color="000000"/>
            </w:tcBorders>
            <w:vAlign w:val="center"/>
          </w:tcPr>
          <w:p>
            <w:r>
              <w:t>法定代表人/执行董事/总经理</w:t>
            </w:r>
          </w:p>
        </w:tc>
        <w:tc>
          <w:tcPr>
            <w:tcW w:w="5720" w:type="dxa"/>
            <w:tcBorders>
              <w:top w:val="single" w:sz="4" w:space="0" w:color="000000"/>
              <w:left w:val="single" w:sz="4" w:space="0" w:color="000000"/>
              <w:bottom w:val="single" w:sz="4" w:space="0" w:color="000000"/>
              <w:right w:val="single" w:sz="4" w:space="0" w:color="000000"/>
            </w:tcBorders>
            <w:vAlign w:val="center"/>
          </w:tcPr>
          <w:p>
            <w:r>
              <w:t>长期从事供水行业，具有丰富的供水项目投资、建设和运营管理经验，现任邺城供水集团有限公司法定代表人/总经理。</w:t>
            </w:r>
          </w:p>
        </w:tc>
      </w:tr>
      <w:tr>
        <w:trPr>
          <w:trHeight w:val="23" w:hRule="atLeast"/>
        </w:trPr>
        <w:tc>
          <w:tcPr>
            <w:tcW w:w="1153" w:type="dxa"/>
            <w:tcBorders>
              <w:top w:val="single" w:sz="4" w:space="0" w:color="000000"/>
              <w:left w:val="single" w:sz="4" w:space="0" w:color="000000"/>
              <w:bottom w:val="single" w:sz="4" w:space="0" w:color="000000"/>
              <w:right w:val="single" w:sz="4" w:space="0" w:color="000000"/>
            </w:tcBorders>
            <w:vAlign w:val="center"/>
          </w:tcPr>
          <w:p>
            <w:r>
              <w:t>李庚</w:t>
            </w:r>
          </w:p>
        </w:tc>
        <w:tc>
          <w:tcPr>
            <w:tcW w:w="1257" w:type="dxa"/>
            <w:tcBorders>
              <w:top w:val="single" w:sz="4" w:space="0" w:color="000000"/>
              <w:left w:val="single" w:sz="4" w:space="0" w:color="000000"/>
              <w:bottom w:val="single" w:sz="4" w:space="0" w:color="000000"/>
              <w:right w:val="single" w:sz="4" w:space="0" w:color="000000"/>
            </w:tcBorders>
            <w:vAlign w:val="center"/>
          </w:tcPr>
          <w:p>
            <w:r>
              <w:t>财务负责人</w:t>
            </w:r>
          </w:p>
        </w:tc>
        <w:tc>
          <w:tcPr>
            <w:tcW w:w="5720" w:type="dxa"/>
            <w:tcBorders>
              <w:top w:val="single" w:sz="4" w:space="0" w:color="000000"/>
              <w:left w:val="single" w:sz="4" w:space="0" w:color="000000"/>
              <w:bottom w:val="single" w:sz="4" w:space="0" w:color="000000"/>
              <w:right w:val="single" w:sz="4" w:space="0" w:color="000000"/>
            </w:tcBorders>
            <w:vAlign w:val="center"/>
          </w:tcPr>
          <w:p>
            <w:r>
              <w:t>具有财务管理工作经验，负责公司财务核算及资金管理工作。</w:t>
            </w:r>
          </w:p>
        </w:tc>
      </w:tr>
      <w:tr>
        <w:trPr>
          <w:trHeight w:val="23" w:hRule="atLeast"/>
        </w:trPr>
        <w:tc>
          <w:tcPr>
            <w:tcW w:w="1153" w:type="dxa"/>
            <w:tcBorders>
              <w:top w:val="single" w:sz="4" w:space="0" w:color="000000"/>
              <w:left w:val="single" w:sz="4" w:space="0" w:color="000000"/>
              <w:bottom w:val="single" w:sz="4" w:space="0" w:color="000000"/>
              <w:right w:val="single" w:sz="4" w:space="0" w:color="000000"/>
            </w:tcBorders>
            <w:vAlign w:val="center"/>
          </w:tcPr>
          <w:p>
            <w:r/>
          </w:p>
        </w:tc>
        <w:tc>
          <w:tcPr>
            <w:tcW w:w="1257" w:type="dxa"/>
            <w:tcBorders>
              <w:top w:val="single" w:sz="4" w:space="0" w:color="000000"/>
              <w:left w:val="single" w:sz="4" w:space="0" w:color="000000"/>
              <w:bottom w:val="single" w:sz="4" w:space="0" w:color="000000"/>
              <w:right w:val="single" w:sz="4" w:space="0" w:color="000000"/>
            </w:tcBorders>
            <w:vAlign w:val="center"/>
          </w:tcPr>
          <w:p>
            <w:pPr>
              <w:pStyle w:val="New"/>
              <w:widowControl/>
              <w:jc w:val="left"/>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color w:val="000000"/>
                <w:kern w:val="2"/>
                <w:sz w:val="21"/>
                <w:szCs w:val="21"/>
                <w:lang w:val="en-US" w:eastAsia="zh-CN" w:bidi="ar-SA"/>
              </w:rPr>
              <w:t>总会计师</w:t>
            </w:r>
          </w:p>
        </w:tc>
        <w:tc>
          <w:tcPr>
            <w:tcW w:w="5720" w:type="dxa"/>
            <w:tcBorders>
              <w:top w:val="single" w:sz="4" w:space="0" w:color="000000"/>
              <w:left w:val="single" w:sz="4" w:space="0" w:color="000000"/>
              <w:bottom w:val="single" w:sz="4" w:space="0" w:color="000000"/>
              <w:right w:val="single" w:sz="4" w:space="0" w:color="000000"/>
            </w:tcBorders>
            <w:vAlign w:val="center"/>
          </w:tcPr>
          <w:p>
            <w:r/>
          </w:p>
        </w:tc>
      </w:tr>
    </w:tbl>
    <w:p>
      <w:pPr>
        <w:pStyle w:val="Normal"/>
        <w:spacing w:lineRule="exact" w:line="480"/>
        <w:ind w:firstLine="480" w:right="0"/>
        <w:rPr>
          <w:rFonts w:ascii="楷体;汉仪楷体KW" w:hAnsi="楷体;汉仪楷体KW" w:eastAsia="楷体;汉仪楷体KW" w:cs="楷体;汉仪楷体KW"/>
          <w:b/>
          <w:sz w:val="24"/>
          <w:szCs w:val="24"/>
          <w:highlight w:val="none"/>
        </w:rPr>
      </w:pPr>
      <w:r>
        <w:rPr>
          <w:rFonts w:ascii="楷体;汉仪楷体KW" w:hAnsi="楷体;汉仪楷体KW" w:cs="楷体;汉仪楷体KW" w:eastAsia="楷体;汉仪楷体KW"/>
          <w:b/>
          <w:sz w:val="24"/>
          <w:szCs w:val="24"/>
        </w:rPr>
        <w:t>（二）组织结构</w:t>
      </w:r>
    </w:p>
    <w:p>
      <w:pPr>
        <w:pStyle w:val="Normal"/>
        <w:numPr>
          <w:ilvl w:val="0"/>
          <w:numId w:val="0"/>
        </w:numPr>
        <w:spacing w:lineRule="exact" w:line="480"/>
        <w:ind w:hanging="0" w:left="0"/>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截至</w:t>
      </w:r>
      <w:r>
        <w:rPr>
          <w:rFonts w:eastAsia="宋体;汉仪书宋二KW" w:cs="宋体;汉仪书宋二KW" w:ascii="宋体;汉仪书宋二KW" w:hAnsi="宋体;汉仪书宋二KW"/>
          <w:szCs w:val="21"/>
          <w:lang w:val="en-US" w:eastAsia="zh-CN"/>
        </w:rPr>
        <w:t>2025</w:t>
      </w:r>
      <w:r>
        <w:rPr>
          <w:rFonts w:ascii="宋体;汉仪书宋二KW" w:hAnsi="宋体;汉仪书宋二KW" w:cs="宋体;汉仪书宋二KW" w:eastAsia="宋体;汉仪书宋二KW"/>
          <w:szCs w:val="21"/>
          <w:lang w:val="en-US" w:eastAsia="zh-CN"/>
        </w:rPr>
        <w:t>年</w:t>
      </w:r>
      <w:r>
        <w:rPr>
          <w:rFonts w:eastAsia="宋体;汉仪书宋二KW" w:cs="宋体;汉仪书宋二KW" w:ascii="宋体;汉仪书宋二KW" w:hAnsi="宋体;汉仪书宋二KW"/>
          <w:szCs w:val="21"/>
          <w:lang w:val="en-US" w:eastAsia="zh-CN"/>
        </w:rPr>
        <w:t>3</w:t>
      </w:r>
      <w:r>
        <w:rPr>
          <w:rFonts w:ascii="宋体;汉仪书宋二KW" w:hAnsi="宋体;汉仪书宋二KW" w:cs="宋体;汉仪书宋二KW" w:eastAsia="宋体;汉仪书宋二KW"/>
          <w:szCs w:val="21"/>
          <w:lang w:val="en-US" w:eastAsia="zh-CN"/>
        </w:rPr>
        <w:t>月末（最新公开信息日期），申请人纳入合并范围子公司共</w:t>
      </w:r>
      <w:r>
        <w:rPr>
          <w:rFonts w:eastAsia="宋体;汉仪书宋二KW" w:cs="宋体;汉仪书宋二KW" w:ascii="宋体;汉仪书宋二KW" w:hAnsi="宋体;汉仪书宋二KW"/>
          <w:szCs w:val="21"/>
          <w:lang w:val="en-US" w:eastAsia="zh-CN"/>
        </w:rPr>
        <w:t>25</w:t>
      </w:r>
      <w:r>
        <w:rPr>
          <w:rFonts w:ascii="宋体;汉仪书宋二KW" w:hAnsi="宋体;汉仪书宋二KW" w:cs="宋体;汉仪书宋二KW" w:eastAsia="宋体;汉仪书宋二KW"/>
          <w:szCs w:val="21"/>
          <w:lang w:val="en-US" w:eastAsia="zh-CN"/>
        </w:rPr>
        <w:t>家，情况如下：</w:t>
      </w:r>
    </w:p>
    <w:tbl>
      <w:tblPr>
        <w:tblW w:w="9855" w:type="dxa"/>
        <w:jc w:val="center"/>
        <w:tblInd w:w="0" w:type="dxa"/>
        <w:tblLayout w:type="fixed"/>
        <w:tblCellMar>
          <w:top w:w="0" w:type="dxa"/>
          <w:left w:w="108" w:type="dxa"/>
          <w:bottom w:w="0" w:type="dxa"/>
          <w:right w:w="108" w:type="dxa"/>
        </w:tblCellMar>
      </w:tblPr>
      <w:tblGrid>
        <w:gridCol w:w="3329"/>
        <w:gridCol w:w="2149"/>
        <w:gridCol w:w="1114"/>
        <w:gridCol w:w="2050"/>
        <w:gridCol w:w="1213"/>
      </w:tblGrid>
      <w:tr>
        <w:trPr>
          <w:tblHeader w:val="true"/>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公司名称</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地址</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注册资本</w:t>
            </w:r>
          </w:p>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（万元）</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业务性质</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持股</w:t>
            </w:r>
          </w:p>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比例（</w:t>
            </w:r>
            <w:r>
              <w:rPr>
                <w:rFonts w:eastAsia="宋体;汉仪书宋二KW" w:cs="宋体;汉仪书宋二KW" w:ascii="宋体;汉仪书宋二KW" w:hAnsi="宋体;汉仪书宋二KW"/>
                <w:b/>
                <w:bCs/>
                <w:sz w:val="21"/>
                <w:szCs w:val="21"/>
              </w:rPr>
              <w:t>%</w:t>
            </w:r>
            <w:r>
              <w:rPr>
                <w:rFonts w:ascii="宋体;汉仪书宋二KW" w:hAnsi="宋体;汉仪书宋二KW" w:cs="宋体;汉仪书宋二KW" w:eastAsia="宋体;汉仪书宋二KW"/>
                <w:b/>
                <w:bCs/>
                <w:sz w:val="21"/>
                <w:szCs w:val="21"/>
              </w:rPr>
              <w:t>）</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内蒙古准格尔旗</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12000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供水、污水处理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36.67</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北京市西城区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7000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灌溉服务</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浙江省杭州市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sz w:val="21"/>
                <w:szCs w:val="21"/>
              </w:rPr>
              <w:t>56082.49</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供水、污水处理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sz w:val="21"/>
                <w:szCs w:val="21"/>
              </w:rPr>
              <w:t>32.54</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上海市浦东区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7000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工程建设</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山东省济南市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60000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供水、污水处理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61</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淮安自来水有限公司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江苏省淮安市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14550.83</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自来水生产供应</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80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荣成市水务集团有限公司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山东省荣成市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12880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供水、污水处理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58.23</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青岛引黄济青水务集团有限公司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山东省青岛市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25521</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自来水生产供应</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62.45</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溧阳水务集团有限公司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江苏省溧阳市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26000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供水、污水处理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江苏省南京市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46000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供水、污水处理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河北省邢台市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5300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自然科学研究及实验发展</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河北省邯郸市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自然科学研究及实验发展</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齐齐哈尔水务集团有限公司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黑龙江省齐齐哈尔市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17699.64</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自来水生产供应</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68.97</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上海环保（集团）有限公司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上海市杨浦区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46546.6</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污水及垃圾处理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葫芦岛中水水务有限公司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辽宁省葫芦岛市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5000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水务一体化</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湖南水务发展有限公司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湖南省长沙市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30000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水务一体化</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钱江硅谷控股有限责任公司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北京市西城区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投资</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北京市丰台区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20000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水处理厂及设施运 营</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盐城高新水务有限公司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江苏省盐城市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7010.01</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污水处理</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75</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湖北水务投资有限公司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湖北省宜昌市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40000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水务一体化</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山东中武水务有限公司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山东省德州市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6400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自来水生产供应</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70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中水昂为（北京）水务有限公司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北京市门头沟区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10000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ascii="宋体;汉仪书宋二KW" w:hAnsi="宋体;汉仪书宋二KW" w:cs="宋体;汉仪书宋二KW" w:eastAsia="宋体;汉仪书宋二KW"/>
                <w:color w:val="000000"/>
                <w:kern w:val="0"/>
                <w:sz w:val="21"/>
                <w:szCs w:val="21"/>
                <w:lang w:bidi="ar"/>
              </w:rPr>
              <w:t>灌溉服务</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rPr>
            </w:pPr>
            <w:r>
              <w:rPr>
                <w:rFonts w:eastAsia="宋体;汉仪书宋二KW" w:cs="宋体;汉仪书宋二KW" w:ascii="宋体;汉仪书宋二KW" w:hAnsi="宋体;汉仪书宋二KW"/>
                <w:color w:val="000000"/>
                <w:kern w:val="0"/>
                <w:sz w:val="21"/>
                <w:szCs w:val="21"/>
                <w:lang w:bidi="ar"/>
              </w:rPr>
              <w:t>51</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内蒙古润川水务有限公司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内蒙古自治区乌兰察布市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17500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水务一体化</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100</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中水禹投水网（北京）科技有限公司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北京市门头沟区</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5000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水的生产和供应</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65</w:t>
            </w:r>
          </w:p>
        </w:tc>
      </w:tr>
      <w:tr>
        <w:trPr>
          <w:trHeight w:val="397" w:hRule="atLeast"/>
        </w:trPr>
        <w:tc>
          <w:tcPr>
            <w:tcW w:w="33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sz w:val="21"/>
                <w:szCs w:val="21"/>
              </w:rPr>
              <w:t>沈阳锦北水务有限公司</w:t>
            </w:r>
          </w:p>
        </w:tc>
        <w:tc>
          <w:tcPr>
            <w:tcW w:w="214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sz w:val="21"/>
                <w:szCs w:val="21"/>
              </w:rPr>
              <w:t>辽宁省沈阳市</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sz w:val="21"/>
                <w:szCs w:val="21"/>
              </w:rPr>
              <w:t>11500</w:t>
            </w:r>
          </w:p>
        </w:tc>
        <w:tc>
          <w:tcPr>
            <w:tcW w:w="20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sz w:val="21"/>
                <w:szCs w:val="21"/>
              </w:rPr>
              <w:t>自来水生产供应</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sz w:val="21"/>
                <w:szCs w:val="21"/>
              </w:rPr>
              <w:t>100</w:t>
            </w:r>
          </w:p>
        </w:tc>
      </w:tr>
    </w:tbl>
    <w:p>
      <w:pPr>
        <w:pStyle w:val="Normal"/>
        <w:numPr>
          <w:ilvl w:val="0"/>
          <w:numId w:val="0"/>
        </w:numPr>
        <w:spacing w:lineRule="exact" w:line="480"/>
        <w:ind w:hanging="0" w:left="0"/>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根据外部评级报告，截至</w:t>
      </w:r>
      <w:r>
        <w:rPr>
          <w:rFonts w:eastAsia="宋体;汉仪书宋二KW" w:cs="宋体;汉仪书宋二KW" w:ascii="宋体;汉仪书宋二KW" w:hAnsi="宋体;汉仪书宋二KW"/>
          <w:szCs w:val="21"/>
          <w:lang w:val="en-US" w:eastAsia="zh-CN"/>
        </w:rPr>
        <w:t>2024</w:t>
      </w:r>
      <w:r>
        <w:rPr>
          <w:rFonts w:ascii="宋体;汉仪书宋二KW" w:hAnsi="宋体;汉仪书宋二KW" w:cs="宋体;汉仪书宋二KW" w:eastAsia="宋体;汉仪书宋二KW"/>
          <w:szCs w:val="21"/>
          <w:lang w:val="en-US" w:eastAsia="zh-CN"/>
        </w:rPr>
        <w:t>年末，申请人主要子公司财务数据如下：</w:t>
      </w:r>
    </w:p>
    <w:p>
      <w:pPr>
        <w:pStyle w:val="Normal"/>
        <w:numPr>
          <w:ilvl w:val="0"/>
          <w:numId w:val="0"/>
        </w:numPr>
        <w:spacing w:lineRule="exact" w:line="480"/>
        <w:ind w:hanging="0" w:left="0"/>
        <w:jc w:val="right"/>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单位：亿元</w:t>
      </w:r>
    </w:p>
    <w:tbl>
      <w:tblPr>
        <w:tblW w:w="4950" w:type="pct"/>
        <w:jc w:val="left"/>
        <w:tblInd w:w="0" w:type="dxa"/>
        <w:tblLayout w:type="fixed"/>
        <w:tblCellMar>
          <w:top w:w="0" w:type="dxa"/>
          <w:left w:w="108" w:type="dxa"/>
          <w:bottom w:w="0" w:type="dxa"/>
          <w:right w:w="108" w:type="dxa"/>
        </w:tblCellMar>
      </w:tblPr>
      <w:tblGrid>
        <w:gridCol w:w="3045"/>
        <w:gridCol w:w="1222"/>
        <w:gridCol w:w="915"/>
        <w:gridCol w:w="916"/>
        <w:gridCol w:w="1224"/>
        <w:gridCol w:w="900"/>
      </w:tblGrid>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全称</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简称</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总资产</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净资产</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营业总收入</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净利润</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r/>
          </w:p>
        </w:tc>
        <w:tc>
          <w:tcPr>
            <w:tcW w:w="1222" w:type="dxa"/>
            <w:tcBorders>
              <w:top w:val="single" w:sz="4" w:space="0" w:color="000000"/>
              <w:left w:val="single" w:sz="4" w:space="0" w:color="000000"/>
              <w:bottom w:val="single" w:sz="4" w:space="0" w:color="000000"/>
              <w:right w:val="single" w:sz="4" w:space="0" w:color="000000"/>
            </w:tcBorders>
            <w:vAlign w:val="center"/>
          </w:tcPr>
          <w:p>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76.55</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37.84</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23.22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2.86</w:t>
            </w:r>
          </w:p>
        </w:tc>
      </w:tr>
      <w:tr>
        <w:trPr>
          <w:trHeight w:val="286" w:hRule="atLeast"/>
        </w:trPr>
        <w:tc>
          <w:tcPr>
            <w:tcW w:w="3045" w:type="dxa"/>
            <w:tcBorders>
              <w:top w:val="single" w:sz="4" w:space="0" w:color="000000"/>
              <w:left w:val="single" w:sz="4" w:space="0" w:color="000000"/>
              <w:bottom w:val="single" w:sz="4" w:space="0" w:color="000000"/>
              <w:right w:val="single" w:sz="4" w:space="0" w:color="000000"/>
            </w:tcBorders>
            <w:vAlign w:val="center"/>
          </w:tcPr>
          <w:p>
            <w:r/>
          </w:p>
        </w:tc>
        <w:tc>
          <w:tcPr>
            <w:tcW w:w="1222" w:type="dxa"/>
            <w:tcBorders>
              <w:top w:val="single" w:sz="4" w:space="0" w:color="000000"/>
              <w:left w:val="single" w:sz="4" w:space="0" w:color="000000"/>
              <w:bottom w:val="single" w:sz="4" w:space="0" w:color="000000"/>
              <w:right w:val="single" w:sz="4" w:space="0" w:color="000000"/>
            </w:tcBorders>
            <w:vAlign w:val="center"/>
          </w:tcPr>
          <w:p>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57.57</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14.68</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12.54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0.26</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r/>
          </w:p>
        </w:tc>
        <w:tc>
          <w:tcPr>
            <w:tcW w:w="1222" w:type="dxa"/>
            <w:tcBorders>
              <w:top w:val="single" w:sz="4" w:space="0" w:color="000000"/>
              <w:left w:val="single" w:sz="4" w:space="0" w:color="000000"/>
              <w:bottom w:val="single" w:sz="4" w:space="0" w:color="000000"/>
              <w:right w:val="single" w:sz="4" w:space="0" w:color="000000"/>
            </w:tcBorders>
            <w:vAlign w:val="center"/>
          </w:tcPr>
          <w:p>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31.51</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7.78</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8.98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0.36</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淮安自来水有限公司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23.87</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6.63</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6.29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1.10</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上海环保（集团）有限公司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上海环保</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20.37</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9.45</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4.29</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0.76</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青岛引黄济青水务集团有限公司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青岛水务</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16.24</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0.57</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4.97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0.27</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溧阳水务集团有限公司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溧阳水务</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13.91</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4.69</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0.115</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齐齐哈尔水务集团有限公司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齐水集团</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10.17</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0.75</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-0.17</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荣成市水务集团有限公司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荣成水务</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9.51</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3.13</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2.41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0.23</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r/>
          </w:p>
        </w:tc>
        <w:tc>
          <w:tcPr>
            <w:tcW w:w="1222" w:type="dxa"/>
            <w:tcBorders>
              <w:top w:val="single" w:sz="4" w:space="0" w:color="000000"/>
              <w:left w:val="single" w:sz="4" w:space="0" w:color="000000"/>
              <w:bottom w:val="single" w:sz="4" w:space="0" w:color="000000"/>
              <w:right w:val="single" w:sz="4" w:space="0" w:color="000000"/>
            </w:tcBorders>
            <w:vAlign w:val="center"/>
          </w:tcPr>
          <w:p>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8.53</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2.26</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4.55</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0.45</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r/>
          </w:p>
        </w:tc>
        <w:tc>
          <w:tcPr>
            <w:tcW w:w="1222" w:type="dxa"/>
            <w:tcBorders>
              <w:top w:val="single" w:sz="4" w:space="0" w:color="000000"/>
              <w:left w:val="single" w:sz="4" w:space="0" w:color="000000"/>
              <w:bottom w:val="single" w:sz="4" w:space="0" w:color="000000"/>
              <w:right w:val="single" w:sz="4" w:space="0" w:color="000000"/>
            </w:tcBorders>
            <w:vAlign w:val="center"/>
          </w:tcPr>
          <w:p>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8.27</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1.26</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6.94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0.33</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内蒙水务</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7.32</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3.79</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2.66</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0.49</w:t>
            </w:r>
          </w:p>
        </w:tc>
      </w:tr>
      <w:tr>
        <w:trPr>
          <w:trHeight w:val="227"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湖南水务发展有限公司</w:t>
            </w:r>
          </w:p>
        </w:tc>
        <w:tc>
          <w:tcPr>
            <w:tcW w:w="122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湖南水务</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5.44</w:t>
            </w:r>
          </w:p>
        </w:tc>
        <w:tc>
          <w:tcPr>
            <w:tcW w:w="9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3.01</w:t>
            </w:r>
          </w:p>
        </w:tc>
        <w:tc>
          <w:tcPr>
            <w:tcW w:w="122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0.03</w:t>
            </w:r>
          </w:p>
        </w:tc>
      </w:tr>
    </w:tbl>
    <w:p>
      <w:pPr>
        <w:pStyle w:val="Normal"/>
        <w:numPr>
          <w:ilvl w:val="0"/>
          <w:numId w:val="0"/>
        </w:numPr>
        <w:spacing w:lineRule="exact" w:line="480"/>
        <w:ind w:firstLine="420" w:left="0" w:right="0"/>
        <w:rPr>
          <w:rFonts w:ascii="宋体;汉仪书宋二KW" w:hAnsi="宋体;汉仪书宋二KW" w:eastAsia="宋体;汉仪书宋二KW" w:cs="宋体;汉仪书宋二KW"/>
          <w:szCs w:val="21"/>
          <w:highlight w:val="none"/>
          <w:lang w:val="en-US" w:eastAsia="zh-CN"/>
        </w:rPr>
      </w:pPr>
    </w:p>
    <w:p>
      <w:pPr>
        <w:pStyle w:val="Normal"/>
        <w:numPr>
          <w:ilvl w:val="0"/>
          <w:numId w:val="0"/>
        </w:numPr>
        <w:spacing w:lineRule="exact" w:line="480"/>
        <w:ind w:firstLine="420" w:left="0" w:right="0"/>
        <w:rPr>
          <w:rFonts w:ascii="宋体;汉仪书宋二KW" w:hAnsi="宋体;汉仪书宋二KW" w:eastAsia="宋体;汉仪书宋二KW" w:cs="宋体;汉仪书宋二KW"/>
          <w:szCs w:val="21"/>
          <w:highlight w:val="none"/>
          <w:lang w:val="en-US" w:eastAsia="zh-CN"/>
        </w:rPr>
      </w:pPr>
    </w:p>
    <w:tbl>
      <w:tblPr>
        <w:tblW w:w="7079" w:type="dxa"/>
        <w:jc w:val="center"/>
        <w:tblInd w:w="0" w:type="dxa"/>
        <w:tblLayout w:type="fixed"/>
        <w:tblCellMar>
          <w:top w:w="0" w:type="dxa"/>
          <w:left w:w="108" w:type="dxa"/>
          <w:bottom w:w="0" w:type="dxa"/>
          <w:right w:w="108" w:type="dxa"/>
        </w:tblCellMar>
      </w:tblPr>
      <w:tblGrid>
        <w:gridCol w:w="2189"/>
        <w:gridCol w:w="1245"/>
        <w:gridCol w:w="1245"/>
        <w:gridCol w:w="1245"/>
        <w:gridCol w:w="1155"/>
      </w:tblGrid>
      <w:tr>
        <w:trPr>
          <w:trHeight w:val="287" w:hRule="atLeast"/>
        </w:trPr>
        <w:tc>
          <w:tcPr>
            <w:tcW w:w="21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项目（单位：亿元）</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总资产</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总负债</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收入</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净利润</w:t>
            </w:r>
          </w:p>
        </w:tc>
      </w:tr>
      <w:tr>
        <w:trPr>
          <w:trHeight w:val="285" w:hRule="atLeast"/>
        </w:trPr>
        <w:tc>
          <w:tcPr>
            <w:tcW w:w="2189" w:type="dxa"/>
            <w:tcBorders>
              <w:top w:val="single" w:sz="4" w:space="0" w:color="000000"/>
              <w:left w:val="single" w:sz="4" w:space="0" w:color="000000"/>
              <w:bottom w:val="single" w:sz="4" w:space="0" w:color="000000"/>
              <w:right w:val="single" w:sz="4" w:space="0" w:color="000000"/>
            </w:tcBorders>
            <w:vAlign w:val="center"/>
          </w:tcPr>
          <w:p>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lang w:val="en-US"/>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103.10</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lang w:val="en-US"/>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65.26</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23.22 </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2.86 </w:t>
            </w:r>
          </w:p>
        </w:tc>
      </w:tr>
      <w:tr>
        <w:trPr>
          <w:trHeight w:val="285" w:hRule="atLeast"/>
        </w:trPr>
        <w:tc>
          <w:tcPr>
            <w:tcW w:w="2189" w:type="dxa"/>
            <w:tcBorders>
              <w:top w:val="single" w:sz="4" w:space="0" w:color="000000"/>
              <w:left w:val="single" w:sz="4" w:space="0" w:color="000000"/>
              <w:bottom w:val="single" w:sz="4" w:space="0" w:color="000000"/>
              <w:right w:val="single" w:sz="4" w:space="0" w:color="000000"/>
            </w:tcBorders>
            <w:vAlign w:val="center"/>
          </w:tcPr>
          <w:p>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320.22 </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227.57 </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80.33 </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4.79 </w:t>
            </w:r>
          </w:p>
        </w:tc>
      </w:tr>
      <w:tr>
        <w:trPr>
          <w:trHeight w:val="285" w:hRule="atLeast"/>
        </w:trPr>
        <w:tc>
          <w:tcPr>
            <w:tcW w:w="218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占比</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32%</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29%</w:t>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29%</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60%</w:t>
            </w:r>
          </w:p>
        </w:tc>
      </w:tr>
    </w:tbl>
    <w:p>
      <w:pPr>
        <w:pStyle w:val="Normal"/>
        <w:spacing w:lineRule="exact" w:line="480"/>
        <w:ind w:firstLine="471" w:right="0"/>
        <w:rPr>
          <w:rFonts w:ascii="楷体;汉仪楷体KW" w:hAnsi="楷体;汉仪楷体KW" w:eastAsia="楷体;汉仪楷体KW" w:cs="楷体;汉仪楷体KW"/>
          <w:b/>
          <w:bCs/>
          <w:sz w:val="24"/>
          <w:szCs w:val="24"/>
          <w:highlight w:val="none"/>
        </w:rPr>
      </w:pPr>
      <w:r>
        <w:rPr>
          <w:rFonts w:ascii="楷体;汉仪楷体KW" w:hAnsi="楷体;汉仪楷体KW" w:cs="楷体;汉仪楷体KW" w:eastAsia="楷体;汉仪楷体KW"/>
          <w:b/>
          <w:bCs/>
          <w:sz w:val="24"/>
          <w:szCs w:val="24"/>
        </w:rPr>
        <w:t>（三）借款人经营情况（仅适用于固定资产贷款，对于项目融资可</w:t>
      </w:r>
      <w:r>
        <w:rPr>
          <w:rFonts w:ascii="楷体;汉仪楷体KW" w:hAnsi="楷体;汉仪楷体KW" w:cs="楷体;汉仪楷体KW" w:eastAsia="楷体;汉仪楷体KW"/>
          <w:b/>
          <w:bCs/>
          <w:sz w:val="24"/>
          <w:szCs w:val="24"/>
          <w:lang w:eastAsia="zh-CN"/>
        </w:rPr>
        <w:t>视情况简化</w:t>
      </w:r>
      <w:r>
        <w:rPr>
          <w:rFonts w:ascii="楷体;汉仪楷体KW" w:hAnsi="楷体;汉仪楷体KW" w:cs="楷体;汉仪楷体KW" w:eastAsia="楷体;汉仪楷体KW"/>
          <w:b/>
          <w:bCs/>
          <w:sz w:val="24"/>
          <w:szCs w:val="24"/>
        </w:rPr>
        <w:t>）</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cs="宋体;汉仪书宋二KW"/>
          <w:szCs w:val="21"/>
          <w:highlight w:val="none"/>
        </w:rPr>
      </w:pPr>
      <w:r>
        <w:rPr>
          <w:rFonts w:cs="宋体;汉仪书宋二KW" w:ascii="宋体;汉仪书宋二KW" w:hAnsi="宋体;汉仪书宋二KW"/>
          <w:szCs w:val="21"/>
        </w:rPr>
        <w:t>1</w:t>
      </w:r>
      <w:r>
        <w:rPr>
          <w:rFonts w:ascii="宋体;汉仪书宋二KW" w:hAnsi="宋体;汉仪书宋二KW" w:cs="宋体;汉仪书宋二KW"/>
          <w:szCs w:val="21"/>
        </w:rPr>
        <w:t>、主营业务收入</w:t>
      </w:r>
    </w:p>
    <w:p>
      <w:pPr>
        <w:pStyle w:val="Normal"/>
        <w:spacing w:lineRule="exact" w:line="480"/>
        <w:ind w:firstLine="420" w:right="0"/>
        <w:rPr>
          <w:rFonts w:ascii="宋体;汉仪书宋二KW" w:hAnsi="宋体;汉仪书宋二KW" w:cs="宋体;汉仪书宋二KW"/>
          <w:szCs w:val="21"/>
          <w:highlight w:val="none"/>
        </w:rPr>
      </w:pPr>
      <w:r>
        <w:rPr>
          <w:rFonts w:ascii="宋体;汉仪书宋二KW" w:hAnsi="宋体;汉仪书宋二KW" w:cs="宋体;汉仪书宋二KW"/>
          <w:szCs w:val="21"/>
        </w:rPr>
        <w:t>（</w:t>
      </w:r>
      <w:r>
        <w:rPr>
          <w:rFonts w:cs="宋体;汉仪书宋二KW" w:ascii="宋体;汉仪书宋二KW" w:hAnsi="宋体;汉仪书宋二KW"/>
          <w:szCs w:val="21"/>
        </w:rPr>
        <w:t>1</w:t>
      </w:r>
      <w:r>
        <w:rPr>
          <w:rFonts w:ascii="宋体;汉仪书宋二KW" w:hAnsi="宋体;汉仪书宋二KW" w:cs="宋体;汉仪书宋二KW"/>
          <w:szCs w:val="21"/>
        </w:rPr>
        <w:t>）说明申请人业务板块构成，判断核心主业，并填写下表（单位）：</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cs="宋体;汉仪书宋二KW"/>
          <w:kern w:val="2"/>
          <w:szCs w:val="21"/>
        </w:rPr>
      </w:pPr>
      <w:r>
        <w:rPr>
          <w:rFonts w:ascii="宋体" w:hAnsi="宋体" w:eastAsia="宋体"/>
          <w:sz w:val="21"/>
        </w:rPr>
        <w:t>邺城供水集团有限公司主营业务为城镇供水服务，业务涵盖供水项目投资、建设、运营和管理。公司在河北省及周边区域拥有多处供水项目运营经验，具有丰富的供水行业从业背景。</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right"/>
        <w:textAlignment w:val="auto"/>
        <w:rPr>
          <w:rFonts w:ascii="宋体;汉仪书宋二KW" w:hAnsi="宋体;汉仪书宋二KW" w:cs="宋体;汉仪书宋二KW"/>
          <w:kern w:val="2"/>
          <w:szCs w:val="21"/>
        </w:rPr>
      </w:pPr>
      <w:r>
        <w:rPr>
          <w:rFonts w:ascii="宋体;汉仪书宋二KW" w:hAnsi="宋体;汉仪书宋二KW" w:cs="宋体;汉仪书宋二KW"/>
          <w:kern w:val="2"/>
          <w:szCs w:val="21"/>
        </w:rPr>
        <w:t>单位：亿元</w:t>
      </w:r>
    </w:p>
    <w:tbl>
      <w:tblPr>
        <w:tblW w:w="10575" w:type="dxa"/>
        <w:jc w:val="center"/>
        <w:tblInd w:w="0" w:type="dxa"/>
        <w:tblLayout w:type="fixed"/>
        <w:tblCellMar>
          <w:top w:w="0" w:type="dxa"/>
          <w:left w:w="108" w:type="dxa"/>
          <w:bottom w:w="0" w:type="dxa"/>
          <w:right w:w="108" w:type="dxa"/>
        </w:tblCellMar>
      </w:tblPr>
      <w:tblGrid>
        <w:gridCol w:w="2055"/>
        <w:gridCol w:w="680"/>
        <w:gridCol w:w="680"/>
        <w:gridCol w:w="770"/>
        <w:gridCol w:w="680"/>
        <w:gridCol w:w="680"/>
        <w:gridCol w:w="770"/>
        <w:gridCol w:w="680"/>
        <w:gridCol w:w="680"/>
        <w:gridCol w:w="770"/>
        <w:gridCol w:w="680"/>
        <w:gridCol w:w="680"/>
        <w:gridCol w:w="770"/>
      </w:tblGrid>
      <w:tr>
        <w:trPr>
          <w:trHeight w:val="285" w:hRule="atLeast"/>
        </w:trPr>
        <w:tc>
          <w:tcPr>
            <w:tcW w:w="205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项目</w:t>
            </w:r>
          </w:p>
        </w:tc>
        <w:tc>
          <w:tcPr>
            <w:tcW w:w="2130"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2022</w:t>
            </w: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年度</w:t>
            </w:r>
          </w:p>
        </w:tc>
        <w:tc>
          <w:tcPr>
            <w:tcW w:w="2130"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2023</w:t>
            </w: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年度</w:t>
            </w:r>
          </w:p>
        </w:tc>
        <w:tc>
          <w:tcPr>
            <w:tcW w:w="2130"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202</w:t>
            </w:r>
            <w:r>
              <w:rPr>
                <w:rFonts w:cs="宋体;汉仪书宋二KW" w:ascii="宋体;汉仪书宋二KW" w:hAnsi="宋体;汉仪书宋二KW"/>
                <w:b/>
                <w:bCs/>
                <w:i w:val="false"/>
                <w:iCs w:val="false"/>
                <w:color w:val="000000"/>
                <w:kern w:val="0"/>
                <w:sz w:val="18"/>
                <w:szCs w:val="18"/>
                <w:u w:val="none"/>
                <w:lang w:val="en-US" w:eastAsia="zh-CN" w:bidi="ar"/>
              </w:rPr>
              <w:t>4</w:t>
            </w: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年度</w:t>
            </w:r>
          </w:p>
        </w:tc>
        <w:tc>
          <w:tcPr>
            <w:tcW w:w="2130"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202</w:t>
            </w:r>
            <w:r>
              <w:rPr>
                <w:rFonts w:cs="宋体;汉仪书宋二KW" w:ascii="宋体;汉仪书宋二KW" w:hAnsi="宋体;汉仪书宋二KW"/>
                <w:b/>
                <w:bCs/>
                <w:i w:val="false"/>
                <w:iCs w:val="false"/>
                <w:color w:val="000000"/>
                <w:kern w:val="0"/>
                <w:sz w:val="18"/>
                <w:szCs w:val="18"/>
                <w:u w:val="none"/>
                <w:lang w:val="en-US" w:eastAsia="zh-CN" w:bidi="ar"/>
              </w:rPr>
              <w:t>5</w:t>
            </w: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年</w:t>
            </w: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w:t>
            </w:r>
            <w:r>
              <w:rPr>
                <w:rFonts w:cs="宋体;汉仪书宋二KW" w:ascii="宋体;汉仪书宋二KW" w:hAnsi="宋体;汉仪书宋二KW"/>
                <w:b/>
                <w:bCs/>
                <w:i w:val="false"/>
                <w:iCs w:val="false"/>
                <w:color w:val="000000"/>
                <w:kern w:val="0"/>
                <w:sz w:val="18"/>
                <w:szCs w:val="18"/>
                <w:u w:val="none"/>
                <w:lang w:val="en-US" w:eastAsia="zh-CN" w:bidi="ar"/>
              </w:rPr>
              <w:t>3</w:t>
            </w: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月</w:t>
            </w:r>
          </w:p>
        </w:tc>
      </w:tr>
      <w:tr>
        <w:trPr>
          <w:trHeight w:val="285" w:hRule="atLeast"/>
        </w:trPr>
        <w:tc>
          <w:tcPr>
            <w:tcW w:w="205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40"/>
              <w:jc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sz w:val="18"/>
                <w:szCs w:val="18"/>
                <w:u w:val="none"/>
              </w:rPr>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金额</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占比</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毛利率</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金额</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占比</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毛利率</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金额</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占比</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毛利率</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金额</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占比</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毛利率</w:t>
            </w:r>
          </w:p>
        </w:tc>
      </w:tr>
      <w:tr>
        <w:trPr>
          <w:trHeight w:val="285" w:hRule="atLeast"/>
        </w:trPr>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主营业务收入</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60.67</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93.17</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29.85</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67.98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92.46</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27.52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75.32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93.77</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29.18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15.98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90.97</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28.08</w:t>
            </w:r>
          </w:p>
        </w:tc>
      </w:tr>
      <w:tr>
        <w:trPr>
          <w:trHeight w:val="285" w:hRule="atLeast"/>
        </w:trPr>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ascii="宋体;汉仪书宋二KW" w:hAnsi="宋体;汉仪书宋二KW" w:cs="宋体;汉仪书宋二KW" w:eastAsia="宋体;汉仪书宋二KW"/>
                <w:i w:val="false"/>
                <w:iCs w:val="false"/>
                <w:color w:val="000000"/>
                <w:kern w:val="0"/>
                <w:sz w:val="18"/>
                <w:szCs w:val="18"/>
                <w:u w:val="none"/>
                <w:lang w:val="en-US" w:eastAsia="zh-CN" w:bidi="ar"/>
              </w:rPr>
              <w:t>其中：供水及污水处理</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41.2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63.27</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29.22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44.18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60.09</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26.24</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51.14</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63.66</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28.87</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12.43</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70.76</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27.69</w:t>
            </w:r>
          </w:p>
        </w:tc>
      </w:tr>
      <w:tr>
        <w:trPr>
          <w:trHeight w:val="285" w:hRule="atLeast"/>
        </w:trPr>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ascii="宋体;汉仪书宋二KW" w:hAnsi="宋体;汉仪书宋二KW" w:cs="宋体;汉仪书宋二KW" w:eastAsia="宋体;汉仪书宋二KW"/>
                <w:i w:val="false"/>
                <w:iCs w:val="false"/>
                <w:color w:val="000000"/>
                <w:kern w:val="0"/>
                <w:sz w:val="18"/>
                <w:szCs w:val="18"/>
                <w:u w:val="none"/>
                <w:lang w:val="en-US" w:eastAsia="zh-CN" w:bidi="ar"/>
              </w:rPr>
              <w:t>建筑业务类</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18.78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28.84</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31.79</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23.15</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31.48</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30.30</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23.33</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29.04</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29.92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3.39</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19.28</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30.02</w:t>
            </w:r>
          </w:p>
        </w:tc>
      </w:tr>
      <w:tr>
        <w:trPr>
          <w:trHeight w:val="285" w:hRule="atLeast"/>
        </w:trPr>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ascii="宋体;汉仪书宋二KW" w:hAnsi="宋体;汉仪书宋二KW" w:cs="宋体;汉仪书宋二KW" w:eastAsia="宋体;汉仪书宋二KW"/>
                <w:i w:val="false"/>
                <w:iCs w:val="false"/>
                <w:color w:val="000000"/>
                <w:kern w:val="0"/>
                <w:sz w:val="18"/>
                <w:szCs w:val="18"/>
                <w:u w:val="none"/>
                <w:lang w:val="en-US" w:eastAsia="zh-CN" w:bidi="ar"/>
              </w:rPr>
              <w:t>其他</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0.69</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1.06</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14.49</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0.65</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0.88</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15.27</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0.86</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1.07</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27.73</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0.16</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0.93</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17.55</w:t>
            </w:r>
          </w:p>
        </w:tc>
      </w:tr>
      <w:tr>
        <w:trPr>
          <w:trHeight w:val="285" w:hRule="atLeast"/>
        </w:trPr>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其他业务收入</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4.45</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6.83</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37.98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5.55</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7.54</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i w:val="false"/>
                <w:i w:val="false"/>
                <w:iCs w:val="false"/>
                <w:color w:val="000000"/>
                <w:sz w:val="18"/>
                <w:szCs w:val="18"/>
                <w:u w:val="none"/>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42.31</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5.01</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6.23</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46.85</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1.59</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9.03</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i w:val="false"/>
                <w:iCs w:val="false"/>
                <w:color w:val="000000"/>
                <w:kern w:val="0"/>
                <w:sz w:val="18"/>
                <w:szCs w:val="18"/>
                <w:u w:val="none"/>
                <w:lang w:val="en-US" w:eastAsia="zh-CN" w:bidi="ar"/>
              </w:rPr>
              <w:t>56.28</w:t>
            </w:r>
          </w:p>
        </w:tc>
      </w:tr>
      <w:tr>
        <w:trPr>
          <w:trHeight w:val="285" w:hRule="atLeast"/>
        </w:trPr>
        <w:tc>
          <w:tcPr>
            <w:tcW w:w="205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ascii="宋体;汉仪书宋二KW" w:hAnsi="宋体;汉仪书宋二KW" w:cs="宋体;汉仪书宋二KW" w:eastAsia="宋体;汉仪书宋二KW"/>
                <w:b/>
                <w:bCs/>
                <w:i w:val="false"/>
                <w:iCs w:val="false"/>
                <w:color w:val="000000"/>
                <w:kern w:val="0"/>
                <w:sz w:val="18"/>
                <w:szCs w:val="18"/>
                <w:u w:val="none"/>
                <w:lang w:val="en-US" w:eastAsia="zh-CN" w:bidi="ar"/>
              </w:rPr>
              <w:t>营业收入合计</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65.12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100</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30.41</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73.52</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100</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40"/>
              <w:jc w:val="center"/>
              <w:textAlignment w:val="center"/>
              <w:rPr>
                <w:rFonts w:ascii="宋体;汉仪书宋二KW" w:hAnsi="宋体;汉仪书宋二KW" w:eastAsia="宋体;汉仪书宋二KW" w:cs="宋体;汉仪书宋二KW"/>
                <w:b/>
                <w:bCs/>
                <w:i w:val="false"/>
                <w:i w:val="false"/>
                <w:iCs w:val="false"/>
                <w:color w:val="000000"/>
                <w:sz w:val="18"/>
                <w:szCs w:val="18"/>
                <w:u w:val="none"/>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28.64</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80.33</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100</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30.28</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17.57</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100</w:t>
            </w:r>
          </w:p>
        </w:tc>
        <w:tc>
          <w:tcPr>
            <w:tcW w:w="77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kern w:val="0"/>
                <w:sz w:val="18"/>
                <w:szCs w:val="18"/>
                <w:u w:val="none"/>
                <w:lang w:val="en-US" w:eastAsia="zh-CN" w:bidi="ar"/>
              </w:rPr>
            </w:pPr>
            <w:r>
              <w:rPr>
                <w:rFonts w:eastAsia="宋体;汉仪书宋二KW" w:cs="宋体;汉仪书宋二KW" w:ascii="宋体;汉仪书宋二KW" w:hAnsi="宋体;汉仪书宋二KW"/>
                <w:b/>
                <w:bCs/>
                <w:i w:val="false"/>
                <w:iCs w:val="false"/>
                <w:color w:val="000000"/>
                <w:kern w:val="0"/>
                <w:sz w:val="18"/>
                <w:szCs w:val="18"/>
                <w:u w:val="none"/>
                <w:lang w:val="en-US" w:eastAsia="zh-CN" w:bidi="ar"/>
              </w:rPr>
              <w:t>30.62</w:t>
            </w:r>
          </w:p>
        </w:tc>
      </w:tr>
    </w:tbl>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cs="宋体;汉仪书宋二KW"/>
          <w:szCs w:val="21"/>
          <w:highlight w:val="yellow"/>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r>
        <w:rPr>
          <w:rFonts w:eastAsia="宋体;汉仪书宋二KW" w:cs="宋体;汉仪书宋二KW" w:ascii="宋体;汉仪书宋二KW" w:hAnsi="宋体;汉仪书宋二KW"/>
          <w:szCs w:val="21"/>
          <w:lang w:val="en-US" w:eastAsia="zh-CN"/>
        </w:rPr>
        <w:t>2</w:t>
      </w:r>
      <w:r>
        <w:rPr>
          <w:rFonts w:ascii="宋体;汉仪书宋二KW" w:hAnsi="宋体;汉仪书宋二KW" w:cs="宋体;汉仪书宋二KW" w:eastAsia="宋体;汉仪书宋二KW"/>
          <w:szCs w:val="21"/>
          <w:lang w:val="en-US" w:eastAsia="zh-CN"/>
        </w:rPr>
        <w:t>、主营业务情况说明</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w:t>
      </w:r>
      <w:r>
        <w:rPr>
          <w:rFonts w:eastAsia="宋体;汉仪书宋二KW" w:cs="宋体;汉仪书宋二KW" w:ascii="宋体;汉仪书宋二KW" w:hAnsi="宋体;汉仪书宋二KW"/>
          <w:szCs w:val="21"/>
          <w:lang w:val="en-US" w:eastAsia="zh-CN"/>
        </w:rPr>
        <w:t>1</w:t>
      </w:r>
      <w:r>
        <w:rPr>
          <w:rFonts w:ascii="宋体;汉仪书宋二KW" w:hAnsi="宋体;汉仪书宋二KW" w:cs="宋体;汉仪书宋二KW" w:eastAsia="宋体;汉仪书宋二KW"/>
          <w:szCs w:val="21"/>
          <w:lang w:val="en-US" w:eastAsia="zh-CN"/>
        </w:rPr>
        <w:t>）供水及污水处理板块</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tbl>
      <w:tblPr>
        <w:tblW w:w="4950" w:type="pct"/>
        <w:jc w:val="left"/>
        <w:tblInd w:w="0" w:type="dxa"/>
        <w:tblLayout w:type="fixed"/>
        <w:tblCellMar>
          <w:top w:w="0" w:type="dxa"/>
          <w:left w:w="108" w:type="dxa"/>
          <w:bottom w:w="0" w:type="dxa"/>
          <w:right w:w="108" w:type="dxa"/>
        </w:tblCellMar>
      </w:tblPr>
      <w:tblGrid>
        <w:gridCol w:w="3033"/>
        <w:gridCol w:w="1120"/>
        <w:gridCol w:w="1119"/>
        <w:gridCol w:w="1120"/>
        <w:gridCol w:w="1830"/>
      </w:tblGrid>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指标</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2022</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2023</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2024</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2025</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1-3</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月</w:t>
            </w:r>
          </w:p>
        </w:tc>
      </w:tr>
      <w:tr>
        <w:trPr>
          <w:trHeight w:val="285" w:hRule="atLeast"/>
        </w:trPr>
        <w:tc>
          <w:tcPr>
            <w:tcW w:w="8222" w:type="dxa"/>
            <w:gridSpan w:val="5"/>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自来水业务</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售水总量（万立方米）</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107,036</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111,745</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114,677</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29,556</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居民用水占比</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34.86%</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35.11%</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34.00%</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34.75%</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非居民用水占比</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65.14%</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64.89%</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66.00%</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65.25%</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售水均价（元</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立方米）</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2.15</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2.12</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2.27</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2.33</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产销差率（</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12.29</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12.18</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12.18</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13.08</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销售收入（亿元）</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23.06</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23.67</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25.13</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6.49</w:t>
            </w:r>
          </w:p>
        </w:tc>
      </w:tr>
      <w:tr>
        <w:trPr>
          <w:trHeight w:val="285" w:hRule="atLeast"/>
        </w:trPr>
        <w:tc>
          <w:tcPr>
            <w:tcW w:w="8222" w:type="dxa"/>
            <w:gridSpan w:val="5"/>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污水处理业务</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实际处理量（亿立方米）</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4.57</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4.75</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5.94</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1.35</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处理均价（元</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立方米）</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2.20</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2.42</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2.79</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2.88</w:t>
            </w:r>
          </w:p>
        </w:tc>
      </w:tr>
      <w:tr>
        <w:trPr>
          <w:trHeight w:val="285" w:hRule="atLeast"/>
        </w:trPr>
        <w:tc>
          <w:tcPr>
            <w:tcW w:w="303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left"/>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收入（亿元）</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10.06</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11.51</w:t>
            </w:r>
          </w:p>
        </w:tc>
        <w:tc>
          <w:tcPr>
            <w:tcW w:w="11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16.57</w:t>
            </w:r>
          </w:p>
        </w:tc>
        <w:tc>
          <w:tcPr>
            <w:tcW w:w="183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3.89</w:t>
            </w:r>
          </w:p>
        </w:tc>
      </w:tr>
    </w:tbl>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①</w:t>
      </w:r>
      <w:r>
        <w:rPr>
          <w:rFonts w:ascii="宋体;汉仪书宋二KW" w:hAnsi="宋体;汉仪书宋二KW" w:cs="宋体;汉仪书宋二KW" w:eastAsia="宋体;汉仪书宋二KW"/>
          <w:szCs w:val="21"/>
          <w:lang w:val="en-US" w:eastAsia="zh-CN"/>
        </w:rPr>
        <w:t>供水业务</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上下游产业链情况：</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p>
      <w:pPr>
        <w:pStyle w:val="6"/>
        <w:rPr>
          <w:rFonts w:ascii="宋体;汉仪书宋二KW" w:hAnsi="宋体;汉仪书宋二KW" w:eastAsia="宋体;汉仪书宋二KW" w:cs="宋体;汉仪书宋二KW"/>
          <w:szCs w:val="21"/>
          <w:highlight w:val="none"/>
          <w:lang w:val="en-US" w:eastAsia="zh-CN"/>
        </w:rPr>
      </w:pPr>
      <w:r>
        <w:rPr>
          <w:rFonts w:eastAsia="宋体;汉仪书宋二KW" w:cs="宋体;汉仪书宋二KW" w:ascii="宋体;汉仪书宋二KW" w:hAnsi="宋体;汉仪书宋二KW"/>
          <w:szCs w:val="21"/>
          <w:lang w:val="en-US" w:eastAsia="zh-CN"/>
        </w:rPr>
      </w:r>
    </w:p>
    <w:tbl>
      <w:tblPr>
        <w:tblW w:w="8410" w:type="dxa"/>
        <w:jc w:val="center"/>
        <w:tblInd w:w="0" w:type="dxa"/>
        <w:tblLayout w:type="fixed"/>
        <w:tblCellMar>
          <w:top w:w="0" w:type="dxa"/>
          <w:left w:w="108" w:type="dxa"/>
          <w:bottom w:w="0" w:type="dxa"/>
          <w:right w:w="108" w:type="dxa"/>
        </w:tblCellMar>
      </w:tblPr>
      <w:tblGrid>
        <w:gridCol w:w="1609"/>
        <w:gridCol w:w="2357"/>
        <w:gridCol w:w="2222"/>
        <w:gridCol w:w="2222"/>
      </w:tblGrid>
      <w:tr>
        <w:trPr>
          <w:tblHeader w:val="true"/>
          <w:trHeight w:val="340" w:hRule="atLeast"/>
          <w:cantSplit w:val="true"/>
        </w:trPr>
        <w:tc>
          <w:tcPr>
            <w:tcW w:w="1609" w:type="dxa"/>
            <w:vMerge w:val="restart"/>
            <w:tcBorders>
              <w:top w:val="single" w:sz="2" w:space="0" w:color="000000"/>
              <w:left w:val="single" w:sz="2" w:space="0" w:color="000000"/>
              <w:bottom w:val="single" w:sz="2" w:space="0" w:color="000000"/>
              <w:right w:val="single" w:sz="2" w:space="0" w:color="000000"/>
            </w:tcBorders>
            <w:shd w:fill="A4A4A4" w:val="clear"/>
            <w:vAlign w:val="center"/>
          </w:tcPr>
          <w:p>
            <w:pPr>
              <w:pStyle w:val="Normal"/>
              <w:widowControl/>
              <w:jc w:val="center"/>
              <w:rPr>
                <w:rFonts w:ascii="宋体;汉仪书宋二KW" w:hAnsi="宋体;汉仪书宋二KW" w:cs="宋体;汉仪书宋二KW"/>
                <w:b/>
                <w:bCs/>
                <w:color w:val="000000"/>
                <w:kern w:val="0"/>
                <w:sz w:val="21"/>
                <w:szCs w:val="21"/>
              </w:rPr>
            </w:pPr>
            <w:r>
              <w:rPr>
                <w:rFonts w:ascii="宋体;汉仪书宋二KW" w:hAnsi="宋体;汉仪书宋二KW" w:cs="宋体;汉仪书宋二KW"/>
                <w:b/>
                <w:bCs/>
                <w:color w:val="000000"/>
                <w:kern w:val="0"/>
                <w:sz w:val="21"/>
                <w:szCs w:val="21"/>
              </w:rPr>
              <w:t>项目</w:t>
            </w:r>
          </w:p>
        </w:tc>
        <w:tc>
          <w:tcPr>
            <w:tcW w:w="6801" w:type="dxa"/>
            <w:gridSpan w:val="3"/>
            <w:tcBorders>
              <w:top w:val="single" w:sz="2" w:space="0" w:color="000000"/>
              <w:left w:val="single" w:sz="2" w:space="0" w:color="000000"/>
              <w:bottom w:val="single" w:sz="2" w:space="0" w:color="000000"/>
              <w:right w:val="single" w:sz="2" w:space="0" w:color="000000"/>
            </w:tcBorders>
            <w:shd w:fill="A4A4A4" w:val="clear"/>
            <w:vAlign w:val="center"/>
          </w:tcPr>
          <w:p>
            <w:pPr>
              <w:pStyle w:val="Normal"/>
              <w:widowControl/>
              <w:jc w:val="center"/>
              <w:rPr>
                <w:rFonts w:ascii="宋体;汉仪书宋二KW" w:hAnsi="宋体;汉仪书宋二KW" w:cs="宋体;汉仪书宋二KW"/>
                <w:b/>
                <w:bCs/>
                <w:color w:val="000000"/>
                <w:kern w:val="0"/>
                <w:sz w:val="21"/>
                <w:szCs w:val="21"/>
              </w:rPr>
            </w:pPr>
            <w:r>
              <w:rPr>
                <w:rFonts w:cs="宋体;汉仪书宋二KW" w:ascii="宋体;汉仪书宋二KW" w:hAnsi="宋体;汉仪书宋二KW"/>
                <w:b/>
                <w:bCs/>
                <w:color w:val="000000"/>
                <w:kern w:val="0"/>
                <w:sz w:val="21"/>
                <w:szCs w:val="21"/>
              </w:rPr>
              <w:t>202</w:t>
            </w:r>
            <w:r>
              <w:rPr>
                <w:rFonts w:cs="宋体;汉仪书宋二KW" w:ascii="宋体;汉仪书宋二KW" w:hAnsi="宋体;汉仪书宋二KW"/>
                <w:b/>
                <w:bCs/>
                <w:color w:val="000000"/>
                <w:kern w:val="0"/>
                <w:sz w:val="21"/>
                <w:szCs w:val="21"/>
                <w:lang w:val="en-US" w:eastAsia="zh-CN"/>
              </w:rPr>
              <w:t>4</w:t>
            </w:r>
            <w:r>
              <w:rPr>
                <w:rFonts w:ascii="宋体;汉仪书宋二KW" w:hAnsi="宋体;汉仪书宋二KW" w:cs="宋体;汉仪书宋二KW"/>
                <w:b/>
                <w:bCs/>
                <w:color w:val="000000"/>
                <w:kern w:val="0"/>
                <w:sz w:val="21"/>
                <w:szCs w:val="21"/>
              </w:rPr>
              <w:t>年（单位：万元）</w:t>
            </w:r>
          </w:p>
        </w:tc>
      </w:tr>
      <w:tr>
        <w:trPr>
          <w:trHeight w:val="340" w:hRule="atLeast"/>
          <w:cantSplit w:val="true"/>
        </w:trPr>
        <w:tc>
          <w:tcPr>
            <w:tcW w:w="1609" w:type="dxa"/>
            <w:vMerge w:val="continue"/>
            <w:tcBorders>
              <w:top w:val="single" w:sz="2" w:space="0" w:color="000000"/>
              <w:left w:val="single" w:sz="2" w:space="0" w:color="000000"/>
              <w:bottom w:val="single" w:sz="2" w:space="0" w:color="000000"/>
              <w:right w:val="single" w:sz="2" w:space="0" w:color="000000"/>
            </w:tcBorders>
            <w:shd w:fill="A4A4A4" w:val="clear"/>
            <w:vAlign w:val="center"/>
          </w:tcPr>
          <w:p>
            <w:pPr>
              <w:pStyle w:val="Normal"/>
              <w:keepNext w:val="true"/>
              <w:keepLines/>
              <w:widowControl/>
              <w:numPr>
                <w:ilvl w:val="0"/>
                <w:numId w:val="0"/>
              </w:numPr>
              <w:snapToGrid w:val="false"/>
              <w:spacing w:lineRule="auto" w:line="576" w:before="340" w:after="330"/>
              <w:jc w:val="left"/>
              <w:outlineLvl w:val="0"/>
              <w:rPr>
                <w:rFonts w:ascii="宋体;汉仪书宋二KW" w:hAnsi="宋体;汉仪书宋二KW" w:cs="宋体;汉仪书宋二KW"/>
                <w:b/>
                <w:bCs/>
                <w:color w:val="000000"/>
                <w:kern w:val="0"/>
                <w:sz w:val="21"/>
                <w:szCs w:val="21"/>
              </w:rPr>
            </w:pPr>
            <w:r>
              <w:rPr>
                <w:rFonts w:cs="宋体;汉仪书宋二KW" w:ascii="宋体;汉仪书宋二KW" w:hAnsi="宋体;汉仪书宋二KW"/>
                <w:b/>
                <w:bCs/>
                <w:color w:val="000000"/>
                <w:kern w:val="0"/>
                <w:sz w:val="21"/>
                <w:szCs w:val="21"/>
              </w:rPr>
            </w:r>
          </w:p>
        </w:tc>
        <w:tc>
          <w:tcPr>
            <w:tcW w:w="2357" w:type="dxa"/>
            <w:tcBorders>
              <w:top w:val="single" w:sz="2" w:space="0" w:color="000000"/>
              <w:left w:val="single" w:sz="2" w:space="0" w:color="000000"/>
              <w:bottom w:val="single" w:sz="2" w:space="0" w:color="000000"/>
              <w:right w:val="single" w:sz="2" w:space="0" w:color="000000"/>
            </w:tcBorders>
            <w:shd w:fill="A4A4A4" w:val="clear"/>
            <w:vAlign w:val="center"/>
          </w:tcPr>
          <w:p>
            <w:pPr>
              <w:pStyle w:val="Normal"/>
              <w:widowControl/>
              <w:jc w:val="center"/>
              <w:rPr>
                <w:rFonts w:ascii="宋体;汉仪书宋二KW" w:hAnsi="宋体;汉仪书宋二KW" w:cs="宋体;汉仪书宋二KW"/>
                <w:b/>
                <w:bCs/>
                <w:color w:val="000000"/>
                <w:kern w:val="0"/>
                <w:sz w:val="21"/>
                <w:szCs w:val="21"/>
              </w:rPr>
            </w:pPr>
            <w:r>
              <w:rPr>
                <w:rFonts w:ascii="宋体;汉仪书宋二KW" w:hAnsi="宋体;汉仪书宋二KW" w:cs="宋体;汉仪书宋二KW"/>
                <w:b/>
                <w:bCs/>
                <w:color w:val="000000"/>
                <w:kern w:val="0"/>
                <w:sz w:val="21"/>
                <w:szCs w:val="21"/>
              </w:rPr>
              <w:t>原值</w:t>
            </w:r>
          </w:p>
        </w:tc>
        <w:tc>
          <w:tcPr>
            <w:tcW w:w="2222" w:type="dxa"/>
            <w:tcBorders>
              <w:top w:val="single" w:sz="2" w:space="0" w:color="000000"/>
              <w:left w:val="single" w:sz="2" w:space="0" w:color="000000"/>
              <w:bottom w:val="single" w:sz="2" w:space="0" w:color="000000"/>
              <w:right w:val="single" w:sz="2" w:space="0" w:color="000000"/>
            </w:tcBorders>
            <w:shd w:fill="A4A4A4" w:val="clear"/>
            <w:vAlign w:val="center"/>
          </w:tcPr>
          <w:p>
            <w:pPr>
              <w:pStyle w:val="Normal"/>
              <w:widowControl/>
              <w:jc w:val="center"/>
              <w:rPr>
                <w:rFonts w:ascii="宋体;汉仪书宋二KW" w:hAnsi="宋体;汉仪书宋二KW" w:cs="宋体;汉仪书宋二KW"/>
                <w:b/>
                <w:bCs/>
                <w:color w:val="000000"/>
                <w:kern w:val="0"/>
                <w:sz w:val="21"/>
                <w:szCs w:val="21"/>
              </w:rPr>
            </w:pPr>
            <w:r>
              <w:rPr>
                <w:rFonts w:ascii="宋体;汉仪书宋二KW" w:hAnsi="宋体;汉仪书宋二KW" w:cs="宋体;汉仪书宋二KW"/>
                <w:b/>
                <w:bCs/>
                <w:color w:val="000000"/>
                <w:kern w:val="0"/>
                <w:sz w:val="21"/>
                <w:szCs w:val="21"/>
              </w:rPr>
              <w:t>累计折旧</w:t>
            </w:r>
          </w:p>
        </w:tc>
        <w:tc>
          <w:tcPr>
            <w:tcW w:w="2222" w:type="dxa"/>
            <w:tcBorders>
              <w:top w:val="single" w:sz="2" w:space="0" w:color="000000"/>
              <w:left w:val="single" w:sz="2" w:space="0" w:color="000000"/>
              <w:bottom w:val="single" w:sz="2" w:space="0" w:color="000000"/>
              <w:right w:val="single" w:sz="2" w:space="0" w:color="000000"/>
            </w:tcBorders>
            <w:shd w:fill="A4A4A4" w:val="clear"/>
            <w:vAlign w:val="center"/>
          </w:tcPr>
          <w:p>
            <w:pPr>
              <w:pStyle w:val="Normal"/>
              <w:widowControl/>
              <w:jc w:val="center"/>
              <w:rPr>
                <w:rFonts w:ascii="宋体;汉仪书宋二KW" w:hAnsi="宋体;汉仪书宋二KW" w:cs="宋体;汉仪书宋二KW"/>
                <w:b/>
                <w:bCs/>
                <w:color w:val="000000"/>
                <w:kern w:val="0"/>
                <w:sz w:val="21"/>
                <w:szCs w:val="21"/>
              </w:rPr>
            </w:pPr>
            <w:r>
              <w:rPr>
                <w:rFonts w:ascii="宋体;汉仪书宋二KW" w:hAnsi="宋体;汉仪书宋二KW" w:cs="宋体;汉仪书宋二KW"/>
                <w:b/>
                <w:bCs/>
                <w:color w:val="000000"/>
                <w:kern w:val="0"/>
                <w:sz w:val="21"/>
                <w:szCs w:val="21"/>
              </w:rPr>
              <w:t>净值</w:t>
            </w:r>
          </w:p>
        </w:tc>
      </w:tr>
      <w:tr>
        <w:trPr>
          <w:trHeight w:val="340" w:hRule="atLeast"/>
        </w:trPr>
        <w:tc>
          <w:tcPr>
            <w:tcW w:w="1609" w:type="dxa"/>
            <w:tcBorders>
              <w:top w:val="single" w:sz="2" w:space="0" w:color="000000"/>
              <w:left w:val="single" w:sz="2" w:space="0" w:color="000000"/>
              <w:bottom w:val="single" w:sz="2" w:space="0" w:color="000000"/>
              <w:right w:val="single" w:sz="2" w:space="0" w:color="000000"/>
            </w:tcBorders>
            <w:vAlign w:val="center"/>
          </w:tcPr>
          <w:p>
            <w:pPr>
              <w:pStyle w:val="Normal"/>
              <w:widowControl/>
              <w:jc w:val="center"/>
              <w:rPr>
                <w:rFonts w:ascii="宋体;汉仪书宋二KW" w:hAnsi="宋体;汉仪书宋二KW" w:cs="宋体;汉仪书宋二KW"/>
                <w:color w:val="000000"/>
                <w:kern w:val="0"/>
                <w:sz w:val="21"/>
                <w:szCs w:val="21"/>
              </w:rPr>
            </w:pPr>
            <w:r>
              <w:rPr>
                <w:rFonts w:ascii="宋体;汉仪书宋二KW" w:hAnsi="宋体;汉仪书宋二KW" w:cs="宋体;汉仪书宋二KW"/>
                <w:color w:val="000000"/>
                <w:kern w:val="0"/>
                <w:sz w:val="21"/>
                <w:szCs w:val="21"/>
              </w:rPr>
              <w:t>管网资产</w:t>
            </w:r>
          </w:p>
        </w:tc>
        <w:tc>
          <w:tcPr>
            <w:tcW w:w="2357" w:type="dxa"/>
            <w:tcBorders>
              <w:top w:val="single" w:sz="2" w:space="0" w:color="000000"/>
              <w:left w:val="single" w:sz="2" w:space="0" w:color="000000"/>
              <w:bottom w:val="single" w:sz="2" w:space="0" w:color="000000"/>
              <w:right w:val="single" w:sz="2" w:space="0" w:color="000000"/>
            </w:tcBorders>
            <w:vAlign w:val="center"/>
          </w:tcPr>
          <w:p>
            <w:pPr>
              <w:pStyle w:val="Normal"/>
              <w:widowControl/>
              <w:jc w:val="center"/>
              <w:rPr>
                <w:rFonts w:ascii="宋体;汉仪书宋二KW" w:hAnsi="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 xml:space="preserve"> </w:t>
            </w:r>
            <w:r>
              <w:rPr>
                <w:rFonts w:cs="宋体;汉仪书宋二KW" w:ascii="宋体;汉仪书宋二KW" w:hAnsi="宋体;汉仪书宋二KW"/>
                <w:color w:val="000000"/>
                <w:kern w:val="0"/>
                <w:sz w:val="21"/>
                <w:szCs w:val="21"/>
              </w:rPr>
              <w:t xml:space="preserve">734,293.37 </w:t>
            </w:r>
          </w:p>
        </w:tc>
        <w:tc>
          <w:tcPr>
            <w:tcW w:w="2222" w:type="dxa"/>
            <w:tcBorders>
              <w:top w:val="single" w:sz="2" w:space="0" w:color="000000"/>
              <w:left w:val="single" w:sz="2" w:space="0" w:color="000000"/>
              <w:bottom w:val="single" w:sz="2" w:space="0" w:color="000000"/>
              <w:right w:val="single" w:sz="2" w:space="0" w:color="000000"/>
            </w:tcBorders>
            <w:vAlign w:val="center"/>
          </w:tcPr>
          <w:p>
            <w:pPr>
              <w:pStyle w:val="Normal"/>
              <w:widowControl/>
              <w:jc w:val="center"/>
              <w:rPr>
                <w:rFonts w:ascii="宋体;汉仪书宋二KW" w:hAnsi="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 xml:space="preserve"> </w:t>
            </w:r>
            <w:r>
              <w:rPr>
                <w:rFonts w:cs="宋体;汉仪书宋二KW" w:ascii="宋体;汉仪书宋二KW" w:hAnsi="宋体;汉仪书宋二KW"/>
                <w:color w:val="000000"/>
                <w:kern w:val="0"/>
                <w:sz w:val="21"/>
                <w:szCs w:val="21"/>
              </w:rPr>
              <w:t xml:space="preserve">295,889.27 </w:t>
            </w:r>
          </w:p>
        </w:tc>
        <w:tc>
          <w:tcPr>
            <w:tcW w:w="2222" w:type="dxa"/>
            <w:tcBorders>
              <w:top w:val="single" w:sz="2" w:space="0" w:color="000000"/>
              <w:left w:val="single" w:sz="2" w:space="0" w:color="000000"/>
              <w:bottom w:val="single" w:sz="2" w:space="0" w:color="000000"/>
              <w:right w:val="single" w:sz="2" w:space="0" w:color="000000"/>
            </w:tcBorders>
            <w:vAlign w:val="center"/>
          </w:tcPr>
          <w:p>
            <w:pPr>
              <w:pStyle w:val="Normal"/>
              <w:widowControl/>
              <w:jc w:val="center"/>
              <w:rPr>
                <w:rFonts w:ascii="宋体;汉仪书宋二KW" w:hAnsi="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 xml:space="preserve"> </w:t>
            </w:r>
            <w:r>
              <w:rPr>
                <w:rFonts w:cs="宋体;汉仪书宋二KW" w:ascii="宋体;汉仪书宋二KW" w:hAnsi="宋体;汉仪书宋二KW"/>
                <w:color w:val="000000"/>
                <w:kern w:val="0"/>
                <w:sz w:val="21"/>
                <w:szCs w:val="21"/>
              </w:rPr>
              <w:t xml:space="preserve">438,404.10 </w:t>
            </w:r>
          </w:p>
        </w:tc>
      </w:tr>
    </w:tbl>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产销区域及行业地位：</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p>
    <w:p>
      <w:pPr>
        <w:pStyle w:val="Normal"/>
        <w:autoSpaceDE w:val="false"/>
        <w:spacing w:lineRule="exact" w:line="480"/>
        <w:ind w:firstLine="480" w:right="0"/>
        <w:jc w:val="right"/>
        <w:rPr>
          <w:rFonts w:ascii="宋体;汉仪书宋二KW" w:hAnsi="宋体;汉仪书宋二KW" w:eastAsia="宋体;汉仪书宋二KW" w:cs="宋体;汉仪书宋二KW"/>
          <w:szCs w:val="21"/>
        </w:rPr>
      </w:pPr>
      <w:r>
        <w:rPr>
          <w:rFonts w:ascii="宋体;汉仪书宋二KW" w:hAnsi="宋体;汉仪书宋二KW" w:cs="宋体;汉仪书宋二KW" w:eastAsia="宋体;汉仪书宋二KW"/>
          <w:szCs w:val="21"/>
        </w:rPr>
        <w:t xml:space="preserve">                                   </w:t>
      </w:r>
      <w:r>
        <w:rPr>
          <w:rFonts w:ascii="宋体;汉仪书宋二KW" w:hAnsi="宋体;汉仪书宋二KW" w:cs="宋体;汉仪书宋二KW" w:eastAsia="宋体;汉仪书宋二KW"/>
          <w:szCs w:val="21"/>
        </w:rPr>
        <w:t>单位：万吨</w:t>
      </w:r>
      <w:r>
        <w:rPr>
          <w:rFonts w:eastAsia="宋体;汉仪书宋二KW" w:cs="宋体;汉仪书宋二KW" w:ascii="宋体;汉仪书宋二KW" w:hAnsi="宋体;汉仪书宋二KW"/>
          <w:szCs w:val="21"/>
        </w:rPr>
        <w:t>/</w:t>
      </w:r>
      <w:r>
        <w:rPr>
          <w:rFonts w:ascii="宋体;汉仪书宋二KW" w:hAnsi="宋体;汉仪书宋二KW" w:cs="宋体;汉仪书宋二KW" w:eastAsia="宋体;汉仪书宋二KW"/>
          <w:szCs w:val="21"/>
        </w:rPr>
        <w:t>日</w:t>
      </w:r>
    </w:p>
    <w:tbl>
      <w:tblPr>
        <w:tblW w:w="4950" w:type="pct"/>
        <w:jc w:val="center"/>
        <w:tblInd w:w="0" w:type="dxa"/>
        <w:tblLayout w:type="fixed"/>
        <w:tblCellMar>
          <w:top w:w="0" w:type="dxa"/>
          <w:left w:w="108" w:type="dxa"/>
          <w:bottom w:w="0" w:type="dxa"/>
          <w:right w:w="108" w:type="dxa"/>
        </w:tblCellMar>
      </w:tblPr>
      <w:tblGrid>
        <w:gridCol w:w="636"/>
        <w:gridCol w:w="845"/>
        <w:gridCol w:w="5681"/>
        <w:gridCol w:w="1060"/>
      </w:tblGrid>
      <w:tr>
        <w:trPr>
          <w:tblHeader w:val="true"/>
          <w:trHeight w:val="23" w:hRule="atLeast"/>
        </w:trPr>
        <w:tc>
          <w:tcPr>
            <w:tcW w:w="636" w:type="dxa"/>
            <w:tcBorders>
              <w:top w:val="single" w:sz="8" w:space="0" w:color="000000"/>
              <w:left w:val="single" w:sz="8" w:space="0" w:color="000000"/>
              <w:bottom w:val="single" w:sz="8" w:space="0" w:color="000000"/>
              <w:right w:val="single" w:sz="8" w:space="0" w:color="000000"/>
            </w:tcBorders>
            <w:shd w:fill="A4A4A4" w:val="clear"/>
            <w:vAlign w:val="center"/>
          </w:tcPr>
          <w:p>
            <w:pPr>
              <w:pStyle w:val="Normal"/>
              <w:widowControl/>
              <w:jc w:val="center"/>
              <w:rPr>
                <w:rFonts w:ascii="宋体;汉仪书宋二KW" w:hAnsi="宋体;汉仪书宋二KW" w:eastAsia="宋体;汉仪书宋二KW" w:cs="宋体;汉仪书宋二KW"/>
                <w:b/>
                <w:bCs/>
                <w:color w:val="000000"/>
                <w:kern w:val="0"/>
                <w:sz w:val="21"/>
                <w:szCs w:val="21"/>
              </w:rPr>
            </w:pPr>
            <w:r>
              <w:rPr>
                <w:rFonts w:ascii="宋体;汉仪书宋二KW" w:hAnsi="宋体;汉仪书宋二KW" w:cs="宋体;汉仪书宋二KW" w:eastAsia="宋体;汉仪书宋二KW"/>
                <w:b/>
                <w:bCs/>
                <w:color w:val="000000"/>
                <w:kern w:val="0"/>
                <w:sz w:val="21"/>
                <w:szCs w:val="21"/>
              </w:rPr>
              <w:t>序号</w:t>
            </w:r>
          </w:p>
        </w:tc>
        <w:tc>
          <w:tcPr>
            <w:tcW w:w="845" w:type="dxa"/>
            <w:tcBorders>
              <w:top w:val="single" w:sz="8" w:space="0" w:color="000000"/>
              <w:bottom w:val="single" w:sz="8" w:space="0" w:color="000000"/>
              <w:right w:val="single" w:sz="8" w:space="0" w:color="000000"/>
            </w:tcBorders>
            <w:shd w:fill="A4A4A4" w:val="clear"/>
            <w:vAlign w:val="center"/>
          </w:tcPr>
          <w:p>
            <w:pPr>
              <w:pStyle w:val="Normal"/>
              <w:widowControl/>
              <w:jc w:val="center"/>
              <w:rPr>
                <w:rFonts w:ascii="宋体;汉仪书宋二KW" w:hAnsi="宋体;汉仪书宋二KW" w:eastAsia="宋体;汉仪书宋二KW" w:cs="宋体;汉仪书宋二KW"/>
                <w:b/>
                <w:bCs/>
                <w:color w:val="000000"/>
                <w:kern w:val="0"/>
                <w:sz w:val="21"/>
                <w:szCs w:val="21"/>
              </w:rPr>
            </w:pPr>
            <w:r>
              <w:rPr>
                <w:rFonts w:ascii="宋体;汉仪书宋二KW" w:hAnsi="宋体;汉仪书宋二KW" w:cs="宋体;汉仪书宋二KW" w:eastAsia="宋体;汉仪书宋二KW"/>
                <w:b/>
                <w:bCs/>
                <w:color w:val="000000"/>
                <w:kern w:val="0"/>
                <w:sz w:val="21"/>
                <w:szCs w:val="21"/>
              </w:rPr>
              <w:t>省份</w:t>
            </w:r>
          </w:p>
        </w:tc>
        <w:tc>
          <w:tcPr>
            <w:tcW w:w="5681" w:type="dxa"/>
            <w:tcBorders>
              <w:top w:val="single" w:sz="8" w:space="0" w:color="000000"/>
              <w:bottom w:val="single" w:sz="8" w:space="0" w:color="000000"/>
              <w:right w:val="single" w:sz="8" w:space="0" w:color="000000"/>
            </w:tcBorders>
            <w:shd w:fill="A4A4A4" w:val="clear"/>
            <w:vAlign w:val="center"/>
          </w:tcPr>
          <w:p>
            <w:pPr>
              <w:pStyle w:val="Normal"/>
              <w:widowControl/>
              <w:jc w:val="center"/>
              <w:rPr>
                <w:rFonts w:ascii="宋体;汉仪书宋二KW" w:hAnsi="宋体;汉仪书宋二KW" w:eastAsia="宋体;汉仪书宋二KW" w:cs="宋体;汉仪书宋二KW"/>
                <w:b/>
                <w:bCs/>
                <w:color w:val="000000"/>
                <w:kern w:val="0"/>
                <w:sz w:val="21"/>
                <w:szCs w:val="21"/>
              </w:rPr>
            </w:pPr>
            <w:r>
              <w:rPr>
                <w:rFonts w:ascii="宋体;汉仪书宋二KW" w:hAnsi="宋体;汉仪书宋二KW" w:cs="宋体;汉仪书宋二KW" w:eastAsia="宋体;汉仪书宋二KW"/>
                <w:b/>
                <w:bCs/>
                <w:color w:val="000000"/>
                <w:kern w:val="0"/>
                <w:sz w:val="21"/>
                <w:szCs w:val="21"/>
              </w:rPr>
              <w:t>项目分布地区</w:t>
            </w:r>
          </w:p>
        </w:tc>
        <w:tc>
          <w:tcPr>
            <w:tcW w:w="1060" w:type="dxa"/>
            <w:tcBorders>
              <w:top w:val="single" w:sz="8" w:space="0" w:color="000000"/>
              <w:bottom w:val="single" w:sz="8" w:space="0" w:color="000000"/>
              <w:right w:val="single" w:sz="8" w:space="0" w:color="000000"/>
            </w:tcBorders>
            <w:shd w:fill="A4A4A4" w:val="clear"/>
            <w:vAlign w:val="center"/>
          </w:tcPr>
          <w:p>
            <w:pPr>
              <w:pStyle w:val="Normal"/>
              <w:widowControl/>
              <w:jc w:val="center"/>
              <w:rPr>
                <w:rFonts w:ascii="宋体;汉仪书宋二KW" w:hAnsi="宋体;汉仪书宋二KW" w:eastAsia="宋体;汉仪书宋二KW" w:cs="宋体;汉仪书宋二KW"/>
                <w:b/>
                <w:bCs/>
                <w:color w:val="000000"/>
                <w:kern w:val="0"/>
                <w:sz w:val="21"/>
                <w:szCs w:val="21"/>
              </w:rPr>
            </w:pPr>
            <w:r>
              <w:rPr>
                <w:rFonts w:ascii="宋体;汉仪书宋二KW" w:hAnsi="宋体;汉仪书宋二KW" w:cs="宋体;汉仪书宋二KW" w:eastAsia="宋体;汉仪书宋二KW"/>
                <w:b/>
                <w:bCs/>
                <w:color w:val="000000"/>
                <w:kern w:val="0"/>
                <w:sz w:val="21"/>
                <w:szCs w:val="21"/>
              </w:rPr>
              <w:t>供水能力</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1</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山东</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青岛、烟台、荣成、滨州、日照、潍坊、寿光、威海、高唐</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385.96</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2</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安徽</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金寨、当涂、和县、宿州、寿县</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58.66</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3</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江苏</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南京、淮安、溧阳、盐城、泗洪、邳州</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141.80</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4</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浙江</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杭州、舟山、兰溪、丽水、永康、嵊州、金华、平湖、温岭</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222.93</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5</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湖南</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岳阳</w:t>
            </w:r>
            <w:r>
              <w:rPr>
                <w:rFonts w:ascii="宋体;汉仪书宋二KW" w:hAnsi="宋体;汉仪书宋二KW" w:cs="宋体;汉仪书宋二KW" w:eastAsia="宋体;汉仪书宋二KW"/>
                <w:color w:val="000000"/>
                <w:kern w:val="0"/>
                <w:sz w:val="21"/>
                <w:szCs w:val="21"/>
                <w:lang w:bidi="ar"/>
              </w:rPr>
              <w:t>、武冈、安化</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33.09</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6</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黑龙江</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齐齐哈尔</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35.00</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7</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内蒙古</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rPr>
              <w:t>鄂尔多斯</w:t>
            </w:r>
            <w:r>
              <w:rPr>
                <w:rFonts w:ascii="宋体;汉仪书宋二KW" w:hAnsi="宋体;汉仪书宋二KW" w:cs="宋体;汉仪书宋二KW" w:eastAsia="宋体;汉仪书宋二KW"/>
                <w:color w:val="000000"/>
                <w:kern w:val="0"/>
                <w:sz w:val="21"/>
                <w:szCs w:val="21"/>
                <w:lang w:bidi="ar"/>
              </w:rPr>
              <w:t>、乌兰察布</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33.30</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8</w:t>
            </w:r>
          </w:p>
        </w:tc>
        <w:tc>
          <w:tcPr>
            <w:tcW w:w="845"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lang w:bidi="ar"/>
              </w:rPr>
              <w:t>河北</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lang w:bidi="ar"/>
              </w:rPr>
              <w:t>邯郸、邢台</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7.00</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b/>
                <w:bCs/>
                <w:color w:val="000000"/>
                <w:kern w:val="0"/>
                <w:sz w:val="21"/>
                <w:szCs w:val="21"/>
                <w:lang w:bidi="ar"/>
              </w:rPr>
              <w:t>9</w:t>
            </w:r>
          </w:p>
        </w:tc>
        <w:tc>
          <w:tcPr>
            <w:tcW w:w="845"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lang w:bidi="ar"/>
              </w:rPr>
              <w:t>辽宁</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lang w:bidi="ar"/>
              </w:rPr>
              <w:t>沈阳</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22.40</w:t>
            </w:r>
          </w:p>
        </w:tc>
      </w:tr>
      <w:tr>
        <w:trPr>
          <w:trHeight w:val="23" w:hRule="atLeast"/>
        </w:trPr>
        <w:tc>
          <w:tcPr>
            <w:tcW w:w="636" w:type="dxa"/>
            <w:tcBorders>
              <w:left w:val="single" w:sz="8" w:space="0" w:color="000000"/>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b/>
                <w:bCs/>
                <w:color w:val="000000"/>
                <w:kern w:val="0"/>
                <w:sz w:val="21"/>
                <w:szCs w:val="21"/>
                <w:lang w:bidi="ar"/>
              </w:rPr>
              <w:t>10</w:t>
            </w:r>
          </w:p>
        </w:tc>
        <w:tc>
          <w:tcPr>
            <w:tcW w:w="845"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lang w:bidi="ar"/>
              </w:rPr>
              <w:t>福建</w:t>
            </w:r>
          </w:p>
        </w:tc>
        <w:tc>
          <w:tcPr>
            <w:tcW w:w="5681"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eastAsia="宋体;汉仪书宋二KW"/>
                <w:color w:val="000000"/>
                <w:kern w:val="0"/>
                <w:sz w:val="21"/>
                <w:szCs w:val="21"/>
                <w:lang w:bidi="ar"/>
              </w:rPr>
              <w:t>福州</w:t>
            </w:r>
          </w:p>
        </w:tc>
        <w:tc>
          <w:tcPr>
            <w:tcW w:w="1060" w:type="dxa"/>
            <w:tcBorders>
              <w:bottom w:val="single" w:sz="8" w:space="0" w:color="000000"/>
              <w:right w:val="single" w:sz="8"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t>19.09</w:t>
            </w:r>
          </w:p>
        </w:tc>
      </w:tr>
      <w:tr>
        <w:trPr>
          <w:trHeight w:val="23" w:hRule="atLeast"/>
        </w:trPr>
        <w:tc>
          <w:tcPr>
            <w:tcW w:w="7162" w:type="dxa"/>
            <w:gridSpan w:val="3"/>
            <w:tcBorders>
              <w:top w:val="single" w:sz="8" w:space="0" w:color="000000"/>
              <w:left w:val="single" w:sz="8" w:space="0" w:color="000000"/>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b/>
                <w:bCs/>
                <w:color w:val="000000"/>
                <w:kern w:val="0"/>
                <w:sz w:val="21"/>
                <w:szCs w:val="21"/>
              </w:rPr>
            </w:pPr>
            <w:r>
              <w:rPr>
                <w:rFonts w:ascii="宋体;汉仪书宋二KW" w:hAnsi="宋体;汉仪书宋二KW" w:cs="宋体;汉仪书宋二KW" w:eastAsia="宋体;汉仪书宋二KW"/>
                <w:b/>
                <w:bCs/>
                <w:color w:val="000000"/>
                <w:kern w:val="0"/>
                <w:sz w:val="21"/>
                <w:szCs w:val="21"/>
              </w:rPr>
              <w:t>合计</w:t>
            </w:r>
          </w:p>
        </w:tc>
        <w:tc>
          <w:tcPr>
            <w:tcW w:w="1060" w:type="dxa"/>
            <w:tcBorders>
              <w:bottom w:val="single" w:sz="8" w:space="0" w:color="000000"/>
              <w:right w:val="single" w:sz="8" w:space="0" w:color="000000"/>
            </w:tcBorders>
            <w:vAlign w:val="center"/>
          </w:tcPr>
          <w:p>
            <w:pPr>
              <w:pStyle w:val="Normal"/>
              <w:widowControl/>
              <w:jc w:val="center"/>
              <w:rPr>
                <w:rFonts w:ascii="宋体;汉仪书宋二KW" w:hAnsi="宋体;汉仪书宋二KW" w:eastAsia="宋体;汉仪书宋二KW" w:cs="宋体;汉仪书宋二KW"/>
                <w:color w:val="000000"/>
                <w:kern w:val="0"/>
                <w:sz w:val="21"/>
                <w:szCs w:val="21"/>
                <w:lang w:val="en-US" w:eastAsia="zh-CN"/>
              </w:rPr>
            </w:pPr>
            <w:r>
              <w:rPr>
                <w:rFonts w:eastAsia="宋体;汉仪书宋二KW" w:cs="宋体;汉仪书宋二KW" w:ascii="宋体;汉仪书宋二KW" w:hAnsi="宋体;汉仪书宋二KW"/>
                <w:b/>
                <w:bCs/>
                <w:color w:val="000000"/>
                <w:kern w:val="0"/>
                <w:sz w:val="21"/>
                <w:szCs w:val="21"/>
                <w:lang w:val="en-US" w:eastAsia="zh-CN"/>
              </w:rPr>
              <w:t>959.23</w:t>
            </w:r>
          </w:p>
        </w:tc>
      </w:tr>
    </w:tbl>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关键技术工艺：</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自来水供应是指公司对上游原水进行沉淀、净化等技术处理后，通过管网向终端用户供水。公司供水收入主要来源于自来水供应。公司水厂采用较先进的工艺流程，引进了部分自动投加设备和监测、计量装置，质量控制严格，水质符合国家生活饮用水卫生标准。</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szCs w:val="21"/>
          <w:highlight w:val="none"/>
          <w:lang w:val="en-US" w:eastAsia="zh-CN"/>
        </w:rPr>
      </w:pPr>
      <w:r>
        <w:drawing>
          <wp:anchor behindDoc="0" distT="0" distB="0" distL="114935" distR="114935" simplePos="0" locked="0" layoutInCell="0" allowOverlap="1" relativeHeight="115">
            <wp:simplePos x="0" y="0"/>
            <wp:positionH relativeFrom="column">
              <wp:posOffset>260985</wp:posOffset>
            </wp:positionH>
            <wp:positionV relativeFrom="paragraph">
              <wp:posOffset>456565</wp:posOffset>
            </wp:positionV>
            <wp:extent cx="5274310" cy="1904365"/>
            <wp:effectExtent l="0" t="0" r="0" b="0"/>
            <wp:wrapSquare wrapText="bothSides"/>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5" t="-15" r="-5" b="-15"/>
                    <a:stretch>
                      <a:fillRect/>
                    </a:stretch>
                  </pic:blipFill>
                  <pic:spPr bwMode="auto">
                    <a:xfrm>
                      <a:off x="0" y="0"/>
                      <a:ext cx="5274310" cy="1904365"/>
                    </a:xfrm>
                    <a:prstGeom prst="rect">
                      <a:avLst/>
                    </a:prstGeom>
                  </pic:spPr>
                </pic:pic>
              </a:graphicData>
            </a:graphic>
          </wp:anchor>
        </w:drawing>
      </w:r>
      <w:r>
        <w:rPr>
          <w:rFonts w:ascii="宋体;汉仪书宋二KW" w:hAnsi="宋体;汉仪书宋二KW" w:cs="宋体;汉仪书宋二KW" w:eastAsia="宋体;汉仪书宋二KW"/>
          <w:szCs w:val="21"/>
          <w:lang w:val="en-US" w:eastAsia="zh-CN"/>
        </w:rPr>
        <w:t>自来水生产工艺流程图：</w:t>
      </w:r>
    </w:p>
    <w:p>
      <w:pPr>
        <w:pStyle w:val="Normal"/>
        <w:autoSpaceDE w:val="false"/>
        <w:spacing w:lineRule="exact" w:line="480"/>
        <w:jc w:val="left"/>
        <w:rPr>
          <w:rFonts w:ascii="宋体;汉仪书宋二KW" w:hAnsi="宋体;汉仪书宋二KW" w:eastAsia="宋体;汉仪书宋二KW" w:cs="宋体;汉仪书宋二KW"/>
          <w:b/>
          <w:bCs/>
          <w:szCs w:val="21"/>
          <w:highlight w:val="none"/>
          <w:lang w:val="en-US" w:eastAsia="zh-CN"/>
        </w:rPr>
      </w:pPr>
      <w:r>
        <w:rPr>
          <w:rFonts w:eastAsia="宋体;汉仪书宋二KW" w:cs="宋体;汉仪书宋二KW" w:ascii="宋体;汉仪书宋二KW" w:hAnsi="宋体;汉仪书宋二KW"/>
          <w:b/>
          <w:bCs/>
          <w:szCs w:val="21"/>
          <w:lang w:val="en-US" w:eastAsia="zh-CN"/>
        </w:rPr>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原水和工业用水基本情况：</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公司原水供应主要来自山东水务投资有限公司，工业用水供应主要来自内蒙古天河水务有限公司。原水和工业用水业务直接面向终端用户供水和收取水费，每月公司通过抄表计量方式确认应收取的水费，向用户收取，回款周期通常为</w:t>
      </w:r>
      <w:r>
        <w:rPr>
          <w:rFonts w:eastAsia="宋体;汉仪书宋二KW" w:cs="宋体;汉仪书宋二KW" w:ascii="宋体;汉仪书宋二KW" w:hAnsi="宋体;汉仪书宋二KW"/>
          <w:b w:val="false"/>
          <w:bCs w:val="false"/>
          <w:szCs w:val="21"/>
          <w:lang w:val="en-US" w:eastAsia="zh-CN"/>
        </w:rPr>
        <w:t>1-2</w:t>
      </w:r>
      <w:r>
        <w:rPr>
          <w:rFonts w:ascii="宋体;汉仪书宋二KW" w:hAnsi="宋体;汉仪书宋二KW" w:cs="宋体;汉仪书宋二KW" w:eastAsia="宋体;汉仪书宋二KW"/>
          <w:b w:val="false"/>
          <w:bCs w:val="false"/>
          <w:szCs w:val="21"/>
          <w:lang w:val="en-US" w:eastAsia="zh-CN"/>
        </w:rPr>
        <w:t>个月。</w:t>
      </w:r>
      <w:r>
        <w:rPr>
          <w:rFonts w:eastAsia="宋体;汉仪书宋二KW" w:cs="宋体;汉仪书宋二KW" w:ascii="宋体;汉仪书宋二KW" w:hAnsi="宋体;汉仪书宋二KW"/>
          <w:b w:val="false"/>
          <w:bCs w:val="false"/>
          <w:szCs w:val="21"/>
          <w:lang w:val="en-US" w:eastAsia="zh-CN"/>
        </w:rPr>
        <w:t>2022-2024</w:t>
      </w:r>
      <w:r>
        <w:rPr>
          <w:rFonts w:ascii="宋体;汉仪书宋二KW" w:hAnsi="宋体;汉仪书宋二KW" w:cs="宋体;汉仪书宋二KW" w:eastAsia="宋体;汉仪书宋二KW"/>
          <w:b w:val="false"/>
          <w:bCs w:val="false"/>
          <w:szCs w:val="21"/>
          <w:lang w:val="en-US" w:eastAsia="zh-CN"/>
        </w:rPr>
        <w:t>年及</w:t>
      </w:r>
      <w:r>
        <w:rPr>
          <w:rFonts w:eastAsia="宋体;汉仪书宋二KW" w:cs="宋体;汉仪书宋二KW" w:ascii="宋体;汉仪书宋二KW" w:hAnsi="宋体;汉仪书宋二KW"/>
          <w:b w:val="false"/>
          <w:bCs w:val="false"/>
          <w:szCs w:val="21"/>
          <w:lang w:val="en-US" w:eastAsia="zh-CN"/>
        </w:rPr>
        <w:t>2025</w:t>
      </w:r>
      <w:r>
        <w:rPr>
          <w:rFonts w:ascii="宋体;汉仪书宋二KW" w:hAnsi="宋体;汉仪书宋二KW" w:cs="宋体;汉仪书宋二KW" w:eastAsia="宋体;汉仪书宋二KW"/>
          <w:b w:val="false"/>
          <w:bCs w:val="false"/>
          <w:szCs w:val="21"/>
          <w:lang w:val="en-US" w:eastAsia="zh-CN"/>
        </w:rPr>
        <w:t>年</w:t>
      </w:r>
      <w:r>
        <w:rPr>
          <w:rFonts w:eastAsia="宋体;汉仪书宋二KW" w:cs="宋体;汉仪书宋二KW" w:ascii="宋体;汉仪书宋二KW" w:hAnsi="宋体;汉仪书宋二KW"/>
          <w:b w:val="false"/>
          <w:bCs w:val="false"/>
          <w:szCs w:val="21"/>
          <w:lang w:val="en-US" w:eastAsia="zh-CN"/>
        </w:rPr>
        <w:t>1-3</w:t>
      </w:r>
      <w:r>
        <w:rPr>
          <w:rFonts w:ascii="宋体;汉仪书宋二KW" w:hAnsi="宋体;汉仪书宋二KW" w:cs="宋体;汉仪书宋二KW" w:eastAsia="宋体;汉仪书宋二KW"/>
          <w:b w:val="false"/>
          <w:bCs w:val="false"/>
          <w:szCs w:val="21"/>
          <w:lang w:val="en-US" w:eastAsia="zh-CN"/>
        </w:rPr>
        <w:t>月，公司的原水及工业用水供应量分别为</w:t>
      </w:r>
      <w:r>
        <w:rPr>
          <w:rFonts w:eastAsia="宋体;汉仪书宋二KW" w:cs="宋体;汉仪书宋二KW" w:ascii="宋体;汉仪书宋二KW" w:hAnsi="宋体;汉仪书宋二KW"/>
          <w:b w:val="false"/>
          <w:bCs w:val="false"/>
          <w:szCs w:val="21"/>
          <w:lang w:val="en-US" w:eastAsia="zh-CN"/>
        </w:rPr>
        <w:t>3.95</w:t>
      </w:r>
      <w:r>
        <w:rPr>
          <w:rFonts w:ascii="宋体;汉仪书宋二KW" w:hAnsi="宋体;汉仪书宋二KW" w:cs="宋体;汉仪书宋二KW" w:eastAsia="宋体;汉仪书宋二KW"/>
          <w:b w:val="false"/>
          <w:bCs w:val="false"/>
          <w:szCs w:val="21"/>
          <w:lang w:val="en-US" w:eastAsia="zh-CN"/>
        </w:rPr>
        <w:t>亿吨、</w:t>
      </w:r>
      <w:r>
        <w:rPr>
          <w:rFonts w:eastAsia="宋体;汉仪书宋二KW" w:cs="宋体;汉仪书宋二KW" w:ascii="宋体;汉仪书宋二KW" w:hAnsi="宋体;汉仪书宋二KW"/>
          <w:b w:val="false"/>
          <w:bCs w:val="false"/>
          <w:szCs w:val="21"/>
          <w:lang w:val="en-US" w:eastAsia="zh-CN"/>
        </w:rPr>
        <w:t>4.53</w:t>
      </w:r>
      <w:r>
        <w:rPr>
          <w:rFonts w:ascii="宋体;汉仪书宋二KW" w:hAnsi="宋体;汉仪书宋二KW" w:cs="宋体;汉仪书宋二KW" w:eastAsia="宋体;汉仪书宋二KW"/>
          <w:b w:val="false"/>
          <w:bCs w:val="false"/>
          <w:szCs w:val="21"/>
          <w:lang w:val="en-US" w:eastAsia="zh-CN"/>
        </w:rPr>
        <w:t>亿吨、</w:t>
      </w:r>
      <w:r>
        <w:rPr>
          <w:rFonts w:eastAsia="宋体;汉仪书宋二KW" w:cs="宋体;汉仪书宋二KW" w:ascii="宋体;汉仪书宋二KW" w:hAnsi="宋体;汉仪书宋二KW"/>
          <w:b w:val="false"/>
          <w:bCs w:val="false"/>
          <w:szCs w:val="21"/>
          <w:lang w:val="en-US" w:eastAsia="zh-CN"/>
        </w:rPr>
        <w:t>4.74</w:t>
      </w:r>
      <w:r>
        <w:rPr>
          <w:rFonts w:ascii="宋体;汉仪书宋二KW" w:hAnsi="宋体;汉仪书宋二KW" w:cs="宋体;汉仪书宋二KW" w:eastAsia="宋体;汉仪书宋二KW"/>
          <w:b w:val="false"/>
          <w:bCs w:val="false"/>
          <w:szCs w:val="21"/>
          <w:lang w:val="en-US" w:eastAsia="zh-CN"/>
        </w:rPr>
        <w:t>亿吨和</w:t>
      </w:r>
      <w:r>
        <w:rPr>
          <w:rFonts w:eastAsia="宋体;汉仪书宋二KW" w:cs="宋体;汉仪书宋二KW" w:ascii="宋体;汉仪书宋二KW" w:hAnsi="宋体;汉仪书宋二KW"/>
          <w:b w:val="false"/>
          <w:bCs w:val="false"/>
          <w:szCs w:val="21"/>
          <w:lang w:val="en-US" w:eastAsia="zh-CN"/>
        </w:rPr>
        <w:t>1.09</w:t>
      </w:r>
      <w:r>
        <w:rPr>
          <w:rFonts w:ascii="宋体;汉仪书宋二KW" w:hAnsi="宋体;汉仪书宋二KW" w:cs="宋体;汉仪书宋二KW" w:eastAsia="宋体;汉仪书宋二KW"/>
          <w:b w:val="false"/>
          <w:bCs w:val="false"/>
          <w:szCs w:val="21"/>
          <w:lang w:val="en-US" w:eastAsia="zh-CN"/>
        </w:rPr>
        <w:t>亿吨。近年来，受益于公司下属子公司不断增加，以及公司原水及工业用水售水量的提高和原水及工业用水水价的渐进式上涨，公司的原水和工业供水收入呈稳中向上趋势。</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eastAsia="宋体;汉仪书宋二KW" w:cs="宋体;汉仪书宋二KW" w:ascii="宋体;汉仪书宋二KW" w:hAnsi="宋体;汉仪书宋二KW"/>
          <w:b w:val="false"/>
          <w:bCs w:val="false"/>
          <w:szCs w:val="21"/>
          <w:lang w:val="en-US" w:eastAsia="zh-CN"/>
        </w:rPr>
        <w:t>2022-2024</w:t>
      </w:r>
      <w:r>
        <w:rPr>
          <w:rFonts w:ascii="宋体;汉仪书宋二KW" w:hAnsi="宋体;汉仪书宋二KW" w:cs="宋体;汉仪书宋二KW" w:eastAsia="宋体;汉仪书宋二KW"/>
          <w:b w:val="false"/>
          <w:bCs w:val="false"/>
          <w:szCs w:val="21"/>
          <w:lang w:val="en-US" w:eastAsia="zh-CN"/>
        </w:rPr>
        <w:t>年及</w:t>
      </w:r>
      <w:r>
        <w:rPr>
          <w:rFonts w:eastAsia="宋体;汉仪书宋二KW" w:cs="宋体;汉仪书宋二KW" w:ascii="宋体;汉仪书宋二KW" w:hAnsi="宋体;汉仪书宋二KW"/>
          <w:b w:val="false"/>
          <w:bCs w:val="false"/>
          <w:szCs w:val="21"/>
          <w:lang w:val="en-US" w:eastAsia="zh-CN"/>
        </w:rPr>
        <w:t>2025</w:t>
      </w:r>
      <w:r>
        <w:rPr>
          <w:rFonts w:ascii="宋体;汉仪书宋二KW" w:hAnsi="宋体;汉仪书宋二KW" w:cs="宋体;汉仪书宋二KW" w:eastAsia="宋体;汉仪书宋二KW"/>
          <w:b w:val="false"/>
          <w:bCs w:val="false"/>
          <w:szCs w:val="21"/>
          <w:lang w:val="en-US" w:eastAsia="zh-CN"/>
        </w:rPr>
        <w:t>年</w:t>
      </w:r>
      <w:r>
        <w:rPr>
          <w:rFonts w:eastAsia="宋体;汉仪书宋二KW" w:cs="宋体;汉仪书宋二KW" w:ascii="宋体;汉仪书宋二KW" w:hAnsi="宋体;汉仪书宋二KW"/>
          <w:b w:val="false"/>
          <w:bCs w:val="false"/>
          <w:szCs w:val="21"/>
          <w:lang w:val="en-US" w:eastAsia="zh-CN"/>
        </w:rPr>
        <w:t>1-3</w:t>
      </w:r>
      <w:r>
        <w:rPr>
          <w:rFonts w:ascii="宋体;汉仪书宋二KW" w:hAnsi="宋体;汉仪书宋二KW" w:cs="宋体;汉仪书宋二KW" w:eastAsia="宋体;汉仪书宋二KW"/>
          <w:b w:val="false"/>
          <w:bCs w:val="false"/>
          <w:szCs w:val="21"/>
          <w:lang w:val="en-US" w:eastAsia="zh-CN"/>
        </w:rPr>
        <w:t>月，公司的原水和工业用水业务分别实现收入</w:t>
      </w:r>
      <w:r>
        <w:rPr>
          <w:rFonts w:eastAsia="宋体;汉仪书宋二KW" w:cs="宋体;汉仪书宋二KW" w:ascii="宋体;汉仪书宋二KW" w:hAnsi="宋体;汉仪书宋二KW"/>
          <w:b w:val="false"/>
          <w:bCs w:val="false"/>
          <w:szCs w:val="21"/>
          <w:lang w:val="en-US" w:eastAsia="zh-CN"/>
        </w:rPr>
        <w:t>8.07</w:t>
      </w:r>
      <w:r>
        <w:rPr>
          <w:rFonts w:ascii="宋体;汉仪书宋二KW" w:hAnsi="宋体;汉仪书宋二KW" w:cs="宋体;汉仪书宋二KW" w:eastAsia="宋体;汉仪书宋二KW"/>
          <w:b w:val="false"/>
          <w:bCs w:val="false"/>
          <w:szCs w:val="21"/>
          <w:lang w:val="en-US" w:eastAsia="zh-CN"/>
        </w:rPr>
        <w:t>亿元、</w:t>
      </w:r>
      <w:r>
        <w:rPr>
          <w:rFonts w:eastAsia="宋体;汉仪书宋二KW" w:cs="宋体;汉仪书宋二KW" w:ascii="宋体;汉仪书宋二KW" w:hAnsi="宋体;汉仪书宋二KW"/>
          <w:b w:val="false"/>
          <w:bCs w:val="false"/>
          <w:szCs w:val="21"/>
          <w:lang w:val="en-US" w:eastAsia="zh-CN"/>
        </w:rPr>
        <w:t>8.99</w:t>
      </w:r>
      <w:r>
        <w:rPr>
          <w:rFonts w:ascii="宋体;汉仪书宋二KW" w:hAnsi="宋体;汉仪书宋二KW" w:cs="宋体;汉仪书宋二KW" w:eastAsia="宋体;汉仪书宋二KW"/>
          <w:b w:val="false"/>
          <w:bCs w:val="false"/>
          <w:szCs w:val="21"/>
          <w:lang w:val="en-US" w:eastAsia="zh-CN"/>
        </w:rPr>
        <w:t>亿元、</w:t>
      </w:r>
      <w:r>
        <w:rPr>
          <w:rFonts w:eastAsia="宋体;汉仪书宋二KW" w:cs="宋体;汉仪书宋二KW" w:ascii="宋体;汉仪书宋二KW" w:hAnsi="宋体;汉仪书宋二KW"/>
          <w:b w:val="false"/>
          <w:bCs w:val="false"/>
          <w:szCs w:val="21"/>
          <w:lang w:val="en-US" w:eastAsia="zh-CN"/>
        </w:rPr>
        <w:t>9.44</w:t>
      </w:r>
      <w:r>
        <w:rPr>
          <w:rFonts w:ascii="宋体;汉仪书宋二KW" w:hAnsi="宋体;汉仪书宋二KW" w:cs="宋体;汉仪书宋二KW" w:eastAsia="宋体;汉仪书宋二KW"/>
          <w:b w:val="false"/>
          <w:bCs w:val="false"/>
          <w:szCs w:val="21"/>
          <w:lang w:val="en-US" w:eastAsia="zh-CN"/>
        </w:rPr>
        <w:t>亿元和</w:t>
      </w:r>
      <w:r>
        <w:rPr>
          <w:rFonts w:eastAsia="宋体;汉仪书宋二KW" w:cs="宋体;汉仪书宋二KW" w:ascii="宋体;汉仪书宋二KW" w:hAnsi="宋体;汉仪书宋二KW"/>
          <w:b w:val="false"/>
          <w:bCs w:val="false"/>
          <w:szCs w:val="21"/>
          <w:lang w:val="en-US" w:eastAsia="zh-CN"/>
        </w:rPr>
        <w:t>2.05</w:t>
      </w:r>
      <w:r>
        <w:rPr>
          <w:rFonts w:ascii="宋体;汉仪书宋二KW" w:hAnsi="宋体;汉仪书宋二KW" w:cs="宋体;汉仪书宋二KW" w:eastAsia="宋体;汉仪书宋二KW"/>
          <w:b w:val="false"/>
          <w:bCs w:val="false"/>
          <w:szCs w:val="21"/>
          <w:lang w:val="en-US" w:eastAsia="zh-CN"/>
        </w:rPr>
        <w:t>亿元。</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自来水供应基本情况：</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自来水价格是自来水出售或其使用权转让的价格，包含自来水的经营成本、利润和税金。根据</w:t>
      </w:r>
      <w:r>
        <w:rPr>
          <w:rFonts w:eastAsia="宋体;汉仪书宋二KW" w:cs="宋体;汉仪书宋二KW" w:ascii="宋体;汉仪书宋二KW" w:hAnsi="宋体;汉仪书宋二KW"/>
          <w:b w:val="false"/>
          <w:bCs w:val="false"/>
          <w:szCs w:val="21"/>
          <w:lang w:val="en-US" w:eastAsia="zh-CN"/>
        </w:rPr>
        <w:t>1998</w:t>
      </w:r>
      <w:r>
        <w:rPr>
          <w:rFonts w:ascii="宋体;汉仪书宋二KW" w:hAnsi="宋体;汉仪书宋二KW" w:cs="宋体;汉仪书宋二KW" w:eastAsia="宋体;汉仪书宋二KW"/>
          <w:b w:val="false"/>
          <w:bCs w:val="false"/>
          <w:szCs w:val="21"/>
          <w:lang w:val="en-US" w:eastAsia="zh-CN"/>
        </w:rPr>
        <w:t>年</w:t>
      </w:r>
      <w:r>
        <w:rPr>
          <w:rFonts w:eastAsia="宋体;汉仪书宋二KW" w:cs="宋体;汉仪书宋二KW" w:ascii="宋体;汉仪书宋二KW" w:hAnsi="宋体;汉仪书宋二KW"/>
          <w:b w:val="false"/>
          <w:bCs w:val="false"/>
          <w:szCs w:val="21"/>
          <w:lang w:val="en-US" w:eastAsia="zh-CN"/>
        </w:rPr>
        <w:t>9</w:t>
      </w:r>
      <w:r>
        <w:rPr>
          <w:rFonts w:ascii="宋体;汉仪书宋二KW" w:hAnsi="宋体;汉仪书宋二KW" w:cs="宋体;汉仪书宋二KW" w:eastAsia="宋体;汉仪书宋二KW"/>
          <w:b w:val="false"/>
          <w:bCs w:val="false"/>
          <w:szCs w:val="21"/>
          <w:lang w:val="en-US" w:eastAsia="zh-CN"/>
        </w:rPr>
        <w:t>月国家发展计划委员会、国家建设部《城市供水价格管理办法》的规定，城市供水价格应遵循补偿成本、合理收益、节约用水、公平负担的原则，其中供水企业合理盈利的平均水平应当是净资产利润率</w:t>
      </w:r>
      <w:r>
        <w:rPr>
          <w:rFonts w:eastAsia="宋体;汉仪书宋二KW" w:cs="宋体;汉仪书宋二KW" w:ascii="宋体;汉仪书宋二KW" w:hAnsi="宋体;汉仪书宋二KW"/>
          <w:b w:val="false"/>
          <w:bCs w:val="false"/>
          <w:szCs w:val="21"/>
          <w:lang w:val="en-US" w:eastAsia="zh-CN"/>
        </w:rPr>
        <w:t>8%</w:t>
      </w:r>
      <w:r>
        <w:rPr>
          <w:rFonts w:ascii="宋体;汉仪书宋二KW" w:hAnsi="宋体;汉仪书宋二KW" w:cs="宋体;汉仪书宋二KW" w:eastAsia="宋体;汉仪书宋二KW"/>
          <w:b w:val="false"/>
          <w:bCs w:val="false"/>
          <w:szCs w:val="21"/>
          <w:lang w:val="en-US" w:eastAsia="zh-CN"/>
        </w:rPr>
        <w:t>至</w:t>
      </w:r>
      <w:r>
        <w:rPr>
          <w:rFonts w:eastAsia="宋体;汉仪书宋二KW" w:cs="宋体;汉仪书宋二KW" w:ascii="宋体;汉仪书宋二KW" w:hAnsi="宋体;汉仪书宋二KW"/>
          <w:b w:val="false"/>
          <w:bCs w:val="false"/>
          <w:szCs w:val="21"/>
          <w:lang w:val="en-US" w:eastAsia="zh-CN"/>
        </w:rPr>
        <w:t>10%</w:t>
      </w:r>
      <w:r>
        <w:rPr>
          <w:rFonts w:ascii="宋体;汉仪书宋二KW" w:hAnsi="宋体;汉仪书宋二KW" w:cs="宋体;汉仪书宋二KW" w:eastAsia="宋体;汉仪书宋二KW"/>
          <w:b w:val="false"/>
          <w:bCs w:val="false"/>
          <w:szCs w:val="21"/>
          <w:lang w:val="en-US" w:eastAsia="zh-CN"/>
        </w:rPr>
        <w:t>。公司下属</w:t>
      </w:r>
      <w:r>
        <w:rPr>
          <w:rFonts w:eastAsia="宋体;汉仪书宋二KW" w:cs="宋体;汉仪书宋二KW" w:ascii="宋体;汉仪书宋二KW" w:hAnsi="宋体;汉仪书宋二KW"/>
          <w:b w:val="false"/>
          <w:bCs w:val="false"/>
          <w:szCs w:val="21"/>
          <w:lang w:val="en-US" w:eastAsia="zh-CN"/>
        </w:rPr>
        <w:t>19</w:t>
      </w:r>
      <w:r>
        <w:rPr>
          <w:rFonts w:ascii="宋体;汉仪书宋二KW" w:hAnsi="宋体;汉仪书宋二KW" w:cs="宋体;汉仪书宋二KW" w:eastAsia="宋体;汉仪书宋二KW"/>
          <w:b w:val="false"/>
          <w:bCs w:val="false"/>
          <w:szCs w:val="21"/>
          <w:lang w:val="en-US" w:eastAsia="zh-CN"/>
        </w:rPr>
        <w:t>家子公司业务横跨中国西北、华北、东北、华东等全国各地区，水资源分布不均衡，特殊地形条件造成部分地区供水业务投资成本和营运成本高，但居民自来水价格偏低，导致公司在行业内供水收益和利润较低。</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水费结算方式及水价：</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w:t>
      </w:r>
      <w:r>
        <w:rPr>
          <w:rFonts w:eastAsia="宋体;汉仪书宋二KW" w:cs="宋体;汉仪书宋二KW" w:ascii="宋体;汉仪书宋二KW" w:hAnsi="宋体;汉仪书宋二KW"/>
          <w:b w:val="false"/>
          <w:bCs w:val="false"/>
          <w:szCs w:val="21"/>
          <w:lang w:val="en-US" w:eastAsia="zh-CN"/>
        </w:rPr>
        <w:t>1</w:t>
      </w:r>
      <w:r>
        <w:rPr>
          <w:rFonts w:ascii="宋体;汉仪书宋二KW" w:hAnsi="宋体;汉仪书宋二KW" w:cs="宋体;汉仪书宋二KW" w:eastAsia="宋体;汉仪书宋二KW"/>
          <w:b w:val="false"/>
          <w:bCs w:val="false"/>
          <w:szCs w:val="21"/>
          <w:lang w:val="en-US" w:eastAsia="zh-CN"/>
        </w:rPr>
        <w:t xml:space="preserve">）供水业务方面，公司下属供水企业均为股权投资方式取得。下属供水企业一般直接面向终端用户供水和收取水费，回款周期一般在 </w:t>
      </w:r>
      <w:r>
        <w:rPr>
          <w:rFonts w:eastAsia="宋体;汉仪书宋二KW" w:cs="宋体;汉仪书宋二KW" w:ascii="宋体;汉仪书宋二KW" w:hAnsi="宋体;汉仪书宋二KW"/>
          <w:b w:val="false"/>
          <w:bCs w:val="false"/>
          <w:szCs w:val="21"/>
          <w:lang w:val="en-US" w:eastAsia="zh-CN"/>
        </w:rPr>
        <w:t xml:space="preserve">1-2 </w:t>
      </w:r>
      <w:r>
        <w:rPr>
          <w:rFonts w:ascii="宋体;汉仪书宋二KW" w:hAnsi="宋体;汉仪书宋二KW" w:cs="宋体;汉仪书宋二KW" w:eastAsia="宋体;汉仪书宋二KW"/>
          <w:b w:val="false"/>
          <w:bCs w:val="false"/>
          <w:szCs w:val="21"/>
          <w:lang w:val="en-US" w:eastAsia="zh-CN"/>
        </w:rPr>
        <w:t>个月。因此公司及下属子公司可直接受益于水价长期渐进式的上涨。供水价格方面，水价主要经供水企业所在地的省、市发改委批准，物价局审批。</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近三年及一期，公司污水处理的平均价格分别为</w:t>
      </w:r>
      <w:r>
        <w:rPr>
          <w:rFonts w:eastAsia="宋体;汉仪书宋二KW" w:cs="宋体;汉仪书宋二KW" w:ascii="宋体;汉仪书宋二KW" w:hAnsi="宋体;汉仪书宋二KW"/>
          <w:b w:val="false"/>
          <w:bCs w:val="false"/>
          <w:szCs w:val="21"/>
          <w:lang w:val="en-US" w:eastAsia="zh-CN"/>
        </w:rPr>
        <w:t>2.20</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w:t>
      </w:r>
      <w:r>
        <w:rPr>
          <w:rFonts w:eastAsia="宋体;汉仪书宋二KW" w:cs="宋体;汉仪书宋二KW" w:ascii="宋体;汉仪书宋二KW" w:hAnsi="宋体;汉仪书宋二KW"/>
          <w:b w:val="false"/>
          <w:bCs w:val="false"/>
          <w:szCs w:val="21"/>
          <w:lang w:val="en-US" w:eastAsia="zh-CN"/>
        </w:rPr>
        <w:t>2.42</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w:t>
      </w:r>
      <w:r>
        <w:rPr>
          <w:rFonts w:eastAsia="宋体;汉仪书宋二KW" w:cs="宋体;汉仪书宋二KW" w:ascii="宋体;汉仪书宋二KW" w:hAnsi="宋体;汉仪书宋二KW"/>
          <w:b w:val="false"/>
          <w:bCs w:val="false"/>
          <w:szCs w:val="21"/>
          <w:lang w:val="en-US" w:eastAsia="zh-CN"/>
        </w:rPr>
        <w:t>2.79</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吨和</w:t>
      </w:r>
      <w:r>
        <w:rPr>
          <w:rFonts w:eastAsia="宋体;汉仪书宋二KW" w:cs="宋体;汉仪书宋二KW" w:ascii="宋体;汉仪书宋二KW" w:hAnsi="宋体;汉仪书宋二KW"/>
          <w:b w:val="false"/>
          <w:bCs w:val="false"/>
          <w:szCs w:val="21"/>
          <w:lang w:val="en-US" w:eastAsia="zh-CN"/>
        </w:rPr>
        <w:t>2.88</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 xml:space="preserve">吨，呈上升态势。 </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②</w:t>
      </w:r>
      <w:r>
        <w:rPr>
          <w:rFonts w:ascii="宋体;汉仪书宋二KW" w:hAnsi="宋体;汉仪书宋二KW" w:cs="宋体;汉仪书宋二KW" w:eastAsia="宋体;汉仪书宋二KW"/>
          <w:b w:val="false"/>
          <w:bCs w:val="false"/>
          <w:szCs w:val="21"/>
          <w:lang w:val="en-US" w:eastAsia="zh-CN"/>
        </w:rPr>
        <w:t>污水处理</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运营模式：</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仿宋;方正仿宋_GBK" w:hAnsi="仿宋;方正仿宋_GBK" w:eastAsia="仿宋;方正仿宋_GBK" w:cs="仿宋;方正仿宋_GBK"/>
          <w:sz w:val="28"/>
          <w:szCs w:val="28"/>
        </w:rPr>
      </w:pPr>
      <w:r>
        <w:rPr>
          <w:rFonts w:ascii="宋体;汉仪书宋二KW" w:hAnsi="宋体;汉仪书宋二KW" w:cs="宋体;汉仪书宋二KW" w:eastAsia="宋体;汉仪书宋二KW"/>
          <w:b w:val="false"/>
          <w:bCs w:val="false"/>
          <w:szCs w:val="21"/>
          <w:lang w:val="en-US" w:eastAsia="zh-CN"/>
        </w:rPr>
        <w:t>公司污水厂的运营模式包括自营模式、</w:t>
      </w:r>
      <w:r>
        <w:rPr>
          <w:rFonts w:eastAsia="宋体;汉仪书宋二KW" w:cs="宋体;汉仪书宋二KW" w:ascii="宋体;汉仪书宋二KW" w:hAnsi="宋体;汉仪书宋二KW"/>
          <w:b w:val="false"/>
          <w:bCs w:val="false"/>
          <w:szCs w:val="21"/>
          <w:lang w:val="en-US" w:eastAsia="zh-CN"/>
        </w:rPr>
        <w:t>BT</w:t>
      </w:r>
      <w:r>
        <w:rPr>
          <w:rFonts w:ascii="宋体;汉仪书宋二KW" w:hAnsi="宋体;汉仪书宋二KW" w:cs="宋体;汉仪书宋二KW" w:eastAsia="宋体;汉仪书宋二KW"/>
          <w:b w:val="false"/>
          <w:bCs w:val="false"/>
          <w:szCs w:val="21"/>
          <w:lang w:val="en-US" w:eastAsia="zh-CN"/>
        </w:rPr>
        <w:t>（建设</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转让）模式、</w:t>
      </w:r>
      <w:r>
        <w:rPr>
          <w:rFonts w:eastAsia="宋体;汉仪书宋二KW" w:cs="宋体;汉仪书宋二KW" w:ascii="宋体;汉仪书宋二KW" w:hAnsi="宋体;汉仪书宋二KW"/>
          <w:b w:val="false"/>
          <w:bCs w:val="false"/>
          <w:szCs w:val="21"/>
          <w:lang w:val="en-US" w:eastAsia="zh-CN"/>
        </w:rPr>
        <w:t>BOT</w:t>
      </w:r>
      <w:r>
        <w:rPr>
          <w:rFonts w:ascii="宋体;汉仪书宋二KW" w:hAnsi="宋体;汉仪书宋二KW" w:cs="宋体;汉仪书宋二KW" w:eastAsia="宋体;汉仪书宋二KW"/>
          <w:b w:val="false"/>
          <w:bCs w:val="false"/>
          <w:szCs w:val="21"/>
          <w:lang w:val="en-US" w:eastAsia="zh-CN"/>
        </w:rPr>
        <w:t>（建设</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运营</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转让）模式和</w:t>
      </w:r>
      <w:r>
        <w:rPr>
          <w:rFonts w:eastAsia="宋体;汉仪书宋二KW" w:cs="宋体;汉仪书宋二KW" w:ascii="宋体;汉仪书宋二KW" w:hAnsi="宋体;汉仪书宋二KW"/>
          <w:b w:val="false"/>
          <w:bCs w:val="false"/>
          <w:szCs w:val="21"/>
          <w:lang w:val="en-US" w:eastAsia="zh-CN"/>
        </w:rPr>
        <w:t>BOO</w:t>
      </w:r>
      <w:r>
        <w:rPr>
          <w:rFonts w:ascii="宋体;汉仪书宋二KW" w:hAnsi="宋体;汉仪书宋二KW" w:cs="宋体;汉仪书宋二KW" w:eastAsia="宋体;汉仪书宋二KW"/>
          <w:b w:val="false"/>
          <w:bCs w:val="false"/>
          <w:szCs w:val="21"/>
          <w:lang w:val="en-US" w:eastAsia="zh-CN"/>
        </w:rPr>
        <w:t>（建设</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运营</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拥有）模式，其中自营模式主要系收购方式取得的污水厂，公司具有长期特许经营权。其中</w:t>
      </w:r>
      <w:r>
        <w:rPr>
          <w:rFonts w:eastAsia="宋体;汉仪书宋二KW" w:cs="宋体;汉仪书宋二KW" w:ascii="宋体;汉仪书宋二KW" w:hAnsi="宋体;汉仪书宋二KW"/>
          <w:b w:val="false"/>
          <w:bCs w:val="false"/>
          <w:szCs w:val="21"/>
          <w:lang w:val="en-US" w:eastAsia="zh-CN"/>
        </w:rPr>
        <w:t>BT</w:t>
      </w:r>
      <w:r>
        <w:rPr>
          <w:rFonts w:ascii="宋体;汉仪书宋二KW" w:hAnsi="宋体;汉仪书宋二KW" w:cs="宋体;汉仪书宋二KW" w:eastAsia="宋体;汉仪书宋二KW"/>
          <w:b w:val="false"/>
          <w:bCs w:val="false"/>
          <w:szCs w:val="21"/>
          <w:lang w:val="en-US" w:eastAsia="zh-CN"/>
        </w:rPr>
        <w:t>模式系公司通过政府项目招投标，与政府签订的</w:t>
      </w:r>
      <w:r>
        <w:rPr>
          <w:rFonts w:eastAsia="宋体;汉仪书宋二KW" w:cs="宋体;汉仪书宋二KW" w:ascii="宋体;汉仪书宋二KW" w:hAnsi="宋体;汉仪书宋二KW"/>
          <w:b w:val="false"/>
          <w:bCs w:val="false"/>
          <w:szCs w:val="21"/>
          <w:lang w:val="en-US" w:eastAsia="zh-CN"/>
        </w:rPr>
        <w:t>BT</w:t>
      </w:r>
      <w:r>
        <w:rPr>
          <w:rFonts w:ascii="宋体;汉仪书宋二KW" w:hAnsi="宋体;汉仪书宋二KW" w:cs="宋体;汉仪书宋二KW" w:eastAsia="宋体;汉仪书宋二KW"/>
          <w:b w:val="false"/>
          <w:bCs w:val="false"/>
          <w:szCs w:val="21"/>
          <w:lang w:val="en-US" w:eastAsia="zh-CN"/>
        </w:rPr>
        <w:t>协议，由公司负责建设资金的筹集和项目建设，并在项目完工经验收合格后移交给政府。其中</w:t>
      </w:r>
      <w:r>
        <w:rPr>
          <w:rFonts w:eastAsia="宋体;汉仪书宋二KW" w:cs="宋体;汉仪书宋二KW" w:ascii="宋体;汉仪书宋二KW" w:hAnsi="宋体;汉仪书宋二KW"/>
          <w:b w:val="false"/>
          <w:bCs w:val="false"/>
          <w:szCs w:val="21"/>
          <w:lang w:val="en-US" w:eastAsia="zh-CN"/>
        </w:rPr>
        <w:t>BOT</w:t>
      </w:r>
      <w:r>
        <w:rPr>
          <w:rFonts w:ascii="宋体;汉仪书宋二KW" w:hAnsi="宋体;汉仪书宋二KW" w:cs="宋体;汉仪书宋二KW" w:eastAsia="宋体;汉仪书宋二KW"/>
          <w:b w:val="false"/>
          <w:bCs w:val="false"/>
          <w:szCs w:val="21"/>
          <w:lang w:val="en-US" w:eastAsia="zh-CN"/>
        </w:rPr>
        <w:t>和</w:t>
      </w:r>
      <w:r>
        <w:rPr>
          <w:rFonts w:eastAsia="宋体;汉仪书宋二KW" w:cs="宋体;汉仪书宋二KW" w:ascii="宋体;汉仪书宋二KW" w:hAnsi="宋体;汉仪书宋二KW"/>
          <w:b w:val="false"/>
          <w:bCs w:val="false"/>
          <w:szCs w:val="21"/>
          <w:lang w:val="en-US" w:eastAsia="zh-CN"/>
        </w:rPr>
        <w:t>BOO</w:t>
      </w:r>
      <w:r>
        <w:rPr>
          <w:rFonts w:ascii="宋体;汉仪书宋二KW" w:hAnsi="宋体;汉仪书宋二KW" w:cs="宋体;汉仪书宋二KW" w:eastAsia="宋体;汉仪书宋二KW"/>
          <w:b w:val="false"/>
          <w:bCs w:val="false"/>
          <w:szCs w:val="21"/>
          <w:lang w:val="en-US" w:eastAsia="zh-CN"/>
        </w:rPr>
        <w:t>模式，系公司通过与当地政府签订相关特许经营权协议获得建设和经营污水处理厂等权利，获准一定期限（一般为</w:t>
      </w:r>
      <w:r>
        <w:rPr>
          <w:rFonts w:eastAsia="宋体;汉仪书宋二KW" w:cs="宋体;汉仪书宋二KW" w:ascii="宋体;汉仪书宋二KW" w:hAnsi="宋体;汉仪书宋二KW"/>
          <w:b w:val="false"/>
          <w:bCs w:val="false"/>
          <w:szCs w:val="21"/>
          <w:lang w:val="en-US" w:eastAsia="zh-CN"/>
        </w:rPr>
        <w:t>20</w:t>
      </w:r>
      <w:r>
        <w:rPr>
          <w:rFonts w:ascii="宋体;汉仪书宋二KW" w:hAnsi="宋体;汉仪书宋二KW" w:cs="宋体;汉仪书宋二KW" w:eastAsia="宋体;汉仪书宋二KW"/>
          <w:b w:val="false"/>
          <w:bCs w:val="false"/>
          <w:szCs w:val="21"/>
          <w:lang w:val="en-US" w:eastAsia="zh-CN"/>
        </w:rPr>
        <w:t>至</w:t>
      </w:r>
      <w:r>
        <w:rPr>
          <w:rFonts w:eastAsia="宋体;汉仪书宋二KW" w:cs="宋体;汉仪书宋二KW" w:ascii="宋体;汉仪书宋二KW" w:hAnsi="宋体;汉仪书宋二KW"/>
          <w:b w:val="false"/>
          <w:bCs w:val="false"/>
          <w:szCs w:val="21"/>
          <w:lang w:val="en-US" w:eastAsia="zh-CN"/>
        </w:rPr>
        <w:t>30</w:t>
      </w:r>
      <w:r>
        <w:rPr>
          <w:rFonts w:ascii="宋体;汉仪书宋二KW" w:hAnsi="宋体;汉仪书宋二KW" w:cs="宋体;汉仪书宋二KW" w:eastAsia="宋体;汉仪书宋二KW"/>
          <w:b w:val="false"/>
          <w:bCs w:val="false"/>
          <w:szCs w:val="21"/>
          <w:lang w:val="en-US" w:eastAsia="zh-CN"/>
        </w:rPr>
        <w:t>年）的特许经营权，在特许经营权协议中公司一般会与当地政府约定保底水量，同时，政府按照签订的特许经营权协议约定与公司结算污水处理费。此外，</w:t>
      </w:r>
      <w:r>
        <w:rPr>
          <w:rFonts w:eastAsia="宋体;汉仪书宋二KW" w:cs="宋体;汉仪书宋二KW" w:ascii="宋体;汉仪书宋二KW" w:hAnsi="宋体;汉仪书宋二KW"/>
          <w:b w:val="false"/>
          <w:bCs w:val="false"/>
          <w:szCs w:val="21"/>
          <w:lang w:val="en-US" w:eastAsia="zh-CN"/>
        </w:rPr>
        <w:t>BOT</w:t>
      </w:r>
      <w:r>
        <w:rPr>
          <w:rFonts w:ascii="宋体;汉仪书宋二KW" w:hAnsi="宋体;汉仪书宋二KW" w:cs="宋体;汉仪书宋二KW" w:eastAsia="宋体;汉仪书宋二KW"/>
          <w:b w:val="false"/>
          <w:bCs w:val="false"/>
          <w:szCs w:val="21"/>
          <w:lang w:val="en-US" w:eastAsia="zh-CN"/>
        </w:rPr>
        <w:t>模式下，在特许经营权期限届满时，公司将污水处理厂无偿移交给政府，而</w:t>
      </w:r>
      <w:r>
        <w:rPr>
          <w:rFonts w:eastAsia="宋体;汉仪书宋二KW" w:cs="宋体;汉仪书宋二KW" w:ascii="宋体;汉仪书宋二KW" w:hAnsi="宋体;汉仪书宋二KW"/>
          <w:b w:val="false"/>
          <w:bCs w:val="false"/>
          <w:szCs w:val="21"/>
          <w:lang w:val="en-US" w:eastAsia="zh-CN"/>
        </w:rPr>
        <w:t>BOO</w:t>
      </w:r>
      <w:r>
        <w:rPr>
          <w:rFonts w:ascii="宋体;汉仪书宋二KW" w:hAnsi="宋体;汉仪书宋二KW" w:cs="宋体;汉仪书宋二KW" w:eastAsia="宋体;汉仪书宋二KW"/>
          <w:b w:val="false"/>
          <w:bCs w:val="false"/>
          <w:szCs w:val="21"/>
          <w:lang w:val="en-US" w:eastAsia="zh-CN"/>
        </w:rPr>
        <w:t>模式下，公司无需移交污水处理厂。因公司污水厂建设均属于提前规划，实际处理能力未完全饱和，约定保底处理量有利于保障公司污水处理收益。</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业务分布：</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仿宋;方正仿宋_GBK" w:hAnsi="仿宋;方正仿宋_GBK" w:eastAsia="仿宋;方正仿宋_GBK" w:cs="仿宋;方正仿宋_GBK"/>
          <w:sz w:val="28"/>
          <w:szCs w:val="28"/>
        </w:rPr>
      </w:pPr>
      <w:r>
        <w:rPr>
          <w:rFonts w:ascii="宋体;汉仪书宋二KW" w:hAnsi="宋体;汉仪书宋二KW" w:cs="宋体;汉仪书宋二KW" w:eastAsia="宋体;汉仪书宋二KW"/>
          <w:b w:val="false"/>
          <w:bCs w:val="false"/>
          <w:szCs w:val="21"/>
          <w:lang w:val="en-US" w:eastAsia="zh-CN"/>
        </w:rPr>
        <w:t>从业务分布来看，公司污水处理项目分布于内蒙古自治区、山东省、江苏省、上海市和浙江省，污水管网由当地政府负责铺设，仅对排水管网进行运营维护，不纳入公司资产管理。</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bCs/>
          <w:szCs w:val="21"/>
          <w:highlight w:val="none"/>
          <w:lang w:val="en-US" w:eastAsia="zh-CN"/>
        </w:rPr>
      </w:pPr>
      <w:r>
        <w:rPr>
          <w:rFonts w:ascii="宋体;汉仪书宋二KW" w:hAnsi="宋体;汉仪书宋二KW" w:cs="宋体;汉仪书宋二KW" w:eastAsia="宋体;汉仪书宋二KW"/>
          <w:b/>
          <w:bCs/>
          <w:szCs w:val="21"/>
          <w:lang w:val="en-US" w:eastAsia="zh-CN"/>
        </w:rPr>
        <w:t>水费结算及水价：</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污水处理业务方面，污水处理费一般含在终端用户的自来水价格中。目前，公司的一部分污水项目以</w:t>
      </w:r>
      <w:r>
        <w:rPr>
          <w:rFonts w:eastAsia="宋体;汉仪书宋二KW" w:cs="宋体;汉仪书宋二KW" w:ascii="宋体;汉仪书宋二KW" w:hAnsi="宋体;汉仪书宋二KW"/>
          <w:b w:val="false"/>
          <w:bCs w:val="false"/>
          <w:szCs w:val="21"/>
          <w:lang w:val="en-US" w:eastAsia="zh-CN"/>
        </w:rPr>
        <w:t>BOT</w:t>
      </w:r>
      <w:r>
        <w:rPr>
          <w:rFonts w:ascii="宋体;汉仪书宋二KW" w:hAnsi="宋体;汉仪书宋二KW" w:cs="宋体;汉仪书宋二KW" w:eastAsia="宋体;汉仪书宋二KW"/>
          <w:b w:val="false"/>
          <w:bCs w:val="false"/>
          <w:szCs w:val="21"/>
          <w:lang w:val="en-US" w:eastAsia="zh-CN"/>
        </w:rPr>
        <w:t>形式运营，特许经营权年限一般为</w:t>
      </w:r>
      <w:r>
        <w:rPr>
          <w:rFonts w:eastAsia="宋体;汉仪书宋二KW" w:cs="宋体;汉仪书宋二KW" w:ascii="宋体;汉仪书宋二KW" w:hAnsi="宋体;汉仪书宋二KW"/>
          <w:b w:val="false"/>
          <w:bCs w:val="false"/>
          <w:szCs w:val="21"/>
          <w:lang w:val="en-US" w:eastAsia="zh-CN"/>
        </w:rPr>
        <w:t>25-30</w:t>
      </w:r>
      <w:r>
        <w:rPr>
          <w:rFonts w:ascii="宋体;汉仪书宋二KW" w:hAnsi="宋体;汉仪书宋二KW" w:cs="宋体;汉仪书宋二KW" w:eastAsia="宋体;汉仪书宋二KW"/>
          <w:b w:val="false"/>
          <w:bCs w:val="false"/>
          <w:szCs w:val="21"/>
          <w:lang w:val="en-US" w:eastAsia="zh-CN"/>
        </w:rPr>
        <w:t>年，污水处理费按与政府签订的特许经营权协议收取，回款周期一般在</w:t>
      </w:r>
      <w:r>
        <w:rPr>
          <w:rFonts w:eastAsia="宋体;汉仪书宋二KW" w:cs="宋体;汉仪书宋二KW" w:ascii="宋体;汉仪书宋二KW" w:hAnsi="宋体;汉仪书宋二KW"/>
          <w:b w:val="false"/>
          <w:bCs w:val="false"/>
          <w:szCs w:val="21"/>
          <w:lang w:val="en-US" w:eastAsia="zh-CN"/>
        </w:rPr>
        <w:t>1-3</w:t>
      </w:r>
      <w:r>
        <w:rPr>
          <w:rFonts w:ascii="宋体;汉仪书宋二KW" w:hAnsi="宋体;汉仪书宋二KW" w:cs="宋体;汉仪书宋二KW" w:eastAsia="宋体;汉仪书宋二KW"/>
          <w:b w:val="false"/>
          <w:bCs w:val="false"/>
          <w:szCs w:val="21"/>
          <w:lang w:val="en-US" w:eastAsia="zh-CN"/>
        </w:rPr>
        <w:t>个月。在协议中一般会约定保底水量，使得污水处理业务的合理利润得到了保障。</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近三年及一期，公司污水处理的平均价格分别为</w:t>
      </w:r>
      <w:r>
        <w:rPr>
          <w:rFonts w:eastAsia="宋体;汉仪书宋二KW" w:cs="宋体;汉仪书宋二KW" w:ascii="宋体;汉仪书宋二KW" w:hAnsi="宋体;汉仪书宋二KW"/>
          <w:b w:val="false"/>
          <w:bCs w:val="false"/>
          <w:szCs w:val="21"/>
          <w:lang w:val="en-US" w:eastAsia="zh-CN"/>
        </w:rPr>
        <w:t>2.20</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w:t>
      </w:r>
      <w:r>
        <w:rPr>
          <w:rFonts w:eastAsia="宋体;汉仪书宋二KW" w:cs="宋体;汉仪书宋二KW" w:ascii="宋体;汉仪书宋二KW" w:hAnsi="宋体;汉仪书宋二KW"/>
          <w:b w:val="false"/>
          <w:bCs w:val="false"/>
          <w:szCs w:val="21"/>
          <w:lang w:val="en-US" w:eastAsia="zh-CN"/>
        </w:rPr>
        <w:t>2.42</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w:t>
      </w:r>
      <w:r>
        <w:rPr>
          <w:rFonts w:eastAsia="宋体;汉仪书宋二KW" w:cs="宋体;汉仪书宋二KW" w:ascii="宋体;汉仪书宋二KW" w:hAnsi="宋体;汉仪书宋二KW"/>
          <w:b w:val="false"/>
          <w:bCs w:val="false"/>
          <w:szCs w:val="21"/>
          <w:lang w:val="en-US" w:eastAsia="zh-CN"/>
        </w:rPr>
        <w:t>2.79</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吨和</w:t>
      </w:r>
      <w:r>
        <w:rPr>
          <w:rFonts w:eastAsia="宋体;汉仪书宋二KW" w:cs="宋体;汉仪书宋二KW" w:ascii="宋体;汉仪书宋二KW" w:hAnsi="宋体;汉仪书宋二KW"/>
          <w:b w:val="false"/>
          <w:bCs w:val="false"/>
          <w:szCs w:val="21"/>
          <w:lang w:val="en-US" w:eastAsia="zh-CN"/>
        </w:rPr>
        <w:t>2.88</w:t>
      </w:r>
      <w:r>
        <w:rPr>
          <w:rFonts w:ascii="宋体;汉仪书宋二KW" w:hAnsi="宋体;汉仪书宋二KW" w:cs="宋体;汉仪书宋二KW" w:eastAsia="宋体;汉仪书宋二KW"/>
          <w:b w:val="false"/>
          <w:bCs w:val="false"/>
          <w:szCs w:val="21"/>
          <w:lang w:val="en-US" w:eastAsia="zh-CN"/>
        </w:rPr>
        <w:t>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吨，呈上升态势。</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w:t>
      </w:r>
      <w:r>
        <w:rPr>
          <w:rFonts w:eastAsia="宋体;汉仪书宋二KW" w:cs="宋体;汉仪书宋二KW" w:ascii="宋体;汉仪书宋二KW" w:hAnsi="宋体;汉仪书宋二KW"/>
          <w:b w:val="false"/>
          <w:bCs w:val="false"/>
          <w:szCs w:val="21"/>
          <w:lang w:val="en-US" w:eastAsia="zh-CN"/>
        </w:rPr>
        <w:t>2</w:t>
      </w:r>
      <w:r>
        <w:rPr>
          <w:rFonts w:ascii="宋体;汉仪书宋二KW" w:hAnsi="宋体;汉仪书宋二KW" w:cs="宋体;汉仪书宋二KW" w:eastAsia="宋体;汉仪书宋二KW"/>
          <w:b w:val="false"/>
          <w:bCs w:val="false"/>
          <w:szCs w:val="21"/>
          <w:lang w:val="en-US" w:eastAsia="zh-CN"/>
        </w:rPr>
        <w:t>）建筑工程业务</w:t>
      </w:r>
    </w:p>
    <w:p>
      <w:pPr>
        <w:pStyle w:val="Normal"/>
        <w:autoSpaceDE w:val="false"/>
        <w:spacing w:lineRule="exact" w:line="480"/>
        <w:ind w:firstLine="420" w:right="0"/>
        <w:jc w:val="center"/>
        <w:rPr>
          <w:rFonts w:ascii="宋体;汉仪书宋二KW" w:hAnsi="宋体;汉仪书宋二KW" w:eastAsia="宋体;汉仪书宋二KW" w:cs="宋体;汉仪书宋二KW"/>
          <w:szCs w:val="21"/>
          <w:lang w:val="en-US" w:eastAsia="zh-CN"/>
        </w:rPr>
      </w:pPr>
      <w:r>
        <w:rPr>
          <w:rFonts w:ascii="宋体;汉仪书宋二KW" w:hAnsi="宋体;汉仪书宋二KW" w:cs="宋体;汉仪书宋二KW" w:eastAsia="宋体;汉仪书宋二KW"/>
          <w:szCs w:val="21"/>
          <w:lang w:val="en-US" w:eastAsia="zh-CN"/>
        </w:rPr>
        <w:t>公司建筑工程业务的营业收入及业务合同情况表   单位：万元</w:t>
      </w:r>
    </w:p>
    <w:tbl>
      <w:tblPr>
        <w:tblW w:w="4950" w:type="pct"/>
        <w:jc w:val="center"/>
        <w:tblInd w:w="0" w:type="dxa"/>
        <w:tblLayout w:type="fixed"/>
        <w:tblCellMar>
          <w:top w:w="0" w:type="dxa"/>
          <w:left w:w="108" w:type="dxa"/>
          <w:bottom w:w="0" w:type="dxa"/>
          <w:right w:w="108" w:type="dxa"/>
        </w:tblCellMar>
      </w:tblPr>
      <w:tblGrid>
        <w:gridCol w:w="3266"/>
        <w:gridCol w:w="1178"/>
        <w:gridCol w:w="1177"/>
        <w:gridCol w:w="1178"/>
        <w:gridCol w:w="1423"/>
      </w:tblGrid>
      <w:tr>
        <w:trPr>
          <w:trHeight w:val="285" w:hRule="atLeast"/>
        </w:trPr>
        <w:tc>
          <w:tcPr>
            <w:tcW w:w="326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项目</w:t>
            </w:r>
          </w:p>
        </w:tc>
        <w:tc>
          <w:tcPr>
            <w:tcW w:w="117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2022</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年度</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2023</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年度</w:t>
            </w:r>
          </w:p>
        </w:tc>
        <w:tc>
          <w:tcPr>
            <w:tcW w:w="117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w:t>
            </w:r>
            <w:r>
              <w:rPr>
                <w:rFonts w:cs="宋体;汉仪书宋二KW" w:ascii="宋体;汉仪书宋二KW" w:hAnsi="宋体;汉仪书宋二KW"/>
                <w:b/>
                <w:bCs/>
                <w:i w:val="false"/>
                <w:iCs w:val="false"/>
                <w:color w:val="000000"/>
                <w:kern w:val="0"/>
                <w:sz w:val="21"/>
                <w:szCs w:val="21"/>
                <w:u w:val="none"/>
                <w:lang w:val="en-US" w:eastAsia="zh-CN" w:bidi="ar"/>
              </w:rPr>
              <w:t>4</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年度</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w:t>
            </w:r>
            <w:r>
              <w:rPr>
                <w:rFonts w:cs="宋体;汉仪书宋二KW" w:ascii="宋体;汉仪书宋二KW" w:hAnsi="宋体;汉仪书宋二KW"/>
                <w:b/>
                <w:bCs/>
                <w:i w:val="false"/>
                <w:iCs w:val="false"/>
                <w:color w:val="000000"/>
                <w:kern w:val="0"/>
                <w:sz w:val="21"/>
                <w:szCs w:val="21"/>
                <w:u w:val="none"/>
                <w:lang w:val="en-US" w:eastAsia="zh-CN" w:bidi="ar"/>
              </w:rPr>
              <w:t>5</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1-</w:t>
            </w:r>
            <w:r>
              <w:rPr>
                <w:rFonts w:cs="宋体;汉仪书宋二KW" w:ascii="宋体;汉仪书宋二KW" w:hAnsi="宋体;汉仪书宋二KW"/>
                <w:b/>
                <w:bCs/>
                <w:i w:val="false"/>
                <w:iCs w:val="false"/>
                <w:color w:val="000000"/>
                <w:kern w:val="0"/>
                <w:sz w:val="21"/>
                <w:szCs w:val="21"/>
                <w:u w:val="none"/>
                <w:lang w:val="en-US" w:eastAsia="zh-CN" w:bidi="ar"/>
              </w:rPr>
              <w:t>3</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月</w:t>
            </w:r>
          </w:p>
        </w:tc>
      </w:tr>
      <w:tr>
        <w:trPr>
          <w:trHeight w:val="285" w:hRule="atLeast"/>
        </w:trPr>
        <w:tc>
          <w:tcPr>
            <w:tcW w:w="32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业务收入</w:t>
            </w:r>
            <w:r>
              <w:rPr>
                <w:rFonts w:ascii="宋体;汉仪书宋二KW" w:hAnsi="宋体;汉仪书宋二KW" w:cs="宋体;汉仪书宋二KW"/>
                <w:i w:val="false"/>
                <w:iCs w:val="false"/>
                <w:color w:val="000000"/>
                <w:kern w:val="0"/>
                <w:sz w:val="21"/>
                <w:szCs w:val="21"/>
                <w:u w:val="none"/>
                <w:lang w:val="en-US" w:eastAsia="zh-CN" w:bidi="ar"/>
              </w:rPr>
              <w:t>（亿元）</w:t>
            </w:r>
          </w:p>
        </w:tc>
        <w:tc>
          <w:tcPr>
            <w:tcW w:w="117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cs="宋体;汉仪书宋二KW" w:ascii="宋体;汉仪书宋二KW" w:hAnsi="宋体;汉仪书宋二KW"/>
                <w:i w:val="false"/>
                <w:iCs w:val="false"/>
                <w:color w:val="000000"/>
                <w:kern w:val="0"/>
                <w:sz w:val="21"/>
                <w:szCs w:val="21"/>
                <w:u w:val="none"/>
                <w:lang w:val="en-US" w:eastAsia="zh-CN" w:bidi="ar"/>
              </w:rPr>
              <w:t>18.78</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cs="宋体;汉仪书宋二KW" w:ascii="宋体;汉仪书宋二KW" w:hAnsi="宋体;汉仪书宋二KW"/>
                <w:i w:val="false"/>
                <w:iCs w:val="false"/>
                <w:color w:val="000000"/>
                <w:kern w:val="0"/>
                <w:sz w:val="21"/>
                <w:szCs w:val="21"/>
                <w:u w:val="none"/>
                <w:lang w:val="en-US" w:eastAsia="zh-CN" w:bidi="ar"/>
              </w:rPr>
              <w:t>23.15</w:t>
            </w:r>
          </w:p>
        </w:tc>
        <w:tc>
          <w:tcPr>
            <w:tcW w:w="117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cs="宋体;汉仪书宋二KW" w:ascii="宋体;汉仪书宋二KW" w:hAnsi="宋体;汉仪书宋二KW"/>
                <w:i w:val="false"/>
                <w:iCs w:val="false"/>
                <w:color w:val="000000"/>
                <w:kern w:val="0"/>
                <w:sz w:val="21"/>
                <w:szCs w:val="21"/>
                <w:u w:val="none"/>
                <w:lang w:val="en-US" w:eastAsia="zh-CN" w:bidi="ar"/>
              </w:rPr>
              <w:t>23.33</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cs="宋体;汉仪书宋二KW" w:ascii="宋体;汉仪书宋二KW" w:hAnsi="宋体;汉仪书宋二KW"/>
                <w:i w:val="false"/>
                <w:iCs w:val="false"/>
                <w:color w:val="000000"/>
                <w:kern w:val="0"/>
                <w:sz w:val="21"/>
                <w:szCs w:val="21"/>
                <w:u w:val="none"/>
                <w:lang w:val="en-US" w:eastAsia="zh-CN" w:bidi="ar"/>
              </w:rPr>
              <w:t>3.39</w:t>
            </w:r>
          </w:p>
        </w:tc>
      </w:tr>
      <w:tr>
        <w:trPr>
          <w:trHeight w:val="285" w:hRule="atLeast"/>
        </w:trPr>
        <w:tc>
          <w:tcPr>
            <w:tcW w:w="32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期间新签合同</w:t>
            </w:r>
            <w:r>
              <w:rPr>
                <w:rFonts w:ascii="宋体;汉仪书宋二KW" w:hAnsi="宋体;汉仪书宋二KW" w:cs="宋体;汉仪书宋二KW"/>
                <w:i w:val="false"/>
                <w:iCs w:val="false"/>
                <w:color w:val="000000"/>
                <w:kern w:val="0"/>
                <w:sz w:val="21"/>
                <w:szCs w:val="21"/>
                <w:u w:val="none"/>
                <w:lang w:val="en-US" w:eastAsia="zh-CN" w:bidi="ar"/>
              </w:rPr>
              <w:t>个数</w:t>
            </w:r>
          </w:p>
        </w:tc>
        <w:tc>
          <w:tcPr>
            <w:tcW w:w="117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1,647</w:t>
            </w:r>
          </w:p>
        </w:tc>
        <w:tc>
          <w:tcPr>
            <w:tcW w:w="117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989.00</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1,624</w:t>
            </w:r>
          </w:p>
        </w:tc>
        <w:tc>
          <w:tcPr>
            <w:tcW w:w="142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170</w:t>
            </w:r>
          </w:p>
        </w:tc>
      </w:tr>
      <w:tr>
        <w:trPr>
          <w:trHeight w:val="285" w:hRule="atLeast"/>
        </w:trPr>
        <w:tc>
          <w:tcPr>
            <w:tcW w:w="32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期间新签合同</w:t>
            </w:r>
            <w:r>
              <w:rPr>
                <w:rFonts w:ascii="宋体;汉仪书宋二KW" w:hAnsi="宋体;汉仪书宋二KW" w:cs="宋体;汉仪书宋二KW"/>
                <w:i w:val="false"/>
                <w:iCs w:val="false"/>
                <w:color w:val="000000"/>
                <w:kern w:val="0"/>
                <w:sz w:val="21"/>
                <w:szCs w:val="21"/>
                <w:u w:val="none"/>
                <w:lang w:val="en-US" w:eastAsia="zh-CN" w:bidi="ar"/>
              </w:rPr>
              <w:t>金额（万元）</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288,516.68</w:t>
            </w:r>
          </w:p>
        </w:tc>
        <w:tc>
          <w:tcPr>
            <w:tcW w:w="1177"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253,300.79</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447,343.19</w:t>
            </w:r>
          </w:p>
        </w:tc>
        <w:tc>
          <w:tcPr>
            <w:tcW w:w="142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57,843.72</w:t>
            </w:r>
          </w:p>
        </w:tc>
      </w:tr>
      <w:tr>
        <w:trPr>
          <w:trHeight w:val="285" w:hRule="atLeast"/>
        </w:trPr>
        <w:tc>
          <w:tcPr>
            <w:tcW w:w="32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期间合同完成额</w:t>
            </w:r>
            <w:r>
              <w:rPr>
                <w:rFonts w:ascii="宋体;汉仪书宋二KW" w:hAnsi="宋体;汉仪书宋二KW" w:cs="宋体;汉仪书宋二KW"/>
                <w:i w:val="false"/>
                <w:iCs w:val="false"/>
                <w:color w:val="000000"/>
                <w:kern w:val="0"/>
                <w:sz w:val="21"/>
                <w:szCs w:val="21"/>
                <w:u w:val="none"/>
                <w:lang w:val="en-US" w:eastAsia="zh-CN" w:bidi="ar"/>
              </w:rPr>
              <w:t>（万元）</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116,577.40</w:t>
            </w:r>
          </w:p>
        </w:tc>
        <w:tc>
          <w:tcPr>
            <w:tcW w:w="1177"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117,624.98</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81,006.45</w:t>
            </w:r>
          </w:p>
        </w:tc>
        <w:tc>
          <w:tcPr>
            <w:tcW w:w="142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5,877.63</w:t>
            </w:r>
          </w:p>
        </w:tc>
      </w:tr>
      <w:tr>
        <w:trPr>
          <w:trHeight w:val="285" w:hRule="atLeast"/>
        </w:trPr>
        <w:tc>
          <w:tcPr>
            <w:tcW w:w="32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期间合同回款额（含预收）</w:t>
            </w:r>
            <w:r>
              <w:rPr>
                <w:rFonts w:ascii="宋体;汉仪书宋二KW" w:hAnsi="宋体;汉仪书宋二KW" w:cs="宋体;汉仪书宋二KW"/>
                <w:i w:val="false"/>
                <w:iCs w:val="false"/>
                <w:color w:val="000000"/>
                <w:kern w:val="0"/>
                <w:sz w:val="21"/>
                <w:szCs w:val="21"/>
                <w:u w:val="none"/>
                <w:lang w:val="en-US" w:eastAsia="zh-CN" w:bidi="ar"/>
              </w:rPr>
              <w:t>（万元）</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142,684.99</w:t>
            </w:r>
          </w:p>
        </w:tc>
        <w:tc>
          <w:tcPr>
            <w:tcW w:w="1177"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158,118.31</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105,430.89</w:t>
            </w:r>
          </w:p>
        </w:tc>
        <w:tc>
          <w:tcPr>
            <w:tcW w:w="142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9,209.21</w:t>
            </w:r>
          </w:p>
        </w:tc>
      </w:tr>
      <w:tr>
        <w:trPr>
          <w:trHeight w:val="450" w:hRule="atLeast"/>
        </w:trPr>
        <w:tc>
          <w:tcPr>
            <w:tcW w:w="326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累计在手未完工合同金额</w:t>
            </w:r>
            <w:r>
              <w:rPr>
                <w:rFonts w:ascii="宋体;汉仪书宋二KW" w:hAnsi="宋体;汉仪书宋二KW" w:cs="宋体;汉仪书宋二KW"/>
                <w:i w:val="false"/>
                <w:iCs w:val="false"/>
                <w:color w:val="000000"/>
                <w:kern w:val="0"/>
                <w:sz w:val="21"/>
                <w:szCs w:val="21"/>
                <w:u w:val="none"/>
                <w:lang w:val="en-US" w:eastAsia="zh-CN" w:bidi="ar"/>
              </w:rPr>
              <w:t>（万元）</w:t>
            </w:r>
          </w:p>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（含</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2022</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年以前未完工项目）</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542,164.28</w:t>
            </w:r>
          </w:p>
        </w:tc>
        <w:tc>
          <w:tcPr>
            <w:tcW w:w="1177"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454,996.47</w:t>
            </w:r>
          </w:p>
        </w:tc>
        <w:tc>
          <w:tcPr>
            <w:tcW w:w="1178"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900,096.60</w:t>
            </w:r>
          </w:p>
        </w:tc>
        <w:tc>
          <w:tcPr>
            <w:tcW w:w="1423" w:type="dxa"/>
            <w:tcBorders>
              <w:top w:val="single" w:sz="4" w:space="0" w:color="000000"/>
              <w:left w:val="single" w:sz="4" w:space="0" w:color="000000"/>
              <w:bottom w:val="single" w:sz="4" w:space="0" w:color="000000"/>
              <w:right w:val="single" w:sz="4" w:space="0" w:color="000000"/>
            </w:tcBorders>
            <w:vAlign w:val="bottom"/>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930,394.90</w:t>
            </w:r>
          </w:p>
        </w:tc>
      </w:tr>
    </w:tbl>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公司建安工程的施工领域主要为水厂、污水厂的建设以及管网安装，建安工程项目所在地为公司子公司项目所在地，主要集中在江苏、浙江地区。</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公司建筑工程业务模式主要分为三类，一类主要是对新注册自来水用户进行管道初装，收取初装费收入，此模式下订单量较多且订单额较小，一般采取预收初装费收费模式；第二类主要是根据各房地产开发公司客户的要求对其新开发楼盘进行管网铺设，一般采取预收工程款收费模式；第三类主要是公司通过招投标形式取得对农村自来水及管网改管和配合市政道路自来水管道进行铺设等项目，根据合同约定分期收款。</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w:t>
      </w:r>
      <w:r>
        <w:rPr>
          <w:rFonts w:eastAsia="宋体;汉仪书宋二KW" w:cs="宋体;汉仪书宋二KW" w:ascii="宋体;汉仪书宋二KW" w:hAnsi="宋体;汉仪书宋二KW"/>
          <w:b w:val="false"/>
          <w:bCs w:val="false"/>
          <w:szCs w:val="21"/>
          <w:lang w:val="en-US" w:eastAsia="zh-CN"/>
        </w:rPr>
        <w:t>3</w:t>
      </w:r>
      <w:r>
        <w:rPr>
          <w:rFonts w:ascii="宋体;汉仪书宋二KW" w:hAnsi="宋体;汉仪书宋二KW" w:cs="宋体;汉仪书宋二KW" w:eastAsia="宋体;汉仪书宋二KW"/>
          <w:b w:val="false"/>
          <w:bCs w:val="false"/>
          <w:szCs w:val="21"/>
          <w:lang w:val="en-US" w:eastAsia="zh-CN"/>
        </w:rPr>
        <w:t>）其他业务</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截至</w:t>
      </w:r>
      <w:r>
        <w:rPr>
          <w:rFonts w:eastAsia="宋体;汉仪书宋二KW" w:cs="宋体;汉仪书宋二KW" w:ascii="宋体;汉仪书宋二KW" w:hAnsi="宋体;汉仪书宋二KW"/>
          <w:b w:val="false"/>
          <w:bCs w:val="false"/>
          <w:szCs w:val="21"/>
          <w:lang w:val="en-US" w:eastAsia="zh-CN"/>
        </w:rPr>
        <w:t>2025</w:t>
      </w:r>
      <w:r>
        <w:rPr>
          <w:rFonts w:ascii="宋体;汉仪书宋二KW" w:hAnsi="宋体;汉仪书宋二KW" w:cs="宋体;汉仪书宋二KW" w:eastAsia="宋体;汉仪书宋二KW"/>
          <w:b w:val="false"/>
          <w:bCs w:val="false"/>
          <w:szCs w:val="21"/>
          <w:lang w:val="en-US" w:eastAsia="zh-CN"/>
        </w:rPr>
        <w:t>年</w:t>
      </w:r>
      <w:r>
        <w:rPr>
          <w:rFonts w:eastAsia="宋体;汉仪书宋二KW" w:cs="宋体;汉仪书宋二KW" w:ascii="宋体;汉仪书宋二KW" w:hAnsi="宋体;汉仪书宋二KW"/>
          <w:b w:val="false"/>
          <w:bCs w:val="false"/>
          <w:szCs w:val="21"/>
          <w:lang w:val="en-US" w:eastAsia="zh-CN"/>
        </w:rPr>
        <w:t>3</w:t>
      </w:r>
      <w:r>
        <w:rPr>
          <w:rFonts w:ascii="宋体;汉仪书宋二KW" w:hAnsi="宋体;汉仪书宋二KW" w:cs="宋体;汉仪书宋二KW" w:eastAsia="宋体;汉仪书宋二KW"/>
          <w:b w:val="false"/>
          <w:bCs w:val="false"/>
          <w:szCs w:val="21"/>
          <w:lang w:val="en-US" w:eastAsia="zh-CN"/>
        </w:rPr>
        <w:t>月末，公司下属子公司的咨询、运维服务、商品销售等业务归属于公司的其他业务的业务范畴。</w:t>
      </w:r>
    </w:p>
    <w:p>
      <w:pPr>
        <w:pStyle w:val="Normal"/>
        <w:keepNext w:val="false"/>
        <w:keepLines w:val="false"/>
        <w:pageBreakBefore w:val="false"/>
        <w:widowControl w:val="false"/>
        <w:kinsoku w:val="true"/>
        <w:overflowPunct w:val="true"/>
        <w:autoSpaceDE w:val="true"/>
        <w:bidi w:val="0"/>
        <w:snapToGrid w:val="true"/>
        <w:spacing w:lineRule="exact" w:line="520"/>
        <w:ind w:firstLine="420" w:right="0"/>
        <w:jc w:val="left"/>
        <w:textAlignment w:val="auto"/>
        <w:rPr>
          <w:rFonts w:ascii="宋体;汉仪书宋二KW" w:hAnsi="宋体;汉仪书宋二KW" w:cs="宋体;汉仪书宋二KW"/>
          <w:szCs w:val="21"/>
          <w:highlight w:val="none"/>
        </w:rPr>
      </w:pPr>
    </w:p>
    <w:p>
      <w:pPr>
        <w:pStyle w:val="Normal"/>
        <w:numPr>
          <w:ilvl w:val="0"/>
          <w:numId w:val="2"/>
        </w:numPr>
        <w:spacing w:lineRule="exact" w:line="480"/>
        <w:ind w:firstLine="420" w:left="0" w:right="0"/>
        <w:rPr>
          <w:rFonts w:ascii="宋体;汉仪书宋二KW" w:hAnsi="宋体;汉仪书宋二KW" w:cs="宋体;汉仪书宋二KW"/>
          <w:bCs/>
          <w:szCs w:val="21"/>
          <w:highlight w:val="none"/>
        </w:rPr>
      </w:pPr>
      <w:r>
        <w:rPr>
          <w:rFonts w:ascii="宋体;汉仪书宋二KW" w:hAnsi="宋体;汉仪书宋二KW" w:cs="宋体;汉仪书宋二KW"/>
          <w:szCs w:val="21"/>
        </w:rPr>
        <w:t>重大在建（拟建）项目和</w:t>
      </w:r>
      <w:r>
        <w:rPr>
          <w:rFonts w:ascii="宋体;汉仪书宋二KW" w:hAnsi="宋体;汉仪书宋二KW" w:cs="宋体;汉仪书宋二KW"/>
          <w:bCs/>
          <w:szCs w:val="21"/>
        </w:rPr>
        <w:t>投资规划</w:t>
      </w:r>
    </w:p>
    <w:p>
      <w:pPr>
        <w:pStyle w:val="6"/>
        <w:rPr>
          <w:rFonts w:ascii="宋体;汉仪书宋二KW" w:hAnsi="宋体;汉仪书宋二KW" w:cs="宋体;汉仪书宋二KW"/>
          <w:bCs/>
          <w:szCs w:val="21"/>
          <w:highlight w:val="yellow"/>
        </w:rPr>
      </w:pPr>
      <w:r>
        <w:rPr>
          <w:rFonts w:cs="宋体;汉仪书宋二KW" w:ascii="宋体;汉仪书宋二KW" w:hAnsi="宋体;汉仪书宋二KW"/>
          <w:bCs/>
          <w:szCs w:val="21"/>
          <w:highlight w:val="yellow"/>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20"/>
        <w:ind w:hanging="0" w:left="0"/>
        <w:jc w:val="left"/>
        <w:textAlignment w:val="auto"/>
        <w:rPr>
          <w:rFonts w:ascii="宋体;汉仪书宋二KW" w:hAnsi="宋体;汉仪书宋二KW" w:eastAsia="宋体;汉仪书宋二KW" w:cs="宋体;汉仪书宋二KW"/>
          <w:b w:val="false"/>
          <w:bCs w:val="false"/>
          <w:szCs w:val="21"/>
          <w:highlight w:val="none"/>
          <w:lang w:val="en-US" w:eastAsia="zh-CN"/>
        </w:rPr>
      </w:pP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20"/>
        <w:ind w:hanging="0" w:left="0"/>
        <w:jc w:val="right"/>
        <w:textAlignment w:val="auto"/>
        <w:rPr>
          <w:rFonts w:ascii="宋体;汉仪书宋二KW" w:hAnsi="宋体;汉仪书宋二KW" w:eastAsia="宋体;汉仪书宋二KW" w:cs="宋体;汉仪书宋二KW"/>
          <w:b w:val="false"/>
          <w:bCs w:val="false"/>
          <w:szCs w:val="21"/>
          <w:highlight w:val="none"/>
          <w:lang w:val="en-US" w:eastAsia="zh-CN"/>
        </w:rPr>
      </w:pPr>
      <w:r>
        <w:rPr>
          <w:rFonts w:ascii="宋体;汉仪书宋二KW" w:hAnsi="宋体;汉仪书宋二KW" w:cs="宋体;汉仪书宋二KW" w:eastAsia="宋体;汉仪书宋二KW"/>
          <w:b w:val="false"/>
          <w:bCs w:val="false"/>
          <w:szCs w:val="21"/>
          <w:lang w:val="en-US" w:eastAsia="zh-CN"/>
        </w:rPr>
        <w:t>单位：万元、</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、万吨</w:t>
      </w:r>
      <w:r>
        <w:rPr>
          <w:rFonts w:eastAsia="宋体;汉仪书宋二KW" w:cs="宋体;汉仪书宋二KW" w:ascii="宋体;汉仪书宋二KW" w:hAnsi="宋体;汉仪书宋二KW"/>
          <w:b w:val="false"/>
          <w:bCs w:val="false"/>
          <w:szCs w:val="21"/>
          <w:lang w:val="en-US" w:eastAsia="zh-CN"/>
        </w:rPr>
        <w:t>/</w:t>
      </w:r>
      <w:r>
        <w:rPr>
          <w:rFonts w:ascii="宋体;汉仪书宋二KW" w:hAnsi="宋体;汉仪书宋二KW" w:cs="宋体;汉仪书宋二KW" w:eastAsia="宋体;汉仪书宋二KW"/>
          <w:b w:val="false"/>
          <w:bCs w:val="false"/>
          <w:szCs w:val="21"/>
          <w:lang w:val="en-US" w:eastAsia="zh-CN"/>
        </w:rPr>
        <w:t>日</w:t>
      </w:r>
    </w:p>
    <w:tbl>
      <w:tblPr>
        <w:tblW w:w="5700" w:type="pct"/>
        <w:jc w:val="left"/>
        <w:tblInd w:w="-708" w:type="dxa"/>
        <w:tblLayout w:type="fixed"/>
        <w:tblCellMar>
          <w:top w:w="0" w:type="dxa"/>
          <w:left w:w="108" w:type="dxa"/>
          <w:bottom w:w="0" w:type="dxa"/>
          <w:right w:w="108" w:type="dxa"/>
        </w:tblCellMar>
      </w:tblPr>
      <w:tblGrid>
        <w:gridCol w:w="1734"/>
        <w:gridCol w:w="1149"/>
        <w:gridCol w:w="818"/>
        <w:gridCol w:w="1111"/>
        <w:gridCol w:w="760"/>
        <w:gridCol w:w="1247"/>
        <w:gridCol w:w="1188"/>
        <w:gridCol w:w="604"/>
        <w:gridCol w:w="857"/>
      </w:tblGrid>
      <w:tr>
        <w:trPr>
          <w:tblHeader w:val="true"/>
          <w:trHeight w:val="23" w:hRule="atLeast"/>
        </w:trPr>
        <w:tc>
          <w:tcPr>
            <w:tcW w:w="1734" w:type="dxa"/>
            <w:vMerge w:val="restart"/>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项目名称</w:t>
            </w:r>
          </w:p>
        </w:tc>
        <w:tc>
          <w:tcPr>
            <w:tcW w:w="1149" w:type="dxa"/>
            <w:vMerge w:val="restart"/>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投资总额</w:t>
            </w:r>
          </w:p>
        </w:tc>
        <w:tc>
          <w:tcPr>
            <w:tcW w:w="818" w:type="dxa"/>
            <w:vMerge w:val="restart"/>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自有资本金比例</w:t>
            </w:r>
          </w:p>
        </w:tc>
        <w:tc>
          <w:tcPr>
            <w:tcW w:w="1111" w:type="dxa"/>
            <w:vMerge w:val="restart"/>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资本金到位情况</w:t>
            </w:r>
          </w:p>
        </w:tc>
        <w:tc>
          <w:tcPr>
            <w:tcW w:w="760" w:type="dxa"/>
            <w:vMerge w:val="restart"/>
            <w:tcBorders>
              <w:top w:val="single" w:sz="8" w:space="0" w:color="000000"/>
              <w:left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bCs/>
                <w:color w:val="000000"/>
                <w:kern w:val="0"/>
                <w:sz w:val="21"/>
                <w:szCs w:val="21"/>
                <w:lang w:bidi="ar"/>
              </w:rPr>
            </w:pPr>
            <w:r>
              <w:rPr>
                <w:rFonts w:ascii="宋体;汉仪书宋二KW" w:hAnsi="宋体;汉仪书宋二KW" w:cs="宋体;汉仪书宋二KW" w:eastAsia="宋体;汉仪书宋二KW"/>
                <w:b/>
                <w:bCs/>
                <w:color w:val="000000"/>
                <w:kern w:val="0"/>
                <w:sz w:val="21"/>
                <w:szCs w:val="21"/>
                <w:lang w:bidi="ar"/>
              </w:rPr>
              <w:t>设计</w:t>
            </w:r>
          </w:p>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能力</w:t>
            </w:r>
          </w:p>
        </w:tc>
        <w:tc>
          <w:tcPr>
            <w:tcW w:w="124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已完成</w:t>
            </w:r>
          </w:p>
        </w:tc>
        <w:tc>
          <w:tcPr>
            <w:tcW w:w="2649" w:type="dxa"/>
            <w:gridSpan w:val="3"/>
            <w:tcBorders>
              <w:top w:val="single" w:sz="8" w:space="0" w:color="000000"/>
              <w:left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ascii="宋体;汉仪书宋二KW" w:hAnsi="宋体;汉仪书宋二KW" w:cs="宋体;汉仪书宋二KW" w:eastAsia="宋体;汉仪书宋二KW"/>
                <w:b/>
                <w:bCs/>
                <w:color w:val="000000"/>
                <w:kern w:val="0"/>
                <w:sz w:val="21"/>
                <w:szCs w:val="21"/>
                <w:lang w:bidi="ar"/>
              </w:rPr>
              <w:t>投资计划</w:t>
            </w:r>
          </w:p>
        </w:tc>
      </w:tr>
      <w:tr>
        <w:trPr>
          <w:tblHeader w:val="true"/>
          <w:trHeight w:val="23" w:hRule="atLeast"/>
        </w:trPr>
        <w:tc>
          <w:tcPr>
            <w:tcW w:w="173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color w:val="000000"/>
                <w:sz w:val="21"/>
                <w:szCs w:val="21"/>
              </w:rPr>
            </w:r>
          </w:p>
        </w:tc>
        <w:tc>
          <w:tcPr>
            <w:tcW w:w="114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color w:val="000000"/>
                <w:sz w:val="21"/>
                <w:szCs w:val="21"/>
              </w:rPr>
            </w:r>
          </w:p>
        </w:tc>
        <w:tc>
          <w:tcPr>
            <w:tcW w:w="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color w:val="000000"/>
                <w:sz w:val="21"/>
                <w:szCs w:val="21"/>
              </w:rPr>
            </w:r>
          </w:p>
        </w:tc>
        <w:tc>
          <w:tcPr>
            <w:tcW w:w="111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color w:val="000000"/>
                <w:sz w:val="21"/>
                <w:szCs w:val="21"/>
              </w:rPr>
            </w:r>
          </w:p>
        </w:tc>
        <w:tc>
          <w:tcPr>
            <w:tcW w:w="760" w:type="dxa"/>
            <w:vMerge w:val="continue"/>
            <w:tcBorders>
              <w:top w:val="single" w:sz="8" w:space="0" w:color="000000"/>
              <w:left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color w:val="000000"/>
                <w:sz w:val="21"/>
                <w:szCs w:val="21"/>
              </w:rPr>
            </w:r>
          </w:p>
        </w:tc>
        <w:tc>
          <w:tcPr>
            <w:tcW w:w="124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color w:val="000000"/>
                <w:sz w:val="21"/>
                <w:szCs w:val="21"/>
              </w:rPr>
            </w:r>
          </w:p>
        </w:tc>
        <w:tc>
          <w:tcPr>
            <w:tcW w:w="1188"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bCs/>
                <w:color w:val="000000"/>
                <w:kern w:val="0"/>
                <w:sz w:val="21"/>
                <w:szCs w:val="21"/>
                <w:lang w:bidi="ar"/>
              </w:rPr>
              <w:t>2025</w:t>
            </w:r>
            <w:r>
              <w:rPr>
                <w:rFonts w:ascii="宋体;汉仪书宋二KW" w:hAnsi="宋体;汉仪书宋二KW" w:cs="宋体;汉仪书宋二KW" w:eastAsia="宋体;汉仪书宋二KW"/>
                <w:b/>
                <w:color w:val="000000"/>
                <w:kern w:val="0"/>
                <w:sz w:val="21"/>
                <w:szCs w:val="21"/>
              </w:rPr>
              <w:t>年</w:t>
            </w:r>
            <w:r>
              <w:rPr>
                <w:rFonts w:eastAsia="宋体;汉仪书宋二KW" w:cs="宋体;汉仪书宋二KW" w:ascii="宋体;汉仪书宋二KW" w:hAnsi="宋体;汉仪书宋二KW"/>
                <w:b/>
                <w:bCs/>
                <w:color w:val="000000"/>
                <w:kern w:val="0"/>
                <w:sz w:val="21"/>
                <w:szCs w:val="21"/>
                <w:lang w:bidi="ar"/>
              </w:rPr>
              <w:t>4</w:t>
            </w:r>
            <w:r>
              <w:rPr>
                <w:rFonts w:eastAsia="宋体;汉仪书宋二KW" w:cs="宋体;汉仪书宋二KW" w:ascii="宋体;汉仪书宋二KW" w:hAnsi="宋体;汉仪书宋二KW"/>
                <w:b/>
                <w:color w:val="000000"/>
                <w:kern w:val="0"/>
                <w:sz w:val="21"/>
                <w:szCs w:val="21"/>
              </w:rPr>
              <w:t>-12</w:t>
            </w:r>
            <w:r>
              <w:rPr>
                <w:rFonts w:ascii="宋体;汉仪书宋二KW" w:hAnsi="宋体;汉仪书宋二KW" w:cs="宋体;汉仪书宋二KW" w:eastAsia="宋体;汉仪书宋二KW"/>
                <w:b/>
                <w:color w:val="000000"/>
                <w:kern w:val="0"/>
                <w:sz w:val="21"/>
                <w:szCs w:val="21"/>
              </w:rPr>
              <w:t>月</w:t>
            </w:r>
          </w:p>
        </w:tc>
        <w:tc>
          <w:tcPr>
            <w:tcW w:w="604"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bCs/>
                <w:color w:val="000000"/>
                <w:kern w:val="0"/>
                <w:sz w:val="21"/>
                <w:szCs w:val="21"/>
                <w:lang w:bidi="ar"/>
              </w:rPr>
              <w:t>2026</w:t>
            </w:r>
            <w:r>
              <w:rPr>
                <w:rFonts w:ascii="宋体;汉仪书宋二KW" w:hAnsi="宋体;汉仪书宋二KW" w:cs="宋体;汉仪书宋二KW" w:eastAsia="宋体;汉仪书宋二KW"/>
                <w:b/>
                <w:color w:val="000000"/>
                <w:kern w:val="0"/>
                <w:sz w:val="21"/>
                <w:szCs w:val="21"/>
              </w:rPr>
              <w:t>年</w:t>
            </w:r>
          </w:p>
        </w:tc>
        <w:tc>
          <w:tcPr>
            <w:tcW w:w="857" w:type="dxa"/>
            <w:tcBorders>
              <w:top w:val="single" w:sz="8" w:space="0" w:color="000000"/>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color w:val="000000"/>
                <w:sz w:val="21"/>
                <w:szCs w:val="21"/>
              </w:rPr>
            </w:pPr>
            <w:r>
              <w:rPr>
                <w:rFonts w:eastAsia="宋体;汉仪书宋二KW" w:cs="宋体;汉仪书宋二KW" w:ascii="宋体;汉仪书宋二KW" w:hAnsi="宋体;汉仪书宋二KW"/>
                <w:b/>
                <w:bCs/>
                <w:color w:val="000000"/>
                <w:kern w:val="0"/>
                <w:sz w:val="21"/>
                <w:szCs w:val="21"/>
                <w:lang w:bidi="ar"/>
              </w:rPr>
              <w:t>2027</w:t>
            </w:r>
            <w:r>
              <w:rPr>
                <w:rFonts w:ascii="宋体;汉仪书宋二KW" w:hAnsi="宋体;汉仪书宋二KW" w:cs="宋体;汉仪书宋二KW" w:eastAsia="宋体;汉仪书宋二KW"/>
                <w:b/>
                <w:color w:val="000000"/>
                <w:kern w:val="0"/>
                <w:sz w:val="21"/>
                <w:szCs w:val="21"/>
              </w:rPr>
              <w:t>年</w:t>
            </w:r>
          </w:p>
        </w:tc>
      </w:tr>
      <w:tr>
        <w:trPr>
          <w:trHeight w:val="23" w:hRule="atLeast"/>
        </w:trPr>
        <w:tc>
          <w:tcPr>
            <w:tcW w:w="1734" w:type="dxa"/>
            <w:tcBorders>
              <w:left w:val="single" w:sz="8" w:space="0" w:color="000000"/>
              <w:bottom w:val="single" w:sz="8" w:space="0" w:color="000000"/>
              <w:right w:val="single" w:sz="8" w:space="0" w:color="000000"/>
            </w:tcBorders>
            <w:vAlign w:val="center"/>
          </w:tcPr>
          <w:p>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17,788.93</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5,219.45</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5</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10,097.37</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2,345</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1,580</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rPr>
              <w:t>31,972.21</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10,485</w:t>
            </w:r>
            <w:r>
              <w:rPr>
                <w:rFonts w:eastAsia="宋体;汉仪书宋二KW" w:cs="宋体;汉仪书宋二KW" w:ascii="宋体;汉仪书宋二KW" w:hAnsi="宋体;汉仪书宋二KW"/>
                <w:color w:val="000000"/>
                <w:kern w:val="0"/>
                <w:sz w:val="21"/>
                <w:szCs w:val="21"/>
              </w:rPr>
              <w:t>.23</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4</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13,576.68</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8,409.74</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9,985.79</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18,999.96</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9,853.33</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4</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10,894.15</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8,105.81</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eastAsia="宋体;汉仪书宋二KW"/>
                <w:color w:val="000000"/>
                <w:kern w:val="0"/>
                <w:sz w:val="21"/>
                <w:szCs w:val="21"/>
                <w:lang w:bidi="ar"/>
              </w:rPr>
              <w:t>平湖市独山港区工业水</w:t>
            </w:r>
            <w:r>
              <w:rPr>
                <w:rFonts w:ascii="宋体;汉仪书宋二KW" w:hAnsi="宋体;汉仪书宋二KW" w:cs="宋体;汉仪书宋二KW" w:eastAsia="宋体;汉仪书宋二KW"/>
                <w:color w:val="000000"/>
                <w:kern w:val="0"/>
                <w:sz w:val="21"/>
                <w:szCs w:val="21"/>
              </w:rPr>
              <w:t>厂三期</w:t>
            </w:r>
            <w:r>
              <w:rPr>
                <w:rFonts w:ascii="宋体;汉仪书宋二KW" w:hAnsi="宋体;汉仪书宋二KW" w:cs="宋体;汉仪书宋二KW" w:eastAsia="宋体;汉仪书宋二KW"/>
                <w:color w:val="000000"/>
                <w:kern w:val="0"/>
                <w:sz w:val="21"/>
                <w:szCs w:val="21"/>
                <w:lang w:bidi="ar"/>
              </w:rPr>
              <w:t>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rPr>
              <w:t>9,</w:t>
            </w:r>
            <w:r>
              <w:rPr>
                <w:rFonts w:eastAsia="宋体;汉仪书宋二KW" w:cs="宋体;汉仪书宋二KW" w:ascii="宋体;汉仪书宋二KW" w:hAnsi="宋体;汉仪书宋二KW"/>
                <w:color w:val="000000"/>
                <w:kern w:val="0"/>
                <w:sz w:val="21"/>
                <w:szCs w:val="21"/>
                <w:lang w:bidi="ar"/>
              </w:rPr>
              <w:t>454.02</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2,182.64</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5</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2,182.64</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2,498.22</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7,271.38</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eastAsia="宋体;汉仪书宋二KW"/>
                <w:color w:val="000000"/>
                <w:kern w:val="0"/>
                <w:sz w:val="21"/>
                <w:szCs w:val="21"/>
                <w:lang w:bidi="ar"/>
              </w:rPr>
              <w:t>初村污水处理</w:t>
            </w:r>
            <w:r>
              <w:rPr>
                <w:rFonts w:ascii="宋体;汉仪书宋二KW" w:hAnsi="宋体;汉仪书宋二KW" w:cs="宋体;汉仪书宋二KW" w:eastAsia="宋体;汉仪书宋二KW"/>
                <w:color w:val="000000"/>
                <w:kern w:val="0"/>
                <w:sz w:val="21"/>
                <w:szCs w:val="21"/>
              </w:rPr>
              <w:t>厂</w:t>
            </w:r>
            <w:r>
              <w:rPr>
                <w:rFonts w:ascii="宋体;汉仪书宋二KW" w:hAnsi="宋体;汉仪书宋二KW" w:cs="宋体;汉仪书宋二KW" w:eastAsia="宋体;汉仪书宋二KW"/>
                <w:color w:val="000000"/>
                <w:kern w:val="0"/>
                <w:sz w:val="21"/>
                <w:szCs w:val="21"/>
                <w:lang w:bidi="ar"/>
              </w:rPr>
              <w:t>三期</w:t>
            </w:r>
            <w:r>
              <w:rPr>
                <w:rFonts w:ascii="宋体;汉仪书宋二KW" w:hAnsi="宋体;汉仪书宋二KW" w:cs="宋体;汉仪书宋二KW" w:eastAsia="宋体;汉仪书宋二KW"/>
                <w:color w:val="000000"/>
                <w:kern w:val="0"/>
                <w:sz w:val="21"/>
                <w:szCs w:val="21"/>
              </w:rPr>
              <w:t>扩建</w:t>
            </w:r>
            <w:r>
              <w:rPr>
                <w:rFonts w:ascii="宋体;汉仪书宋二KW" w:hAnsi="宋体;汉仪书宋二KW" w:cs="宋体;汉仪书宋二KW" w:eastAsia="宋体;汉仪书宋二KW"/>
                <w:color w:val="000000"/>
                <w:kern w:val="0"/>
                <w:sz w:val="21"/>
                <w:szCs w:val="21"/>
                <w:lang w:bidi="ar"/>
              </w:rPr>
              <w:t>工程项目</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9,966.07</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rPr>
              <w:t>3,</w:t>
            </w:r>
            <w:r>
              <w:rPr>
                <w:rFonts w:eastAsia="宋体;汉仪书宋二KW" w:cs="宋体;汉仪书宋二KW" w:ascii="宋体;汉仪书宋二KW" w:hAnsi="宋体;汉仪书宋二KW"/>
                <w:color w:val="000000"/>
                <w:kern w:val="0"/>
                <w:sz w:val="21"/>
                <w:szCs w:val="21"/>
                <w:lang w:bidi="ar"/>
              </w:rPr>
              <w:t>829.73</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2</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7,000.00</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2,966.07</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城阳区棘洪滩水厂扩建工程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24,254.45</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11,058.21</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15,035.24</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9,219.21</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城南水厂扩建工程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49,876.86</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49,876.86</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20</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20,660.74</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12,000.00</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7,000.00</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1,000.00</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凤台县水厂改扩建二期及凤凰湖新区供水加压泵站工程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5,000.00</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3,751.54</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6</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3,751.54</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1,148.46</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内蒙古准格尔旗万家寨引黄供水工程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17,389.94</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0.42</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13,527.71</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取水</w:t>
            </w:r>
            <w:r>
              <w:rPr>
                <w:rFonts w:eastAsia="宋体;汉仪书宋二KW" w:cs="宋体;汉仪书宋二KW" w:ascii="宋体;汉仪书宋二KW" w:hAnsi="宋体;汉仪书宋二KW"/>
                <w:color w:val="000000"/>
                <w:kern w:val="0"/>
                <w:sz w:val="21"/>
                <w:szCs w:val="21"/>
                <w:lang w:bidi="ar"/>
              </w:rPr>
              <w:t>2000</w:t>
            </w:r>
            <w:r>
              <w:rPr>
                <w:rFonts w:ascii="宋体;汉仪书宋二KW" w:hAnsi="宋体;汉仪书宋二KW" w:cs="宋体;汉仪书宋二KW" w:eastAsia="宋体;汉仪书宋二KW"/>
                <w:color w:val="000000"/>
                <w:kern w:val="0"/>
                <w:sz w:val="21"/>
                <w:szCs w:val="21"/>
                <w:lang w:bidi="ar"/>
              </w:rPr>
              <w:t>万</w:t>
            </w:r>
            <w:r>
              <w:rPr>
                <w:rFonts w:eastAsia="宋体;汉仪书宋二KW" w:cs="宋体;汉仪书宋二KW" w:ascii="宋体;汉仪书宋二KW" w:hAnsi="宋体;汉仪书宋二KW"/>
                <w:color w:val="000000"/>
                <w:kern w:val="0"/>
                <w:sz w:val="21"/>
                <w:szCs w:val="21"/>
                <w:lang w:bidi="ar"/>
              </w:rPr>
              <w:t>m³/d</w:t>
            </w:r>
            <w:r>
              <w:rPr>
                <w:rFonts w:ascii="宋体;汉仪书宋二KW" w:hAnsi="宋体;汉仪书宋二KW" w:cs="宋体;汉仪书宋二KW" w:eastAsia="宋体;汉仪书宋二KW"/>
                <w:color w:val="000000"/>
                <w:kern w:val="0"/>
                <w:sz w:val="21"/>
                <w:szCs w:val="21"/>
                <w:lang w:bidi="ar"/>
              </w:rPr>
              <w:t>，供水</w:t>
            </w:r>
            <w:r>
              <w:rPr>
                <w:rFonts w:eastAsia="宋体;汉仪书宋二KW" w:cs="宋体;汉仪书宋二KW" w:ascii="宋体;汉仪书宋二KW" w:hAnsi="宋体;汉仪书宋二KW"/>
                <w:color w:val="000000"/>
                <w:kern w:val="0"/>
                <w:sz w:val="21"/>
                <w:szCs w:val="21"/>
                <w:lang w:bidi="ar"/>
              </w:rPr>
              <w:t>1818</w:t>
            </w:r>
            <w:r>
              <w:rPr>
                <w:rFonts w:ascii="宋体;汉仪书宋二KW" w:hAnsi="宋体;汉仪书宋二KW" w:cs="宋体;汉仪书宋二KW" w:eastAsia="宋体;汉仪书宋二KW"/>
                <w:color w:val="000000"/>
                <w:kern w:val="0"/>
                <w:sz w:val="21"/>
                <w:szCs w:val="21"/>
                <w:lang w:bidi="ar"/>
              </w:rPr>
              <w:t>万</w:t>
            </w:r>
            <w:r>
              <w:rPr>
                <w:rFonts w:eastAsia="宋体;汉仪书宋二KW" w:cs="宋体;汉仪书宋二KW" w:ascii="宋体;汉仪书宋二KW" w:hAnsi="宋体;汉仪书宋二KW"/>
                <w:color w:val="000000"/>
                <w:kern w:val="0"/>
                <w:sz w:val="21"/>
                <w:szCs w:val="21"/>
                <w:lang w:bidi="ar"/>
              </w:rPr>
              <w:t>m³/d</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11,868.63</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6,061.10</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荣成康得碳谷科技项目生产废水处理（一期）工程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9,456.00</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36</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3,856.81</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5,469.00</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3,987.00</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固安县大清河园区污水处理厂项目</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23,347.68</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6,427.33</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20,523.84</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2,823.84</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南京浦口经济开发区污水处理厂一期二阶段</w:t>
            </w:r>
            <w:r>
              <w:rPr>
                <w:rFonts w:eastAsia="宋体;汉仪书宋二KW" w:cs="宋体;汉仪书宋二KW" w:ascii="宋体;汉仪书宋二KW" w:hAnsi="宋体;汉仪书宋二KW"/>
                <w:color w:val="000000"/>
                <w:kern w:val="0"/>
                <w:sz w:val="21"/>
                <w:szCs w:val="21"/>
                <w:lang w:bidi="ar"/>
              </w:rPr>
              <w:br/>
            </w:r>
            <w:r>
              <w:rPr>
                <w:rFonts w:ascii="宋体;汉仪书宋二KW" w:hAnsi="宋体;汉仪书宋二KW" w:cs="宋体;汉仪书宋二KW" w:eastAsia="宋体;汉仪书宋二KW"/>
                <w:color w:val="000000"/>
                <w:kern w:val="0"/>
                <w:sz w:val="21"/>
                <w:szCs w:val="21"/>
                <w:lang w:bidi="ar"/>
              </w:rPr>
              <w:t>建设工程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11356.11</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1,070.00</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5</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147.96</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11,208.15</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ascii="宋体;汉仪书宋二KW" w:hAnsi="宋体;汉仪书宋二KW" w:cs="宋体;汉仪书宋二KW" w:eastAsia="宋体;汉仪书宋二KW"/>
                <w:color w:val="000000"/>
                <w:kern w:val="0"/>
                <w:sz w:val="21"/>
                <w:szCs w:val="21"/>
                <w:lang w:bidi="ar"/>
              </w:rPr>
              <w:t>溧阳市中心水厂二期工程</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39,899.00</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30</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5000</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1,000.00</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27,000.00</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11,899.00</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color w:val="000000"/>
                <w:kern w:val="0"/>
                <w:sz w:val="21"/>
                <w:szCs w:val="21"/>
                <w:lang w:bidi="ar"/>
              </w:rPr>
            </w:pPr>
            <w:r>
              <w:rPr>
                <w:rFonts w:eastAsia="宋体;汉仪书宋二KW" w:cs="宋体;汉仪书宋二KW" w:ascii="宋体;汉仪书宋二KW" w:hAnsi="宋体;汉仪书宋二KW"/>
                <w:color w:val="000000"/>
                <w:kern w:val="0"/>
                <w:sz w:val="21"/>
                <w:szCs w:val="21"/>
                <w:lang w:bidi="ar"/>
              </w:rPr>
              <w:t>-</w:t>
            </w:r>
          </w:p>
        </w:tc>
      </w:tr>
      <w:tr>
        <w:trPr>
          <w:trHeight w:val="23" w:hRule="atLeast"/>
        </w:trPr>
        <w:tc>
          <w:tcPr>
            <w:tcW w:w="173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bottom"/>
              <w:rPr>
                <w:rFonts w:ascii="宋体;汉仪书宋二KW" w:hAnsi="宋体;汉仪书宋二KW" w:eastAsia="宋体;汉仪书宋二KW" w:cs="宋体;汉仪书宋二KW"/>
                <w:b/>
                <w:bCs/>
                <w:color w:val="000000"/>
                <w:sz w:val="21"/>
                <w:szCs w:val="21"/>
              </w:rPr>
            </w:pPr>
            <w:r>
              <w:rPr>
                <w:rFonts w:ascii="宋体;汉仪书宋二KW" w:hAnsi="宋体;汉仪书宋二KW" w:cs="宋体;汉仪书宋二KW" w:eastAsia="宋体;汉仪书宋二KW"/>
                <w:b/>
                <w:bCs/>
                <w:color w:val="000000"/>
                <w:kern w:val="0"/>
                <w:sz w:val="21"/>
                <w:szCs w:val="21"/>
                <w:lang w:bidi="ar"/>
              </w:rPr>
              <w:t>合计</w:t>
            </w:r>
          </w:p>
        </w:tc>
        <w:tc>
          <w:tcPr>
            <w:tcW w:w="1149"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268,761.23</w:t>
            </w:r>
          </w:p>
        </w:tc>
        <w:tc>
          <w:tcPr>
            <w:tcW w:w="818"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sz w:val="21"/>
                <w:szCs w:val="21"/>
              </w:rPr>
              <w:t>-</w:t>
            </w:r>
          </w:p>
        </w:tc>
        <w:tc>
          <w:tcPr>
            <w:tcW w:w="1111"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126,138.84</w:t>
            </w:r>
          </w:p>
        </w:tc>
        <w:tc>
          <w:tcPr>
            <w:tcW w:w="760"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sz w:val="21"/>
                <w:szCs w:val="21"/>
              </w:rPr>
              <w:t>-</w:t>
            </w:r>
          </w:p>
        </w:tc>
        <w:tc>
          <w:tcPr>
            <w:tcW w:w="1247"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122,207.79</w:t>
            </w:r>
          </w:p>
        </w:tc>
        <w:tc>
          <w:tcPr>
            <w:tcW w:w="1188"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97,772.60</w:t>
            </w:r>
          </w:p>
        </w:tc>
        <w:tc>
          <w:tcPr>
            <w:tcW w:w="604" w:type="dxa"/>
            <w:tcBorders>
              <w:left w:val="single" w:sz="8" w:space="0" w:color="000000"/>
              <w:bottom w:val="single" w:sz="8" w:space="0" w:color="000000"/>
              <w:right w:val="single" w:sz="8" w:space="0" w:color="000000"/>
            </w:tcBorders>
            <w:vAlign w:val="center"/>
          </w:tcPr>
          <w:p>
            <w:pPr>
              <w:pStyle w:val="Normal"/>
              <w:keepNext w:val="false"/>
              <w:keepLines w:val="false"/>
              <w:widowControl/>
              <w:kinsoku w:val="true"/>
              <w:overflowPunct w:val="true"/>
              <w:autoSpaceDE w:val="true"/>
              <w:bidi w:val="0"/>
              <w:snapToGrid w:val="false"/>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37,736.17</w:t>
            </w:r>
          </w:p>
        </w:tc>
        <w:tc>
          <w:tcPr>
            <w:tcW w:w="857" w:type="dxa"/>
            <w:tcBorders>
              <w:left w:val="single" w:sz="8" w:space="0" w:color="000000"/>
              <w:bottom w:val="single" w:sz="8" w:space="0" w:color="000000"/>
              <w:right w:val="single" w:sz="8" w:space="0" w:color="000000"/>
            </w:tcBorders>
            <w:vAlign w:val="center"/>
          </w:tcPr>
          <w:p>
            <w:pPr>
              <w:pStyle w:val="Normal"/>
              <w:keepNext w:val="false"/>
              <w:keepLines w:val="false"/>
              <w:kinsoku w:val="true"/>
              <w:overflowPunct w:val="true"/>
              <w:autoSpaceDE w:val="true"/>
              <w:bidi w:val="0"/>
              <w:snapToGrid w:val="false"/>
              <w:jc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sz w:val="21"/>
                <w:szCs w:val="21"/>
              </w:rPr>
              <w:t>-</w:t>
            </w:r>
          </w:p>
        </w:tc>
      </w:tr>
    </w:tbl>
    <w:p>
      <w:pPr>
        <w:pStyle w:val="3"/>
        <w:spacing w:before="93" w:after="93"/>
        <w:rPr>
          <w:rFonts w:ascii="宋体;汉仪书宋二KW" w:hAnsi="宋体;汉仪书宋二KW" w:eastAsia="宋体;汉仪书宋二KW" w:cs="宋体;汉仪书宋二KW"/>
          <w:b w:val="false"/>
          <w:bCs w:val="false"/>
          <w:color w:val="000000"/>
          <w:kern w:val="2"/>
          <w:sz w:val="21"/>
          <w:szCs w:val="21"/>
          <w:highlight w:val="none"/>
          <w:lang w:val="en-US" w:eastAsia="zh-CN" w:bidi="ar-SA"/>
        </w:rPr>
      </w:pPr>
    </w:p>
    <w:p>
      <w:pPr>
        <w:pStyle w:val="Normal"/>
        <w:widowControl/>
        <w:spacing w:lineRule="auto" w:line="360" w:before="25" w:after="25"/>
        <w:jc w:val="right"/>
        <w:rPr>
          <w:color w:val="000000"/>
          <w:kern w:val="0"/>
          <w:lang w:val="en-GB"/>
        </w:rPr>
      </w:pPr>
      <w:r>
        <w:rPr>
          <w:color w:val="000000"/>
          <w:kern w:val="0"/>
          <w:lang w:val="en-GB"/>
        </w:rPr>
        <w:t>单位：万元</w:t>
      </w:r>
    </w:p>
    <w:tbl>
      <w:tblPr>
        <w:tblW w:w="5700" w:type="pct"/>
        <w:jc w:val="center"/>
        <w:tblInd w:w="0" w:type="dxa"/>
        <w:tblLayout w:type="fixed"/>
        <w:tblCellMar>
          <w:top w:w="0" w:type="dxa"/>
          <w:left w:w="108" w:type="dxa"/>
          <w:bottom w:w="0" w:type="dxa"/>
          <w:right w:w="108" w:type="dxa"/>
        </w:tblCellMar>
      </w:tblPr>
      <w:tblGrid>
        <w:gridCol w:w="2205"/>
        <w:gridCol w:w="1189"/>
        <w:gridCol w:w="1550"/>
        <w:gridCol w:w="1507"/>
        <w:gridCol w:w="1508"/>
        <w:gridCol w:w="1509"/>
      </w:tblGrid>
      <w:tr>
        <w:trPr>
          <w:tblHeader w:val="true"/>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bookmarkStart w:id="0" w:name="_Hlk81949688"/>
            <w:bookmarkEnd w:id="0"/>
            <w:r>
              <w:rPr>
                <w:rFonts w:ascii="宋体;汉仪书宋二KW" w:hAnsi="宋体;汉仪书宋二KW" w:cs="宋体;汉仪书宋二KW" w:eastAsia="宋体;汉仪书宋二KW"/>
                <w:b/>
                <w:bCs/>
                <w:sz w:val="21"/>
                <w:szCs w:val="21"/>
              </w:rPr>
              <w:t>项目名称</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资金来源</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sz w:val="21"/>
                <w:szCs w:val="21"/>
              </w:rPr>
              <w:t>预计总投资</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eastAsia="宋体;汉仪书宋二KW" w:cs="宋体;汉仪书宋二KW" w:ascii="宋体;汉仪书宋二KW" w:hAnsi="宋体;汉仪书宋二KW"/>
                <w:b/>
                <w:bCs/>
                <w:sz w:val="21"/>
                <w:szCs w:val="21"/>
              </w:rPr>
              <w:t>2025</w:t>
            </w:r>
            <w:r>
              <w:rPr>
                <w:rFonts w:ascii="宋体;汉仪书宋二KW" w:hAnsi="宋体;汉仪书宋二KW" w:cs="宋体;汉仪书宋二KW" w:eastAsia="宋体;汉仪书宋二KW"/>
                <w:b/>
                <w:bCs/>
                <w:sz w:val="21"/>
                <w:szCs w:val="21"/>
              </w:rPr>
              <w:t>年</w:t>
            </w:r>
            <w:r>
              <w:rPr>
                <w:rFonts w:eastAsia="宋体;汉仪书宋二KW" w:cs="宋体;汉仪书宋二KW" w:ascii="宋体;汉仪书宋二KW" w:hAnsi="宋体;汉仪书宋二KW"/>
                <w:b/>
                <w:bCs/>
                <w:sz w:val="21"/>
                <w:szCs w:val="21"/>
              </w:rPr>
              <w:t>4-12</w:t>
            </w:r>
            <w:r>
              <w:rPr>
                <w:rFonts w:ascii="宋体;汉仪书宋二KW" w:hAnsi="宋体;汉仪书宋二KW" w:cs="宋体;汉仪书宋二KW" w:eastAsia="宋体;汉仪书宋二KW"/>
                <w:b/>
                <w:bCs/>
                <w:sz w:val="21"/>
                <w:szCs w:val="21"/>
              </w:rPr>
              <w:t>月预计投资额</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eastAsia="宋体;汉仪书宋二KW" w:cs="宋体;汉仪书宋二KW" w:ascii="宋体;汉仪书宋二KW" w:hAnsi="宋体;汉仪书宋二KW"/>
                <w:b/>
                <w:bCs/>
                <w:sz w:val="21"/>
                <w:szCs w:val="21"/>
              </w:rPr>
              <w:t>2026</w:t>
            </w:r>
            <w:r>
              <w:rPr>
                <w:rFonts w:ascii="宋体;汉仪书宋二KW" w:hAnsi="宋体;汉仪书宋二KW" w:cs="宋体;汉仪书宋二KW" w:eastAsia="宋体;汉仪书宋二KW"/>
                <w:b/>
                <w:bCs/>
                <w:sz w:val="21"/>
                <w:szCs w:val="21"/>
              </w:rPr>
              <w:t>年度预计投资额</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eastAsia="宋体;汉仪书宋二KW" w:cs="宋体;汉仪书宋二KW" w:ascii="宋体;汉仪书宋二KW" w:hAnsi="宋体;汉仪书宋二KW"/>
                <w:b/>
                <w:bCs/>
                <w:sz w:val="21"/>
                <w:szCs w:val="21"/>
              </w:rPr>
              <w:t>2027</w:t>
            </w:r>
            <w:r>
              <w:rPr>
                <w:rFonts w:ascii="宋体;汉仪书宋二KW" w:hAnsi="宋体;汉仪书宋二KW" w:cs="宋体;汉仪书宋二KW" w:eastAsia="宋体;汉仪书宋二KW"/>
                <w:b/>
                <w:bCs/>
                <w:sz w:val="21"/>
                <w:szCs w:val="21"/>
              </w:rPr>
              <w:t>年度预计投资额</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自筹</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highlight w:val="yellow"/>
              </w:rPr>
            </w:pPr>
            <w:r>
              <w:rPr>
                <w:rFonts w:eastAsia="宋体;汉仪书宋二KW" w:cs="宋体;汉仪书宋二KW" w:ascii="宋体;汉仪书宋二KW" w:hAnsi="宋体;汉仪书宋二KW"/>
                <w:color w:val="000000"/>
                <w:kern w:val="0"/>
                <w:sz w:val="21"/>
                <w:szCs w:val="21"/>
                <w:lang w:bidi="ar"/>
              </w:rPr>
              <w:t>14,250.00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highlight w:val="yellow"/>
              </w:rPr>
            </w:pPr>
            <w:r>
              <w:rPr>
                <w:rFonts w:eastAsia="宋体;汉仪书宋二KW" w:cs="宋体;汉仪书宋二KW" w:ascii="宋体;汉仪书宋二KW" w:hAnsi="宋体;汉仪书宋二KW"/>
                <w:color w:val="000000"/>
                <w:kern w:val="0"/>
                <w:sz w:val="21"/>
                <w:szCs w:val="21"/>
                <w:lang w:bidi="ar"/>
              </w:rPr>
              <w:t>6,000.00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highlight w:val="yellow"/>
              </w:rPr>
            </w:pPr>
            <w:r>
              <w:rPr>
                <w:rFonts w:eastAsia="宋体;汉仪书宋二KW" w:cs="宋体;汉仪书宋二KW" w:ascii="宋体;汉仪书宋二KW" w:hAnsi="宋体;汉仪书宋二KW"/>
                <w:color w:val="000000"/>
                <w:kern w:val="0"/>
                <w:sz w:val="21"/>
                <w:szCs w:val="21"/>
                <w:lang w:bidi="ar"/>
              </w:rPr>
              <w:t>8,250.00</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临长水厂污水处理系统新建项目</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融资</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sz w:val="21"/>
                <w:szCs w:val="21"/>
                <w:highlight w:val="yellow"/>
              </w:rPr>
            </w:pPr>
            <w:r>
              <w:rPr>
                <w:rFonts w:eastAsia="宋体;汉仪书宋二KW" w:cs="宋体;汉仪书宋二KW" w:ascii="宋体;汉仪书宋二KW" w:hAnsi="宋体;汉仪书宋二KW"/>
                <w:color w:val="000000"/>
                <w:kern w:val="0"/>
                <w:sz w:val="21"/>
                <w:szCs w:val="21"/>
                <w:lang w:bidi="ar"/>
              </w:rPr>
              <w:t>280.40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highlight w:val="yellow"/>
              </w:rPr>
            </w:pPr>
            <w:r>
              <w:rPr>
                <w:rFonts w:eastAsia="宋体;汉仪书宋二KW" w:cs="宋体;汉仪书宋二KW" w:ascii="宋体;汉仪书宋二KW" w:hAnsi="宋体;汉仪书宋二KW"/>
                <w:color w:val="000000"/>
                <w:kern w:val="0"/>
                <w:sz w:val="21"/>
                <w:szCs w:val="21"/>
                <w:lang w:bidi="ar"/>
              </w:rPr>
              <w:t>280.40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highlight w:val="yellow"/>
              </w:rPr>
            </w:pPr>
            <w:r>
              <w:rPr>
                <w:rFonts w:eastAsia="宋体;汉仪书宋二KW" w:cs="宋体;汉仪书宋二KW" w:ascii="宋体;汉仪书宋二KW" w:hAnsi="宋体;汉仪书宋二KW"/>
                <w:color w:val="000000"/>
                <w:kern w:val="0"/>
                <w:sz w:val="21"/>
                <w:szCs w:val="21"/>
                <w:lang w:bidi="ar"/>
              </w:rPr>
              <w:t>-</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临长水厂提质改造项目</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融资</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lang w:bidi="ar"/>
              </w:rPr>
            </w:pPr>
            <w:r>
              <w:rPr>
                <w:rFonts w:eastAsia="宋体;汉仪书宋二KW" w:cs="宋体;汉仪书宋二KW" w:ascii="宋体;汉仪书宋二KW" w:hAnsi="宋体;汉仪书宋二KW"/>
                <w:color w:val="000000"/>
                <w:kern w:val="0"/>
                <w:sz w:val="21"/>
                <w:szCs w:val="21"/>
                <w:lang w:bidi="ar"/>
              </w:rPr>
              <w:t>990.98</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lang w:bidi="ar"/>
              </w:rPr>
            </w:pPr>
            <w:r>
              <w:rPr>
                <w:rFonts w:eastAsia="宋体;汉仪书宋二KW" w:cs="宋体;汉仪书宋二KW" w:ascii="宋体;汉仪书宋二KW" w:hAnsi="宋体;汉仪书宋二KW"/>
                <w:color w:val="000000"/>
                <w:kern w:val="0"/>
                <w:sz w:val="21"/>
                <w:szCs w:val="21"/>
                <w:lang w:bidi="ar"/>
              </w:rPr>
              <w:t>990.98</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lang w:bidi="ar"/>
              </w:rPr>
            </w:pPr>
            <w:r>
              <w:rPr>
                <w:rFonts w:eastAsia="宋体;汉仪书宋二KW" w:cs="宋体;汉仪书宋二KW" w:ascii="宋体;汉仪书宋二KW" w:hAnsi="宋体;汉仪书宋二KW"/>
                <w:color w:val="000000"/>
                <w:kern w:val="0"/>
                <w:sz w:val="21"/>
                <w:szCs w:val="21"/>
                <w:lang w:bidi="ar"/>
              </w:rPr>
              <w:t>-</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净水厂改造</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自筹</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490.00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490.00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金寨县新城区污水处理厂改扩建项目</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自筹</w:t>
            </w:r>
            <w:r>
              <w:rPr>
                <w:rFonts w:eastAsia="宋体;汉仪书宋二KW" w:cs="宋体;汉仪书宋二KW" w:ascii="宋体;汉仪书宋二KW" w:hAnsi="宋体;汉仪书宋二KW"/>
                <w:color w:val="000000"/>
                <w:kern w:val="2"/>
                <w:sz w:val="21"/>
                <w:szCs w:val="21"/>
                <w:lang w:val="en-US" w:eastAsia="zh-CN" w:bidi="ar-SA"/>
              </w:rPr>
              <w:t>+</w:t>
            </w:r>
            <w:r>
              <w:rPr>
                <w:rFonts w:ascii="宋体;汉仪书宋二KW" w:hAnsi="宋体;汉仪书宋二KW" w:cs="宋体;汉仪书宋二KW" w:eastAsia="宋体;汉仪书宋二KW"/>
                <w:color w:val="000000"/>
                <w:kern w:val="2"/>
                <w:sz w:val="21"/>
                <w:szCs w:val="21"/>
                <w:lang w:val="en-US" w:eastAsia="zh-CN" w:bidi="ar-SA"/>
              </w:rPr>
              <w:t>贷款</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8,307.00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4,154.00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4,153.00</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高新区再生水厂新建项目</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自筹</w:t>
            </w:r>
            <w:r>
              <w:rPr>
                <w:rFonts w:eastAsia="宋体;汉仪书宋二KW" w:cs="宋体;汉仪书宋二KW" w:ascii="宋体;汉仪书宋二KW" w:hAnsi="宋体;汉仪书宋二KW"/>
                <w:color w:val="000000"/>
                <w:kern w:val="2"/>
                <w:sz w:val="21"/>
                <w:szCs w:val="21"/>
                <w:lang w:val="en-US" w:eastAsia="zh-CN" w:bidi="ar-SA"/>
              </w:rPr>
              <w:t>+</w:t>
            </w:r>
            <w:r>
              <w:rPr>
                <w:rFonts w:ascii="宋体;汉仪书宋二KW" w:hAnsi="宋体;汉仪书宋二KW" w:cs="宋体;汉仪书宋二KW" w:eastAsia="宋体;汉仪书宋二KW"/>
                <w:color w:val="000000"/>
                <w:kern w:val="2"/>
                <w:sz w:val="21"/>
                <w:szCs w:val="21"/>
                <w:lang w:val="en-US" w:eastAsia="zh-CN" w:bidi="ar-SA"/>
              </w:rPr>
              <w:t>贷款</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2,600</w:t>
            </w:r>
            <w:r>
              <w:rPr>
                <w:rFonts w:eastAsia="宋体;汉仪书宋二KW" w:cs="宋体;汉仪书宋二KW" w:ascii="宋体;汉仪书宋二KW" w:hAnsi="宋体;汉仪书宋二KW"/>
                <w:color w:val="000000"/>
                <w:kern w:val="0"/>
                <w:sz w:val="21"/>
                <w:szCs w:val="21"/>
              </w:rPr>
              <w:t>.00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1,300.00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1,300.00</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邳州张楼地表水厂二期扩建项目</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自筹</w:t>
            </w:r>
            <w:r>
              <w:rPr>
                <w:rFonts w:eastAsia="宋体;汉仪书宋二KW" w:cs="宋体;汉仪书宋二KW" w:ascii="宋体;汉仪书宋二KW" w:hAnsi="宋体;汉仪书宋二KW"/>
                <w:color w:val="000000"/>
                <w:kern w:val="2"/>
                <w:sz w:val="21"/>
                <w:szCs w:val="21"/>
                <w:lang w:val="en-US" w:eastAsia="zh-CN" w:bidi="ar-SA"/>
              </w:rPr>
              <w:t>+</w:t>
            </w:r>
            <w:r>
              <w:rPr>
                <w:rFonts w:ascii="宋体;汉仪书宋二KW" w:hAnsi="宋体;汉仪书宋二KW" w:cs="宋体;汉仪书宋二KW" w:eastAsia="宋体;汉仪书宋二KW"/>
                <w:color w:val="000000"/>
                <w:kern w:val="2"/>
                <w:sz w:val="21"/>
                <w:szCs w:val="21"/>
                <w:lang w:val="en-US" w:eastAsia="zh-CN" w:bidi="ar-SA"/>
              </w:rPr>
              <w:t>贷款</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rPr>
              <w:t>16,000.00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4,800.00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6,400.00</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kern w:val="0"/>
                <w:sz w:val="21"/>
                <w:szCs w:val="21"/>
                <w:lang w:bidi="ar"/>
              </w:rPr>
              <w:t>4,800.00</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寿县新桥污水厂二期扩建项目</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eastAsia="宋体;汉仪书宋二KW"/>
                <w:color w:val="000000"/>
                <w:kern w:val="2"/>
                <w:sz w:val="21"/>
                <w:szCs w:val="21"/>
                <w:lang w:val="en-US" w:eastAsia="zh-CN" w:bidi="ar-SA"/>
              </w:rPr>
              <w:t>自筹</w:t>
            </w:r>
            <w:r>
              <w:rPr>
                <w:rFonts w:eastAsia="宋体;汉仪书宋二KW" w:cs="宋体;汉仪书宋二KW" w:ascii="宋体;汉仪书宋二KW" w:hAnsi="宋体;汉仪书宋二KW"/>
                <w:color w:val="000000"/>
                <w:kern w:val="2"/>
                <w:sz w:val="21"/>
                <w:szCs w:val="21"/>
                <w:lang w:val="en-US" w:eastAsia="zh-CN" w:bidi="ar-SA"/>
              </w:rPr>
              <w:t>+</w:t>
            </w:r>
            <w:r>
              <w:rPr>
                <w:rFonts w:ascii="宋体;汉仪书宋二KW" w:hAnsi="宋体;汉仪书宋二KW" w:cs="宋体;汉仪书宋二KW" w:eastAsia="宋体;汉仪书宋二KW"/>
                <w:color w:val="000000"/>
                <w:kern w:val="2"/>
                <w:sz w:val="21"/>
                <w:szCs w:val="21"/>
                <w:lang w:val="en-US" w:eastAsia="zh-CN" w:bidi="ar-SA"/>
              </w:rPr>
              <w:t>贷款</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8,150.00</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4,075.00</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rFonts w:ascii="宋体;汉仪书宋二KW" w:hAnsi="宋体;汉仪书宋二KW" w:eastAsia="宋体;汉仪书宋二KW" w:cs="宋体;汉仪书宋二KW"/>
                <w:color w:val="000000"/>
                <w:kern w:val="0"/>
                <w:sz w:val="21"/>
                <w:szCs w:val="21"/>
                <w:highlight w:val="yellow"/>
              </w:rPr>
            </w:pPr>
            <w:r>
              <w:rPr>
                <w:rFonts w:eastAsia="宋体;汉仪书宋二KW" w:cs="宋体;汉仪书宋二KW" w:ascii="宋体;汉仪书宋二KW" w:hAnsi="宋体;汉仪书宋二KW"/>
                <w:color w:val="000000"/>
                <w:kern w:val="0"/>
                <w:sz w:val="21"/>
                <w:szCs w:val="21"/>
                <w:lang w:bidi="ar"/>
              </w:rPr>
              <w:t>-</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w:t>
            </w:r>
          </w:p>
        </w:tc>
      </w:tr>
      <w:tr>
        <w:trPr>
          <w:trHeight w:val="397" w:hRule="atLeast"/>
        </w:trPr>
        <w:tc>
          <w:tcPr>
            <w:tcW w:w="220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ascii="宋体;汉仪书宋二KW" w:hAnsi="宋体;汉仪书宋二KW" w:cs="宋体;汉仪书宋二KW" w:eastAsia="宋体;汉仪书宋二KW"/>
                <w:b/>
                <w:bCs/>
                <w:color w:val="000000"/>
                <w:kern w:val="0"/>
                <w:sz w:val="21"/>
                <w:szCs w:val="21"/>
                <w:lang w:bidi="ar"/>
              </w:rPr>
              <w:t>合计</w:t>
            </w:r>
          </w:p>
        </w:tc>
        <w:tc>
          <w:tcPr>
            <w:tcW w:w="11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宋体;汉仪书宋二KW" w:hAnsi="宋体;汉仪书宋二KW" w:eastAsia="宋体;汉仪书宋二KW" w:cs="宋体;汉仪书宋二KW"/>
                <w:b/>
                <w:bCs/>
                <w:sz w:val="21"/>
                <w:szCs w:val="21"/>
              </w:rPr>
            </w:pPr>
            <w:r>
              <w:rPr>
                <w:rFonts w:eastAsia="宋体;汉仪书宋二KW" w:cs="宋体;汉仪书宋二KW" w:ascii="宋体;汉仪书宋二KW" w:hAnsi="宋体;汉仪书宋二KW"/>
                <w:b/>
                <w:bCs/>
                <w:sz w:val="21"/>
                <w:szCs w:val="21"/>
              </w:rPr>
              <w:t>-</w:t>
            </w:r>
          </w:p>
        </w:tc>
        <w:tc>
          <w:tcPr>
            <w:tcW w:w="155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51,068.38</w:t>
            </w:r>
          </w:p>
        </w:tc>
        <w:tc>
          <w:tcPr>
            <w:tcW w:w="15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22,090.38</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rPr>
              <w:t>14</w:t>
            </w:r>
            <w:r>
              <w:rPr>
                <w:rFonts w:eastAsia="宋体;汉仪书宋二KW" w:cs="宋体;汉仪书宋二KW" w:ascii="宋体;汉仪书宋二KW" w:hAnsi="宋体;汉仪书宋二KW"/>
                <w:b/>
                <w:bCs/>
                <w:color w:val="000000"/>
                <w:kern w:val="0"/>
                <w:sz w:val="21"/>
                <w:szCs w:val="21"/>
                <w:lang w:bidi="ar"/>
              </w:rPr>
              <w:t>,650.00</w:t>
            </w:r>
          </w:p>
        </w:tc>
        <w:tc>
          <w:tcPr>
            <w:tcW w:w="15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宋体;汉仪书宋二KW" w:hAnsi="宋体;汉仪书宋二KW" w:eastAsia="宋体;汉仪书宋二KW" w:cs="宋体;汉仪书宋二KW"/>
                <w:b/>
                <w:bCs/>
                <w:color w:val="000000"/>
                <w:sz w:val="21"/>
                <w:szCs w:val="21"/>
              </w:rPr>
            </w:pPr>
            <w:r>
              <w:rPr>
                <w:rFonts w:eastAsia="宋体;汉仪书宋二KW" w:cs="宋体;汉仪书宋二KW" w:ascii="宋体;汉仪书宋二KW" w:hAnsi="宋体;汉仪书宋二KW"/>
                <w:b/>
                <w:bCs/>
                <w:color w:val="000000"/>
                <w:kern w:val="0"/>
                <w:sz w:val="21"/>
                <w:szCs w:val="21"/>
                <w:lang w:bidi="ar"/>
              </w:rPr>
              <w:t>10,253.00</w:t>
            </w:r>
          </w:p>
        </w:tc>
      </w:tr>
    </w:tbl>
    <w:p>
      <w:pPr>
        <w:pStyle w:val="Normal"/>
        <w:spacing w:lineRule="auto" w:line="240"/>
        <w:rPr>
          <w:rFonts w:ascii="楷体;汉仪楷体KW" w:hAnsi="楷体;汉仪楷体KW" w:eastAsia="楷体;汉仪楷体KW" w:cs="楷体;汉仪楷体KW"/>
          <w:b/>
          <w:sz w:val="24"/>
          <w:szCs w:val="24"/>
          <w:highlight w:val="yellow"/>
        </w:rPr>
      </w:pPr>
      <w:r>
        <w:rPr>
          <w:rFonts w:eastAsia="楷体;汉仪楷体KW" w:cs="楷体;汉仪楷体KW" w:ascii="楷体;汉仪楷体KW" w:hAnsi="楷体;汉仪楷体KW"/>
          <w:b/>
          <w:sz w:val="24"/>
          <w:szCs w:val="24"/>
          <w:highlight w:val="yellow"/>
        </w:rPr>
      </w:r>
    </w:p>
    <w:p>
      <w:pPr>
        <w:pStyle w:val="Normal"/>
        <w:spacing w:lineRule="exact" w:line="480"/>
        <w:ind w:firstLine="480" w:right="0"/>
        <w:rPr>
          <w:b/>
          <w:bCs/>
          <w:sz w:val="24"/>
          <w:szCs w:val="24"/>
          <w:highlight w:val="none"/>
        </w:rPr>
      </w:pPr>
      <w:r>
        <w:rPr>
          <w:rFonts w:ascii="楷体;汉仪楷体KW" w:hAnsi="楷体;汉仪楷体KW" w:cs="楷体;汉仪楷体KW" w:eastAsia="楷体;汉仪楷体KW"/>
          <w:b/>
          <w:sz w:val="24"/>
          <w:szCs w:val="24"/>
        </w:rPr>
        <w:t>（四）</w:t>
      </w:r>
      <w:r>
        <w:rPr>
          <w:rFonts w:ascii="楷体;汉仪楷体KW" w:hAnsi="楷体;汉仪楷体KW" w:cs="楷体;汉仪楷体KW" w:eastAsia="楷体;汉仪楷体KW"/>
          <w:b/>
          <w:bCs/>
          <w:sz w:val="24"/>
          <w:szCs w:val="24"/>
        </w:rPr>
        <w:t>借款人环保达标情况（仅适用于固定资产贷款，对于项目融资可</w:t>
      </w:r>
      <w:r>
        <w:rPr>
          <w:rFonts w:ascii="楷体;汉仪楷体KW" w:hAnsi="楷体;汉仪楷体KW" w:cs="楷体;汉仪楷体KW" w:eastAsia="楷体;汉仪楷体KW"/>
          <w:b/>
          <w:bCs/>
          <w:sz w:val="24"/>
          <w:szCs w:val="24"/>
          <w:lang w:eastAsia="zh-CN"/>
        </w:rPr>
        <w:t>视情况简化</w:t>
      </w:r>
      <w:r>
        <w:rPr>
          <w:rFonts w:ascii="楷体;汉仪楷体KW" w:hAnsi="楷体;汉仪楷体KW" w:cs="楷体;汉仪楷体KW" w:eastAsia="楷体;汉仪楷体KW"/>
          <w:b/>
          <w:bCs/>
          <w:sz w:val="24"/>
          <w:szCs w:val="24"/>
        </w:rPr>
        <w:t>）</w:t>
      </w:r>
      <w:r>
        <w:rPr>
          <w:rFonts w:eastAsia="Times New Roman"/>
          <w:b/>
          <w:bCs/>
          <w:sz w:val="24"/>
          <w:szCs w:val="24"/>
        </w:rPr>
        <w:t xml:space="preserve"> </w:t>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lang w:eastAsia="zh-CN"/>
        </w:rPr>
        <w:t>不涉及</w:t>
      </w:r>
      <w:r>
        <w:rPr>
          <w:rFonts w:ascii="宋体;汉仪书宋二KW" w:hAnsi="宋体;汉仪书宋二KW" w:cs="宋体;汉仪书宋二KW"/>
          <w:color w:val="000000"/>
          <w:szCs w:val="21"/>
        </w:rPr>
        <w:t>。</w:t>
      </w:r>
    </w:p>
    <w:p>
      <w:pPr>
        <w:pStyle w:val="Normal"/>
        <w:spacing w:lineRule="exact" w:line="480"/>
        <w:ind w:firstLine="480" w:right="0"/>
        <w:rPr>
          <w:rFonts w:ascii="楷体;汉仪楷体KW" w:hAnsi="楷体;汉仪楷体KW" w:eastAsia="楷体;汉仪楷体KW" w:cs="楷体;汉仪楷体KW"/>
          <w:b/>
          <w:bCs/>
          <w:sz w:val="24"/>
          <w:szCs w:val="24"/>
          <w:highlight w:val="none"/>
        </w:rPr>
      </w:pPr>
      <w:r>
        <w:rPr>
          <w:rFonts w:ascii="楷体;汉仪楷体KW" w:hAnsi="楷体;汉仪楷体KW" w:cs="楷体;汉仪楷体KW" w:eastAsia="楷体;汉仪楷体KW"/>
          <w:b/>
          <w:bCs/>
          <w:sz w:val="24"/>
          <w:szCs w:val="24"/>
        </w:rPr>
        <w:t>（五）借款人财务情况。</w:t>
      </w:r>
    </w:p>
    <w:p>
      <w:pPr>
        <w:pStyle w:val="Normal"/>
        <w:spacing w:lineRule="exact" w:line="480"/>
        <w:ind w:firstLine="420" w:right="0"/>
        <w:rPr>
          <w:rFonts w:ascii="宋体;汉仪书宋二KW" w:hAnsi="宋体;汉仪书宋二KW" w:cs="宋体;汉仪书宋二KW"/>
          <w:szCs w:val="21"/>
          <w:highlight w:val="none"/>
        </w:rPr>
      </w:pPr>
      <w:r>
        <w:rPr>
          <w:rFonts w:cs="宋体;汉仪书宋二KW" w:ascii="宋体;汉仪书宋二KW" w:hAnsi="宋体;汉仪书宋二KW"/>
          <w:szCs w:val="21"/>
        </w:rPr>
        <w:t>1</w:t>
      </w:r>
      <w:r>
        <w:rPr>
          <w:rFonts w:ascii="宋体;汉仪书宋二KW" w:hAnsi="宋体;汉仪书宋二KW" w:cs="宋体;汉仪书宋二KW"/>
          <w:szCs w:val="21"/>
        </w:rPr>
        <w:t>、借款人近三年及即期主要财务数据，按流动资金贷款调查模板中的报表格式填列。</w:t>
      </w:r>
    </w:p>
    <w:tbl>
      <w:tblPr>
        <w:tblW w:w="6988" w:type="dxa"/>
        <w:jc w:val="center"/>
        <w:tblInd w:w="0" w:type="dxa"/>
        <w:tblLayout w:type="fixed"/>
        <w:tblCellMar>
          <w:top w:w="0" w:type="dxa"/>
          <w:left w:w="108" w:type="dxa"/>
          <w:bottom w:w="0" w:type="dxa"/>
          <w:right w:w="108" w:type="dxa"/>
        </w:tblCellMar>
      </w:tblPr>
      <w:tblGrid>
        <w:gridCol w:w="1638"/>
        <w:gridCol w:w="3387"/>
        <w:gridCol w:w="1963"/>
      </w:tblGrid>
      <w:tr>
        <w:trPr>
          <w:trHeight w:val="234" w:hRule="atLeast"/>
        </w:trPr>
        <w:tc>
          <w:tcPr>
            <w:tcW w:w="1638" w:type="dxa"/>
            <w:tcBorders>
              <w:top w:val="single" w:sz="8" w:space="0" w:color="000000"/>
              <w:left w:val="single" w:sz="8" w:space="0" w:color="000000"/>
              <w:bottom w:val="single" w:sz="8" w:space="0" w:color="000000"/>
              <w:right w:val="single" w:sz="8" w:space="0" w:color="000000"/>
            </w:tcBorders>
            <w:shd w:fill="D7D7D7" w:val="clear"/>
            <w:vAlign w:val="center"/>
          </w:tcPr>
          <w:p>
            <w:r/>
            <w:r>
              <w:rPr>
                <w:b w:val="0"/>
                <w:sz w:val="21"/>
              </w:rPr>
              <w:t>年份</w:t>
            </w:r>
          </w:p>
        </w:tc>
        <w:tc>
          <w:tcPr>
            <w:tcW w:w="3387" w:type="dxa"/>
            <w:tcBorders>
              <w:top w:val="single" w:sz="8" w:space="0" w:color="000000"/>
              <w:left w:val="single" w:sz="8" w:space="0" w:color="000000"/>
              <w:bottom w:val="single" w:sz="8" w:space="0" w:color="000000"/>
              <w:right w:val="single" w:sz="8" w:space="0" w:color="000000"/>
            </w:tcBorders>
            <w:shd w:fill="D7D7D7" w:val="clear"/>
            <w:vAlign w:val="center"/>
          </w:tcPr>
          <w:p>
            <w:r/>
            <w:r>
              <w:rPr>
                <w:b w:val="0"/>
                <w:sz w:val="21"/>
              </w:rPr>
              <w:t>会计师事务所</w:t>
            </w:r>
          </w:p>
        </w:tc>
        <w:tc>
          <w:tcPr>
            <w:tcW w:w="1963" w:type="dxa"/>
            <w:tcBorders>
              <w:top w:val="single" w:sz="8" w:space="0" w:color="000000"/>
              <w:left w:val="single" w:sz="8" w:space="0" w:color="000000"/>
              <w:bottom w:val="single" w:sz="8" w:space="0" w:color="000000"/>
              <w:right w:val="single" w:sz="8" w:space="0" w:color="000000"/>
            </w:tcBorders>
            <w:shd w:fill="D7D7D7" w:val="clear"/>
            <w:vAlign w:val="center"/>
          </w:tcPr>
          <w:p>
            <w:r/>
            <w:r>
              <w:rPr>
                <w:b w:val="0"/>
                <w:sz w:val="21"/>
              </w:rPr>
              <w:t>审计师意见</w:t>
            </w:r>
          </w:p>
        </w:tc>
      </w:tr>
      <w:tr>
        <w:trPr>
          <w:trHeight w:val="297" w:hRule="atLeast"/>
        </w:trPr>
        <w:tc>
          <w:tcPr>
            <w:tcW w:w="1638" w:type="dxa"/>
            <w:tcBorders>
              <w:top w:val="single" w:sz="4" w:space="0" w:color="000000"/>
              <w:left w:val="single" w:sz="4" w:space="0" w:color="000000"/>
              <w:bottom w:val="single" w:sz="4" w:space="0" w:color="000000"/>
              <w:right w:val="single" w:sz="4" w:space="0" w:color="000000"/>
            </w:tcBorders>
            <w:vAlign w:val="center"/>
          </w:tcPr>
          <w:p>
            <w:r/>
            <w:r>
              <w:rPr>
                <w:b w:val="0"/>
                <w:sz w:val="21"/>
              </w:rPr>
              <w:t>2024年</w:t>
            </w:r>
          </w:p>
        </w:tc>
        <w:tc>
          <w:tcPr>
            <w:tcW w:w="5350" w:type="dxa"/>
            <w:gridSpan w:val="2"/>
            <w:tcBorders>
              <w:top w:val="single" w:sz="4" w:space="0" w:color="000000"/>
              <w:left w:val="single" w:sz="4" w:space="0" w:color="000000"/>
              <w:bottom w:val="single" w:sz="4" w:space="0" w:color="000000"/>
              <w:right w:val="single" w:sz="4" w:space="0" w:color="000000"/>
            </w:tcBorders>
            <w:vAlign w:val="center"/>
          </w:tcPr>
          <w:p>
            <w:r/>
            <w:r>
              <w:rPr>
                <w:b w:val="0"/>
                <w:sz w:val="21"/>
              </w:rPr>
              <w:t>待补充</w:t>
            </w:r>
          </w:p>
        </w:tc>
      </w:tr>
      <w:tr>
        <w:trPr>
          <w:trHeight w:val="297" w:hRule="atLeast"/>
        </w:trPr>
        <w:tc>
          <w:tcPr>
            <w:tcW w:w="1638" w:type="dxa"/>
            <w:tcBorders>
              <w:top w:val="single" w:sz="4" w:space="0" w:color="000000"/>
              <w:left w:val="single" w:sz="4" w:space="0" w:color="000000"/>
              <w:bottom w:val="single" w:sz="4" w:space="0" w:color="000000"/>
              <w:right w:val="single" w:sz="4" w:space="0" w:color="000000"/>
            </w:tcBorders>
            <w:vAlign w:val="center"/>
          </w:tcPr>
          <w:p>
            <w:r/>
            <w:r>
              <w:rPr>
                <w:b w:val="0"/>
                <w:sz w:val="21"/>
              </w:rPr>
              <w:t>2023年</w:t>
            </w:r>
          </w:p>
        </w:tc>
        <w:tc>
          <w:tcPr>
            <w:tcW w:w="3387" w:type="dxa"/>
            <w:tcBorders>
              <w:top w:val="single" w:sz="4" w:space="0" w:color="000000"/>
              <w:left w:val="single" w:sz="4" w:space="0" w:color="000000"/>
              <w:bottom w:val="single" w:sz="4" w:space="0" w:color="000000"/>
              <w:right w:val="single" w:sz="4" w:space="0" w:color="000000"/>
            </w:tcBorders>
            <w:vAlign w:val="center"/>
          </w:tcPr>
          <w:p>
            <w:r/>
            <w:r>
              <w:rPr>
                <w:b w:val="0"/>
                <w:sz w:val="21"/>
              </w:rPr>
              <w:t>待审计完成后补充</w:t>
            </w:r>
          </w:p>
        </w:tc>
        <w:tc>
          <w:tcPr>
            <w:tcW w:w="1963" w:type="dxa"/>
            <w:tcBorders>
              <w:top w:val="single" w:sz="4" w:space="0" w:color="000000"/>
              <w:left w:val="single" w:sz="4" w:space="0" w:color="000000"/>
              <w:bottom w:val="single" w:sz="4" w:space="0" w:color="000000"/>
              <w:right w:val="single" w:sz="4" w:space="0" w:color="000000"/>
            </w:tcBorders>
            <w:vAlign w:val="center"/>
          </w:tcPr>
          <w:p>
            <w:r/>
            <w:r>
              <w:rPr>
                <w:b w:val="0"/>
                <w:sz w:val="21"/>
              </w:rPr>
              <w:t>待补充</w:t>
            </w:r>
          </w:p>
        </w:tc>
      </w:tr>
      <w:tr>
        <w:trPr>
          <w:trHeight w:val="297" w:hRule="atLeast"/>
        </w:trPr>
        <w:tc>
          <w:tcPr>
            <w:tcW w:w="1638" w:type="dxa"/>
            <w:tcBorders>
              <w:top w:val="single" w:sz="4" w:space="0" w:color="000000"/>
              <w:left w:val="single" w:sz="4" w:space="0" w:color="000000"/>
              <w:bottom w:val="single" w:sz="4" w:space="0" w:color="000000"/>
              <w:right w:val="single" w:sz="4" w:space="0" w:color="000000"/>
            </w:tcBorders>
            <w:vAlign w:val="center"/>
          </w:tcPr>
          <w:p>
            <w:r/>
            <w:r>
              <w:rPr>
                <w:b w:val="0"/>
                <w:sz w:val="21"/>
              </w:rPr>
              <w:t>2022年</w:t>
            </w:r>
          </w:p>
        </w:tc>
        <w:tc>
          <w:tcPr>
            <w:tcW w:w="3387" w:type="dxa"/>
            <w:tcBorders>
              <w:top w:val="single" w:sz="4" w:space="0" w:color="000000"/>
              <w:left w:val="single" w:sz="4" w:space="0" w:color="000000"/>
              <w:bottom w:val="single" w:sz="4" w:space="0" w:color="000000"/>
              <w:right w:val="single" w:sz="4" w:space="0" w:color="000000"/>
            </w:tcBorders>
            <w:vAlign w:val="center"/>
          </w:tcPr>
          <w:p>
            <w:r/>
            <w:r>
              <w:rPr>
                <w:b w:val="0"/>
                <w:sz w:val="21"/>
              </w:rPr>
              <w:t>-</w:t>
            </w:r>
          </w:p>
        </w:tc>
        <w:tc>
          <w:tcPr>
            <w:tcW w:w="1963" w:type="dxa"/>
            <w:tcBorders>
              <w:top w:val="single" w:sz="4" w:space="0" w:color="000000"/>
              <w:left w:val="single" w:sz="4" w:space="0" w:color="000000"/>
              <w:bottom w:val="single" w:sz="4" w:space="0" w:color="000000"/>
              <w:right w:val="single" w:sz="4" w:space="0" w:color="000000"/>
            </w:tcBorders>
            <w:vAlign w:val="center"/>
          </w:tcPr>
          <w:p>
            <w:r/>
            <w:r>
              <w:rPr>
                <w:b w:val="0"/>
                <w:sz w:val="21"/>
              </w:rPr>
              <w:t>-</w:t>
            </w:r>
          </w:p>
        </w:tc>
      </w:tr>
      <w:tr>
        <w:trPr>
          <w:trHeight w:val="297" w:hRule="atLeast"/>
        </w:trPr>
        <w:tc>
          <w:tcPr>
            <w:tcW w:w="1638" w:type="dxa"/>
            <w:tcBorders>
              <w:top w:val="single" w:sz="4" w:space="0" w:color="000000"/>
              <w:left w:val="single" w:sz="4" w:space="0" w:color="000000"/>
              <w:bottom w:val="single" w:sz="4" w:space="0" w:color="000000"/>
              <w:right w:val="single" w:sz="4" w:space="0" w:color="000000"/>
            </w:tcBorders>
            <w:vAlign w:val="center"/>
          </w:tcPr>
          <w:p>
            <w:r/>
            <w:r>
              <w:rPr>
                <w:b w:val="0"/>
                <w:sz w:val="21"/>
              </w:rPr>
              <w:t>2021年</w:t>
            </w:r>
          </w:p>
        </w:tc>
        <w:tc>
          <w:tcPr>
            <w:tcW w:w="3387" w:type="dxa"/>
            <w:tcBorders>
              <w:top w:val="single" w:sz="4" w:space="0" w:color="000000"/>
              <w:left w:val="single" w:sz="4" w:space="0" w:color="000000"/>
              <w:bottom w:val="single" w:sz="4" w:space="0" w:color="000000"/>
              <w:right w:val="single" w:sz="4" w:space="0" w:color="000000"/>
            </w:tcBorders>
            <w:vAlign w:val="center"/>
          </w:tcPr>
          <w:p>
            <w:r/>
            <w:r>
              <w:rPr>
                <w:b w:val="0"/>
                <w:sz w:val="21"/>
              </w:rPr>
              <w:t>-</w:t>
            </w:r>
          </w:p>
        </w:tc>
        <w:tc>
          <w:tcPr>
            <w:tcW w:w="1963" w:type="dxa"/>
            <w:tcBorders>
              <w:top w:val="single" w:sz="4" w:space="0" w:color="000000"/>
              <w:left w:val="single" w:sz="4" w:space="0" w:color="000000"/>
              <w:bottom w:val="single" w:sz="4" w:space="0" w:color="000000"/>
              <w:right w:val="single" w:sz="4" w:space="0" w:color="000000"/>
            </w:tcBorders>
            <w:vAlign w:val="center"/>
          </w:tcPr>
          <w:p>
            <w:r/>
            <w:r>
              <w:rPr>
                <w:b w:val="0"/>
                <w:sz w:val="21"/>
              </w:rPr>
              <w:t>-</w:t>
            </w:r>
          </w:p>
        </w:tc>
      </w:tr>
    </w:tbl>
    <w:p>
      <w:pPr>
        <w:pStyle w:val="Normal"/>
        <w:spacing w:lineRule="exact" w:line="480"/>
        <w:jc w:val="left"/>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合并报表</w:t>
      </w:r>
    </w:p>
    <w:p>
      <w:pPr>
        <w:pStyle w:val="Normal"/>
        <w:spacing w:lineRule="exact" w:line="480"/>
        <w:ind w:firstLine="5670" w:right="0"/>
        <w:rPr>
          <w:rFonts w:ascii="宋体;汉仪书宋二KW" w:hAnsi="宋体;汉仪书宋二KW" w:eastAsia="宋体;汉仪书宋二KW" w:cs="宋体;汉仪书宋二KW"/>
          <w:szCs w:val="21"/>
          <w:highlight w:val="none"/>
          <w:lang w:val="en-US" w:eastAsia="zh-CN"/>
        </w:rPr>
      </w:pPr>
      <w:r>
        <w:rPr>
          <w:rFonts w:ascii="宋体;汉仪书宋二KW" w:hAnsi="宋体;汉仪书宋二KW" w:cs="宋体;汉仪书宋二KW" w:eastAsia="宋体;汉仪书宋二KW"/>
          <w:szCs w:val="21"/>
          <w:lang w:val="en-US" w:eastAsia="zh-CN"/>
        </w:rPr>
        <w:t>单位：亿元</w:t>
      </w:r>
    </w:p>
    <w:tbl>
      <w:tblPr>
        <w:tblW w:w="10770" w:type="dxa"/>
        <w:jc w:val="center"/>
        <w:tblInd w:w="0" w:type="dxa"/>
        <w:tblLayout w:type="fixed"/>
        <w:tblCellMar>
          <w:top w:w="0" w:type="dxa"/>
          <w:left w:w="108" w:type="dxa"/>
          <w:bottom w:w="0" w:type="dxa"/>
          <w:right w:w="108" w:type="dxa"/>
        </w:tblCellMar>
      </w:tblPr>
      <w:tblGrid>
        <w:gridCol w:w="1294"/>
        <w:gridCol w:w="1020"/>
        <w:gridCol w:w="1020"/>
        <w:gridCol w:w="716"/>
        <w:gridCol w:w="915"/>
        <w:gridCol w:w="1020"/>
        <w:gridCol w:w="1020"/>
        <w:gridCol w:w="915"/>
        <w:gridCol w:w="915"/>
        <w:gridCol w:w="915"/>
        <w:gridCol w:w="1020"/>
      </w:tblGrid>
      <w:tr>
        <w:trPr>
          <w:trHeight w:val="240" w:hRule="atLeast"/>
        </w:trPr>
        <w:tc>
          <w:tcPr>
            <w:tcW w:w="10770" w:type="dxa"/>
            <w:gridSpan w:val="11"/>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单位：亿元</w:t>
            </w:r>
          </w:p>
        </w:tc>
      </w:tr>
      <w:tr>
        <w:trPr>
          <w:trHeight w:val="285"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项 目</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总资产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净资产</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流动比</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实收资本</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流动资产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货币资金</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短期借款</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长期借款</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刚性负债</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经净现流</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2022</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269.7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77.0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0.79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81.3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39.2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98.22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17.2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2023</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285.0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78.7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77.4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25.5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43.6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102.67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14.2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2024</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320.2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92.6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90.7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38.1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37.4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55.7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131.11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 </w:t>
            </w:r>
          </w:p>
        </w:tc>
      </w:tr>
      <w:tr>
        <w:trPr>
          <w:trHeight w:val="48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2025</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9</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月</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414.1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131.8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97.7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32.4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88.8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174.29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14.5 </w:t>
            </w:r>
          </w:p>
        </w:tc>
      </w:tr>
      <w:tr>
        <w:trPr>
          <w:trHeight w:val="27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项 目</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销售收入</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存  货</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速动比</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固定资产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预收帐款</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应付帐款</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其他应付</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应付票据</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应付债券</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投净现流</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2022</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65.1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16.7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0.63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109.4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0.3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-15.4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2023</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73.5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16.7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116.2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10.6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11.5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-19.9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2024</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80.3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122.1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10.8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-26.1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2025</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9</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月</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14.0 </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192.9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-24.8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项 目</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利润总额</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负债率</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毛利率</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长短投资</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预付帐款</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应收帐款</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其他应收</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应收票据</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无形资产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筹净现流</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2022</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71.4%</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30.4%</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6.6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15.0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8.2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0.2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27.4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0.1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2023</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72.4%</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28.6%</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2.3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9.8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43.9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-3.6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2024</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71.1%</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30.3%</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19.0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9.3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0.3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60.4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21.9 </w:t>
            </w:r>
          </w:p>
        </w:tc>
      </w:tr>
      <w:tr>
        <w:trPr>
          <w:trHeight w:val="240" w:hRule="atLeast"/>
        </w:trPr>
        <w:tc>
          <w:tcPr>
            <w:tcW w:w="1294"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2025</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9</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月</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7.6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68.2%</w:t>
            </w:r>
          </w:p>
        </w:tc>
        <w:tc>
          <w:tcPr>
            <w:tcW w:w="71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33.2%</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10.5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8.2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0.3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64.5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6.9 </w:t>
            </w:r>
          </w:p>
        </w:tc>
      </w:tr>
    </w:tbl>
    <w:p>
      <w:pPr>
        <w:pStyle w:val="Normal"/>
        <w:snapToGrid w:val="false"/>
        <w:spacing w:lineRule="exact" w:line="480"/>
        <w:ind w:firstLine="420" w:right="0"/>
        <w:rPr>
          <w:rFonts w:ascii="宋体;汉仪书宋二KW" w:hAnsi="宋体;汉仪书宋二KW" w:eastAsia="宋体;汉仪书宋二KW" w:cs="Times New Roman"/>
          <w:color w:val="000000"/>
          <w:szCs w:val="21"/>
          <w:lang w:val="en-US" w:eastAsia="zh-CN"/>
        </w:rPr>
      </w:pPr>
      <w:r>
        <w:rPr>
          <w:rFonts w:ascii="宋体;汉仪书宋二KW" w:hAnsi="宋体;汉仪书宋二KW" w:cs="Times New Roman" w:eastAsia="宋体;汉仪书宋二KW"/>
          <w:color w:val="000000"/>
          <w:szCs w:val="21"/>
          <w:lang w:val="en-US" w:eastAsia="zh-CN"/>
        </w:rPr>
        <w:t>近三年及最近一期详细财务数据如下：</w:t>
      </w:r>
    </w:p>
    <w:tbl>
      <w:tblPr>
        <w:tblW w:w="10409" w:type="dxa"/>
        <w:jc w:val="center"/>
        <w:tblInd w:w="0" w:type="dxa"/>
        <w:tblLayout w:type="fixed"/>
        <w:tblCellMar>
          <w:top w:w="0" w:type="dxa"/>
          <w:left w:w="108" w:type="dxa"/>
          <w:bottom w:w="0" w:type="dxa"/>
          <w:right w:w="108" w:type="dxa"/>
        </w:tblCellMar>
      </w:tblPr>
      <w:tblGrid>
        <w:gridCol w:w="3674"/>
        <w:gridCol w:w="1440"/>
        <w:gridCol w:w="1440"/>
        <w:gridCol w:w="1440"/>
        <w:gridCol w:w="915"/>
        <w:gridCol w:w="1500"/>
      </w:tblGrid>
      <w:tr>
        <w:trPr>
          <w:trHeight w:val="23" w:hRule="atLeast"/>
        </w:trPr>
        <w:tc>
          <w:tcPr>
            <w:tcW w:w="3674" w:type="dxa"/>
            <w:tcBorders>
              <w:top w:val="single" w:sz="8" w:space="0" w:color="000000"/>
              <w:left w:val="single" w:sz="8" w:space="0" w:color="000000"/>
              <w:bottom w:val="single" w:sz="4" w:space="0" w:color="000000"/>
              <w:right w:val="single" w:sz="4" w:space="0" w:color="000000"/>
            </w:tcBorders>
          </w:tcPr>
          <w:p>
            <w:pPr>
              <w:pStyle w:val="Normal"/>
              <w:keepNext w:val="false"/>
              <w:keepLines w:val="false"/>
              <w:widowControl/>
              <w:suppressLineNumbers w:val="0"/>
              <w:jc w:val="both"/>
              <w:textAlignment w:val="top"/>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近三年一期主要财务数据列示：</w:t>
            </w:r>
          </w:p>
        </w:tc>
        <w:tc>
          <w:tcPr>
            <w:tcW w:w="1440" w:type="dxa"/>
            <w:tcBorders>
              <w:top w:val="single" w:sz="8" w:space="0" w:color="000000"/>
              <w:left w:val="single" w:sz="4" w:space="0" w:color="000000"/>
              <w:bottom w:val="single" w:sz="4" w:space="0" w:color="000000"/>
              <w:right w:val="single" w:sz="4" w:space="0" w:color="000000"/>
            </w:tcBorders>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top w:val="single" w:sz="8" w:space="0" w:color="000000"/>
              <w:left w:val="single" w:sz="4" w:space="0" w:color="000000"/>
              <w:bottom w:val="single" w:sz="4" w:space="0" w:color="000000"/>
              <w:right w:val="single" w:sz="4" w:space="0" w:color="000000"/>
            </w:tcBorders>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top w:val="single" w:sz="8" w:space="0" w:color="000000"/>
              <w:left w:val="single" w:sz="4" w:space="0" w:color="000000"/>
              <w:bottom w:val="single" w:sz="4" w:space="0" w:color="000000"/>
              <w:right w:val="single" w:sz="4" w:space="0" w:color="000000"/>
            </w:tcBorders>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2415" w:type="dxa"/>
            <w:gridSpan w:val="2"/>
            <w:tcBorders>
              <w:top w:val="single" w:sz="8"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单位：万元</w:t>
            </w:r>
          </w:p>
        </w:tc>
      </w:tr>
      <w:tr>
        <w:trPr>
          <w:trHeight w:val="23" w:hRule="atLeast"/>
        </w:trPr>
        <w:tc>
          <w:tcPr>
            <w:tcW w:w="10409" w:type="dxa"/>
            <w:gridSpan w:val="6"/>
            <w:tcBorders>
              <w:top w:val="single" w:sz="4" w:space="0" w:color="000000"/>
              <w:left w:val="single" w:sz="8" w:space="0" w:color="000000"/>
              <w:bottom w:val="single" w:sz="4" w:space="0" w:color="000000"/>
              <w:right w:val="single" w:sz="4" w:space="0" w:color="000000"/>
            </w:tcBorders>
            <w:shd w:fill="99CC00" w:val="clear"/>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财务状况数据</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项目</w:t>
            </w:r>
          </w:p>
        </w:tc>
        <w:tc>
          <w:tcPr>
            <w:tcW w:w="144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2022</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44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2023</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144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2024</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p>
        </w:tc>
        <w:tc>
          <w:tcPr>
            <w:tcW w:w="91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i w:val="false"/>
                <w:iCs w:val="false"/>
                <w:color w:val="000000"/>
                <w:kern w:val="0"/>
                <w:sz w:val="20"/>
                <w:szCs w:val="20"/>
                <w:u w:val="none"/>
                <w:lang w:val="en-US" w:eastAsia="zh-CN" w:bidi="ar"/>
              </w:rPr>
              <w:t>变化率</w:t>
            </w:r>
          </w:p>
        </w:tc>
        <w:tc>
          <w:tcPr>
            <w:tcW w:w="1500" w:type="dxa"/>
            <w:tcBorders>
              <w:top w:val="single" w:sz="4" w:space="0" w:color="000000"/>
              <w:left w:val="single" w:sz="4" w:space="0" w:color="000000"/>
              <w:bottom w:val="single" w:sz="4" w:space="0" w:color="000000"/>
              <w:right w:val="single" w:sz="8" w:space="0" w:color="000000"/>
            </w:tcBorders>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2025</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年</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9</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月</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资产总计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2,696,627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2,849,847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3,202,170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12%</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4,141,332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流动资产合计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812,903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773,949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906,508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17%</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976,721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其中：货币资金</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345,983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255,140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381,255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49%</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324,050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交易性金融资产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5,256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4,984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6,582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32%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40,101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应收票据</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1,574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1,389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3,432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147%</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3,277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应收账款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149,546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175,321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189,837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8%</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285,210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预付帐款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18,815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22,861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10,875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-52%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16,129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其他应收款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81,818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98,052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92,943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-5%</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82,466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存货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166,865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166,867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131,190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-21%</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139,784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合同资产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3,168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18,284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55,154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53,881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一年内到期的非流动资产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其他流动资产项目合计</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39,878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31,051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35,240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31,822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非流动资产合计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1,883,724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2,075,898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2,295,662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11%</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3,164,611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可供出售金融资产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持有至到期投资</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长期应收款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3,000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273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长期股权投资</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60,354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57,264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55,755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65,090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投资性房地产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732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1,494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5,720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283%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16,689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固定资产</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1,093,584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1,162,173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1,221,421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5%</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1,929,304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在建工程</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295,499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242,152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230,201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-5%</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186,348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无形资产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274,024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439,143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604,307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38%</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644,957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商誉</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21,445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28,779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35,095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112,619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其他非流动资产项目合计</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135,086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144,893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143,162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209,331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负债合计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1,926,305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2,063,206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2,275,728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10%</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2,823,716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流动负债合计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1,031,395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1,198,654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1,319,086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10%</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1,476,632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其中：短期借款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136,764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207,139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374,312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81%</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328,900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应付票据</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6,977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8,562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6,674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5,055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交易性金融负债</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应付账款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206,006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276,326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315,219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319,434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预收款项</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3,170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256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100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-61%</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698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合同负债</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407,842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391,951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331,830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332,816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其他应付款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85,821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105,746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107,681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137,484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一年内到期的非流动负债</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90,799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113,559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143,195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26%</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175,457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其他流动负债项目合计</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94,016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95,114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40,073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-58%</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176,788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其中：有息债务</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非流动负债合计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894,910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864,553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956,642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11%</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1,347,085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其中：长期借款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391,612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435,829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556,536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28%</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887,992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应付债券</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168,572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114,665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121,236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6%</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81,235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长期应付款</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187,448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144,658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101,666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144,226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专项应付款</w:t>
            </w:r>
          </w:p>
        </w:tc>
        <w:tc>
          <w:tcPr>
            <w:tcW w:w="1440" w:type="dxa"/>
            <w:tcBorders>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预计负债</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852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150%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其他非流动负债项目合计</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146,994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169,059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176,352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233,370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其中：有息债务</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刚性负债合计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982,211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1,026,657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1,311,095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28%</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0"/>
                <w:szCs w:val="20"/>
                <w:u w:val="none"/>
                <w:lang w:val="en-US" w:eastAsia="zh-CN" w:bidi="ar"/>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1,742,865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所有者权益合计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770,322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786,641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926,442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18%</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1,317,616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其中：实收资本（股本）</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120,000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120,000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120,000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120,000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其他权益工具</w:t>
            </w:r>
          </w:p>
        </w:tc>
        <w:tc>
          <w:tcPr>
            <w:tcW w:w="1440" w:type="dxa"/>
            <w:tcBorders>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440" w:type="dxa"/>
            <w:tcBorders>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资本公积</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35,146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35,122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33,857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33,736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盈余公积</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23,924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23,983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24,037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24,037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未分配利润</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130,353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126,737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129,773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144,815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少数股东权益</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442,925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461,982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514,617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11%</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755,010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其他权益项目合计</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17,974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18,816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104,158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454%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240,018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负债和所有者权益总计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2,696,627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2,849,847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3,202,170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12%</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4,141,332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校验：资产总计</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负债和所有者权益总计</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通过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通过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通过</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通过</w:t>
            </w:r>
          </w:p>
        </w:tc>
      </w:tr>
      <w:tr>
        <w:trPr>
          <w:trHeight w:val="23" w:hRule="atLeast"/>
        </w:trPr>
        <w:tc>
          <w:tcPr>
            <w:tcW w:w="10409" w:type="dxa"/>
            <w:gridSpan w:val="6"/>
            <w:tcBorders>
              <w:top w:val="single" w:sz="4" w:space="0" w:color="000000"/>
              <w:left w:val="single" w:sz="8" w:space="0" w:color="000000"/>
              <w:bottom w:val="single" w:sz="4" w:space="0" w:color="000000"/>
              <w:right w:val="single" w:sz="4" w:space="0" w:color="000000"/>
            </w:tcBorders>
            <w:shd w:fill="99CC00" w:val="clear"/>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经营成果数据</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一、营业收入</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651,211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735,244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803,337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9%</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640,786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其中：主营业务收入</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651,211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735,244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803,337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9%</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640,786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减：营业总成本</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600,327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679,046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731,582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8%</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570,716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其中：营业成本</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453,188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524,707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560,067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428,198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其中：主营业务成本</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453,188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524,707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560,067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428,198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营业税金及附加</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6,617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7,594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13,700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80%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22,225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销售费用</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27,183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28,309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27,536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24,604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管理费用</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79,783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88,582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105,668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19%</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77,263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财务费用</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33,913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29,611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34,855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18%</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30,439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其中：利息支出</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37,098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t>33,292</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37,126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736%</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31,491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资产减值损失</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14,895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(10)</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(3,154)</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30344%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(312)</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信用减值损失</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1,973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13,701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(900)</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snapToGrid w:val="false"/>
              <w:jc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sz w:val="20"/>
                <w:szCs w:val="20"/>
                <w:u w:val="none"/>
              </w:rPr>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1,974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其他</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(17,225)</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(13,447)</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(6,189)</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-54%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(13,676)</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加：公允价值变动收益</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-417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-273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1,598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-685%</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1,038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投资收益</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1,333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8,386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3,110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-63%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4,638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其中：对投资和合营企业的投资收益</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(1,367)</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1,322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-100%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1,957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二、营业利润</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51,800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64,310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76,463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19%</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75,747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加：营业外利润</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300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(215)</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463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-315%</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(149)</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三、利润总额</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52,100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64,095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76,925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75,599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减、所得税费用</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17,519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21,759 </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29,023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33%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21,371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四、净利润</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34,581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42,336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47,903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13%</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54,227 </w:t>
            </w:r>
          </w:p>
        </w:tc>
      </w:tr>
      <w:tr>
        <w:trPr>
          <w:trHeight w:val="23" w:hRule="atLeast"/>
        </w:trPr>
        <w:tc>
          <w:tcPr>
            <w:tcW w:w="10409" w:type="dxa"/>
            <w:gridSpan w:val="6"/>
            <w:tcBorders>
              <w:top w:val="single" w:sz="4" w:space="0" w:color="000000"/>
              <w:left w:val="single" w:sz="8" w:space="0" w:color="000000"/>
              <w:bottom w:val="single" w:sz="4" w:space="0" w:color="000000"/>
              <w:right w:val="single" w:sz="4" w:space="0" w:color="000000"/>
            </w:tcBorders>
            <w:shd w:fill="99CC00" w:val="clear"/>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现金流量数据</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经营活动产生的现金流量净额</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172,168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142,089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144,425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144,504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经营活动现金流入小计</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785,716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821,621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843,264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736,772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其中：销售商品提供劳务收到的现金</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687,461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694,292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708,292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602,278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收到其他与经营活动有关的现金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89,656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123,012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127,631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130,673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投资活动产生的现金流量净额</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-154,267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-199,082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-261,482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31%</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(247,817)</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投资活动现金流出小计</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7,177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205,633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3,187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-98%</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15,584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其中：购置固定资产等长期资产支付的现金</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149,629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169,676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-100%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4,600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筹资活动产生的现金流量净额</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764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-35,911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219,191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-710%</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68,822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筹资活动现金流入小计</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522,090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521,133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1,165,715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124%</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1,043,475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 xml:space="preserve">  </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其中：取得借款收到的现金</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512,133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500,823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1,036,737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107%</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857,709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汇率变动对现金及现金等价物的影响</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c>
          <w:tcPr>
            <w:tcW w:w="1440" w:type="dxa"/>
            <w:tcBorders>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23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ascii="宋体;汉仪书宋二KW" w:hAnsi="宋体;汉仪书宋二KW" w:cs="宋体;汉仪书宋二KW" w:eastAsia="宋体;汉仪书宋二KW"/>
                <w:i w:val="false"/>
                <w:iCs w:val="false"/>
                <w:color w:val="800080"/>
                <w:kern w:val="0"/>
                <w:sz w:val="20"/>
                <w:szCs w:val="20"/>
                <w:u w:val="none"/>
                <w:lang w:val="en-US" w:eastAsia="zh-CN" w:bidi="ar"/>
              </w:rPr>
              <w:t>新增</w:t>
            </w:r>
          </w:p>
        </w:tc>
        <w:tc>
          <w:tcPr>
            <w:tcW w:w="1500" w:type="dxa"/>
            <w:tcBorders>
              <w:top w:val="single" w:sz="4" w:space="0" w:color="000000"/>
              <w:left w:val="single" w:sz="4" w:space="0" w:color="000000"/>
              <w:bottom w:val="single" w:sz="4" w:space="0" w:color="000000"/>
              <w:right w:val="single" w:sz="8"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现金净增加额</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18,665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(92,904)</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102,157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-210%</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FF0000"/>
                <w:kern w:val="0"/>
                <w:sz w:val="20"/>
                <w:szCs w:val="20"/>
                <w:u w:val="none"/>
                <w:lang w:val="en-US" w:eastAsia="zh-CN" w:bidi="ar"/>
              </w:rPr>
              <w:t>(34,492)</w:t>
            </w:r>
          </w:p>
        </w:tc>
      </w:tr>
      <w:tr>
        <w:trPr>
          <w:trHeight w:val="23" w:hRule="atLeast"/>
        </w:trPr>
        <w:tc>
          <w:tcPr>
            <w:tcW w:w="10409" w:type="dxa"/>
            <w:gridSpan w:val="6"/>
            <w:tcBorders>
              <w:top w:val="single" w:sz="4" w:space="0" w:color="000000"/>
              <w:left w:val="single" w:sz="8" w:space="0" w:color="000000"/>
              <w:bottom w:val="single" w:sz="4" w:space="0" w:color="000000"/>
              <w:right w:val="single" w:sz="4" w:space="0" w:color="000000"/>
            </w:tcBorders>
            <w:shd w:fill="99CC00" w:val="clear"/>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主要财务指标</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资产负债率</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71.4%</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72.4%</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71.1%</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68.2%</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流动比率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0.79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0.65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0.69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6%</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速动比率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0.63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0.51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0.59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16%</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0.57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已获利息倍数</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2.4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3.2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 </w:t>
            </w:r>
          </w:p>
        </w:tc>
        <w:tc>
          <w:tcPr>
            <w:tcW w:w="915" w:type="dxa"/>
            <w:tcBorders>
              <w:top w:val="single" w:sz="4" w:space="0" w:color="000000"/>
              <w:left w:val="single" w:sz="4" w:space="0" w:color="000000"/>
              <w:bottom w:val="single" w:sz="4" w:space="0" w:color="000000"/>
              <w:right w:val="single" w:sz="4" w:space="0" w:color="000000"/>
            </w:tcBorders>
            <w:shd w:fill="FF99CC"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800080"/>
                <w:sz w:val="20"/>
                <w:szCs w:val="20"/>
                <w:u w:val="none"/>
              </w:rPr>
            </w:pPr>
            <w:r>
              <w:rPr>
                <w:rFonts w:eastAsia="宋体;汉仪书宋二KW" w:cs="宋体;汉仪书宋二KW" w:ascii="宋体;汉仪书宋二KW" w:hAnsi="宋体;汉仪书宋二KW"/>
                <w:i w:val="false"/>
                <w:iCs w:val="false"/>
                <w:color w:val="800080"/>
                <w:kern w:val="0"/>
                <w:sz w:val="20"/>
                <w:szCs w:val="20"/>
                <w:u w:val="none"/>
                <w:lang w:val="en-US" w:eastAsia="zh-CN" w:bidi="ar"/>
              </w:rPr>
              <w:t>-80%</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3.4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销售毛利率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30.4%</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28.6%</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30.3%</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6%</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33.2%</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营业总成本</w:t>
            </w:r>
            <w:r>
              <w:rPr>
                <w:rFonts w:eastAsia="宋体;汉仪书宋二KW" w:cs="宋体;汉仪书宋二KW" w:ascii="宋体;汉仪书宋二KW" w:hAnsi="宋体;汉仪书宋二KW"/>
                <w:i w:val="false"/>
                <w:iCs w:val="false"/>
                <w:color w:val="000000"/>
                <w:kern w:val="0"/>
                <w:sz w:val="20"/>
                <w:szCs w:val="20"/>
                <w:u w:val="none"/>
                <w:lang w:val="en-US" w:eastAsia="zh-CN" w:bidi="ar"/>
              </w:rPr>
              <w:t>/</w:t>
            </w:r>
            <w:r>
              <w:rPr>
                <w:rFonts w:ascii="宋体;汉仪书宋二KW" w:hAnsi="宋体;汉仪书宋二KW" w:cs="宋体;汉仪书宋二KW" w:eastAsia="宋体;汉仪书宋二KW"/>
                <w:i w:val="false"/>
                <w:iCs w:val="false"/>
                <w:color w:val="000000"/>
                <w:kern w:val="0"/>
                <w:sz w:val="20"/>
                <w:szCs w:val="20"/>
                <w:u w:val="none"/>
                <w:lang w:val="en-US" w:eastAsia="zh-CN" w:bidi="ar"/>
              </w:rPr>
              <w:t>营业收入</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92.2%</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92.4%</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91.1%</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-1%</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89.1%</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销售净利率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5.3%</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5.8%</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6.0%</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4%</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8.5%</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应收账款周转率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4.9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4.5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4.4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-3%</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3.6 </w:t>
            </w:r>
          </w:p>
        </w:tc>
      </w:tr>
      <w:tr>
        <w:trPr>
          <w:trHeight w:val="23" w:hRule="atLeast"/>
        </w:trPr>
        <w:tc>
          <w:tcPr>
            <w:tcW w:w="3674" w:type="dxa"/>
            <w:tcBorders>
              <w:top w:val="single" w:sz="4" w:space="0" w:color="000000"/>
              <w:left w:val="single" w:sz="8"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存货周转率</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2.6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3.1 </w:t>
            </w:r>
          </w:p>
        </w:tc>
        <w:tc>
          <w:tcPr>
            <w:tcW w:w="1440"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3.8 </w:t>
            </w:r>
          </w:p>
        </w:tc>
        <w:tc>
          <w:tcPr>
            <w:tcW w:w="915" w:type="dxa"/>
            <w:tcBorders>
              <w:top w:val="single" w:sz="4" w:space="0" w:color="000000"/>
              <w:left w:val="single" w:sz="4" w:space="0" w:color="000000"/>
              <w:bottom w:val="single" w:sz="4"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20%</w:t>
            </w:r>
          </w:p>
        </w:tc>
        <w:tc>
          <w:tcPr>
            <w:tcW w:w="1500" w:type="dxa"/>
            <w:tcBorders>
              <w:top w:val="single" w:sz="4" w:space="0" w:color="000000"/>
              <w:left w:val="single" w:sz="4" w:space="0" w:color="000000"/>
              <w:bottom w:val="single" w:sz="4"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4.2 </w:t>
            </w:r>
          </w:p>
        </w:tc>
      </w:tr>
      <w:tr>
        <w:trPr>
          <w:trHeight w:val="23" w:hRule="atLeast"/>
        </w:trPr>
        <w:tc>
          <w:tcPr>
            <w:tcW w:w="3674" w:type="dxa"/>
            <w:tcBorders>
              <w:top w:val="single" w:sz="4" w:space="0" w:color="000000"/>
              <w:left w:val="single" w:sz="8" w:space="0" w:color="000000"/>
              <w:bottom w:val="single" w:sz="8"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ascii="宋体;汉仪书宋二KW" w:hAnsi="宋体;汉仪书宋二KW" w:cs="宋体;汉仪书宋二KW" w:eastAsia="宋体;汉仪书宋二KW"/>
                <w:i w:val="false"/>
                <w:iCs w:val="false"/>
                <w:color w:val="000000"/>
                <w:kern w:val="0"/>
                <w:sz w:val="20"/>
                <w:szCs w:val="20"/>
                <w:u w:val="none"/>
                <w:lang w:val="en-US" w:eastAsia="zh-CN" w:bidi="ar"/>
              </w:rPr>
              <w:t>总资产周转率</w:t>
            </w:r>
          </w:p>
        </w:tc>
        <w:tc>
          <w:tcPr>
            <w:tcW w:w="1440" w:type="dxa"/>
            <w:tcBorders>
              <w:top w:val="single" w:sz="4" w:space="0" w:color="000000"/>
              <w:left w:val="single" w:sz="4" w:space="0" w:color="000000"/>
              <w:bottom w:val="single" w:sz="8"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0.2 </w:t>
            </w:r>
          </w:p>
        </w:tc>
        <w:tc>
          <w:tcPr>
            <w:tcW w:w="1440" w:type="dxa"/>
            <w:tcBorders>
              <w:top w:val="single" w:sz="4" w:space="0" w:color="000000"/>
              <w:left w:val="single" w:sz="4" w:space="0" w:color="000000"/>
              <w:bottom w:val="single" w:sz="8"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0.3 </w:t>
            </w:r>
          </w:p>
        </w:tc>
        <w:tc>
          <w:tcPr>
            <w:tcW w:w="1440" w:type="dxa"/>
            <w:tcBorders>
              <w:top w:val="single" w:sz="4" w:space="0" w:color="000000"/>
              <w:left w:val="single" w:sz="4" w:space="0" w:color="000000"/>
              <w:bottom w:val="single" w:sz="8"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0.3 </w:t>
            </w:r>
          </w:p>
        </w:tc>
        <w:tc>
          <w:tcPr>
            <w:tcW w:w="915" w:type="dxa"/>
            <w:tcBorders>
              <w:top w:val="single" w:sz="4" w:space="0" w:color="000000"/>
              <w:left w:val="single" w:sz="4" w:space="0" w:color="000000"/>
              <w:bottom w:val="single" w:sz="8" w:space="0" w:color="000000"/>
              <w:right w:val="single" w:sz="4"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0%</w:t>
            </w:r>
          </w:p>
        </w:tc>
        <w:tc>
          <w:tcPr>
            <w:tcW w:w="1500" w:type="dxa"/>
            <w:tcBorders>
              <w:top w:val="single" w:sz="4" w:space="0" w:color="000000"/>
              <w:left w:val="single" w:sz="4" w:space="0" w:color="000000"/>
              <w:bottom w:val="single" w:sz="8" w:space="0" w:color="000000"/>
              <w:right w:val="single" w:sz="8" w:space="0" w:color="000000"/>
            </w:tcBorders>
            <w:shd w:fill="FFCC99" w:val="clear"/>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0"/>
                <w:szCs w:val="20"/>
                <w:u w:val="none"/>
              </w:rPr>
            </w:pPr>
            <w:r>
              <w:rPr>
                <w:rFonts w:eastAsia="宋体;汉仪书宋二KW" w:cs="宋体;汉仪书宋二KW" w:ascii="宋体;汉仪书宋二KW" w:hAnsi="宋体;汉仪书宋二KW"/>
                <w:i w:val="false"/>
                <w:iCs w:val="false"/>
                <w:color w:val="000000"/>
                <w:kern w:val="0"/>
                <w:sz w:val="20"/>
                <w:szCs w:val="20"/>
                <w:u w:val="none"/>
                <w:lang w:val="en-US" w:eastAsia="zh-CN" w:bidi="ar"/>
              </w:rPr>
              <w:t xml:space="preserve">0.2 </w:t>
            </w:r>
          </w:p>
        </w:tc>
      </w:tr>
    </w:tbl>
    <w:p>
      <w:pPr>
        <w:pStyle w:val="1"/>
        <w:ind w:firstLine="420" w:right="0"/>
        <w:rPr>
          <w:rFonts w:ascii="宋体;汉仪书宋二KW" w:hAnsi="宋体;汉仪书宋二KW" w:eastAsia="宋体;汉仪书宋二KW" w:cs="宋体;汉仪书宋二KW"/>
          <w:b w:val="false"/>
          <w:bCs w:val="false"/>
          <w:spacing w:val="0"/>
          <w:kern w:val="2"/>
          <w:sz w:val="21"/>
          <w:szCs w:val="21"/>
          <w:lang w:val="en-US" w:eastAsia="zh-CN"/>
        </w:rPr>
      </w:pPr>
    </w:p>
    <w:p>
      <w:pPr>
        <w:pStyle w:val="1"/>
        <w:ind w:firstLine="420" w:right="0"/>
        <w:rPr>
          <w:rFonts w:ascii="宋体;汉仪书宋二KW" w:hAnsi="宋体;汉仪书宋二KW" w:eastAsia="宋体;汉仪书宋二KW" w:cs="宋体;汉仪书宋二KW"/>
          <w:b/>
          <w:bCs/>
          <w:spacing w:val="0"/>
          <w:kern w:val="2"/>
          <w:sz w:val="21"/>
          <w:szCs w:val="21"/>
        </w:rPr>
      </w:pPr>
      <w:r>
        <w:rPr>
          <w:rFonts w:eastAsia="宋体;汉仪书宋二KW" w:cs="宋体;汉仪书宋二KW" w:ascii="宋体;汉仪书宋二KW" w:hAnsi="宋体;汉仪书宋二KW"/>
          <w:b/>
          <w:bCs/>
          <w:spacing w:val="0"/>
          <w:kern w:val="2"/>
          <w:sz w:val="21"/>
          <w:szCs w:val="21"/>
          <w:lang w:val="en-US" w:eastAsia="zh-CN"/>
        </w:rPr>
        <w:t>1.</w:t>
      </w:r>
      <w:r>
        <w:rPr>
          <w:rFonts w:ascii="宋体;汉仪书宋二KW" w:hAnsi="宋体;汉仪书宋二KW" w:cs="宋体;汉仪书宋二KW" w:eastAsia="宋体;汉仪书宋二KW"/>
          <w:b/>
          <w:bCs/>
          <w:spacing w:val="0"/>
          <w:kern w:val="2"/>
          <w:sz w:val="21"/>
          <w:szCs w:val="21"/>
        </w:rPr>
        <w:t>资产结构分析</w:t>
      </w:r>
    </w:p>
    <w:p>
      <w:pPr>
        <w:pStyle w:val="1"/>
        <w:keepNext w:val="false"/>
        <w:keepLines w:val="false"/>
        <w:pageBreakBefore w:val="false"/>
        <w:widowControl w:val="false"/>
        <w:kinsoku w:val="true"/>
        <w:overflowPunct w:val="true"/>
        <w:autoSpaceDE w:val="true"/>
        <w:bidi w:val="0"/>
        <w:snapToGrid w:val="true"/>
        <w:spacing w:lineRule="exact" w:line="480"/>
        <w:ind w:firstLine="420" w:right="0"/>
        <w:jc w:val="both"/>
        <w:rPr>
          <w:rFonts w:ascii="宋体;汉仪书宋二KW" w:hAnsi="宋体;汉仪书宋二KW" w:eastAsia="宋体;汉仪书宋二KW" w:cs="宋体;汉仪书宋二KW"/>
          <w:spacing w:val="0"/>
          <w:kern w:val="2"/>
          <w:sz w:val="21"/>
          <w:szCs w:val="21"/>
        </w:rPr>
      </w:pPr>
      <w:r>
        <w:rPr>
          <w:rFonts w:ascii="宋体;汉仪书宋二KW" w:hAnsi="宋体;汉仪书宋二KW" w:cs="宋体;汉仪书宋二KW" w:eastAsia="宋体;汉仪书宋二KW"/>
          <w:spacing w:val="0"/>
          <w:kern w:val="2"/>
          <w:sz w:val="21"/>
          <w:szCs w:val="21"/>
        </w:rPr>
        <w:t>截至</w:t>
      </w:r>
      <w:r>
        <w:rPr>
          <w:rFonts w:eastAsia="宋体;汉仪书宋二KW" w:cs="宋体;汉仪书宋二KW" w:ascii="宋体;汉仪书宋二KW" w:hAnsi="宋体;汉仪书宋二KW"/>
          <w:spacing w:val="0"/>
          <w:kern w:val="2"/>
          <w:sz w:val="21"/>
          <w:szCs w:val="21"/>
        </w:rPr>
        <w:t>2022-2024</w:t>
      </w:r>
      <w:r>
        <w:rPr>
          <w:rFonts w:ascii="宋体;汉仪书宋二KW" w:hAnsi="宋体;汉仪书宋二KW" w:cs="宋体;汉仪书宋二KW" w:eastAsia="宋体;汉仪书宋二KW"/>
          <w:spacing w:val="0"/>
          <w:kern w:val="2"/>
          <w:sz w:val="21"/>
          <w:szCs w:val="21"/>
        </w:rPr>
        <w:t>年末及</w:t>
      </w:r>
      <w:r>
        <w:rPr>
          <w:rFonts w:eastAsia="宋体;汉仪书宋二KW" w:cs="宋体;汉仪书宋二KW" w:ascii="宋体;汉仪书宋二KW" w:hAnsi="宋体;汉仪书宋二KW"/>
          <w:spacing w:val="0"/>
          <w:kern w:val="2"/>
          <w:sz w:val="21"/>
          <w:szCs w:val="21"/>
        </w:rPr>
        <w:t>2025</w:t>
      </w:r>
      <w:r>
        <w:rPr>
          <w:rFonts w:ascii="宋体;汉仪书宋二KW" w:hAnsi="宋体;汉仪书宋二KW" w:cs="宋体;汉仪书宋二KW" w:eastAsia="宋体;汉仪书宋二KW"/>
          <w:spacing w:val="0"/>
          <w:kern w:val="2"/>
          <w:sz w:val="21"/>
          <w:szCs w:val="21"/>
        </w:rPr>
        <w:t>年</w:t>
      </w:r>
      <w:r>
        <w:rPr>
          <w:rFonts w:eastAsia="宋体;汉仪书宋二KW" w:cs="宋体;汉仪书宋二KW" w:ascii="宋体;汉仪书宋二KW" w:hAnsi="宋体;汉仪书宋二KW"/>
          <w:spacing w:val="0"/>
          <w:kern w:val="2"/>
          <w:sz w:val="21"/>
          <w:szCs w:val="21"/>
        </w:rPr>
        <w:t>3</w:t>
      </w:r>
      <w:r>
        <w:rPr>
          <w:rFonts w:ascii="宋体;汉仪书宋二KW" w:hAnsi="宋体;汉仪书宋二KW" w:cs="宋体;汉仪书宋二KW" w:eastAsia="宋体;汉仪书宋二KW"/>
          <w:spacing w:val="0"/>
          <w:kern w:val="2"/>
          <w:sz w:val="21"/>
          <w:szCs w:val="21"/>
        </w:rPr>
        <w:t>月末，公司总资产分别为</w:t>
      </w:r>
      <w:r>
        <w:rPr>
          <w:rFonts w:eastAsia="宋体;汉仪书宋二KW" w:cs="宋体;汉仪书宋二KW" w:ascii="宋体;汉仪书宋二KW" w:hAnsi="宋体;汉仪书宋二KW"/>
          <w:spacing w:val="0"/>
          <w:kern w:val="2"/>
          <w:sz w:val="21"/>
          <w:szCs w:val="21"/>
        </w:rPr>
        <w:t>2,696,627.41</w:t>
      </w:r>
      <w:r>
        <w:rPr>
          <w:rFonts w:ascii="宋体;汉仪书宋二KW" w:hAnsi="宋体;汉仪书宋二KW" w:cs="宋体;汉仪书宋二KW" w:eastAsia="宋体;汉仪书宋二KW"/>
          <w:spacing w:val="0"/>
          <w:kern w:val="2"/>
          <w:sz w:val="21"/>
          <w:szCs w:val="21"/>
        </w:rPr>
        <w:t>万元、</w:t>
      </w:r>
      <w:r>
        <w:rPr>
          <w:rFonts w:eastAsia="宋体;汉仪书宋二KW" w:cs="宋体;汉仪书宋二KW" w:ascii="宋体;汉仪书宋二KW" w:hAnsi="宋体;汉仪书宋二KW"/>
          <w:spacing w:val="0"/>
          <w:kern w:val="2"/>
          <w:sz w:val="21"/>
          <w:szCs w:val="21"/>
        </w:rPr>
        <w:t>2,849,505.97</w:t>
      </w:r>
      <w:r>
        <w:rPr>
          <w:rFonts w:ascii="宋体;汉仪书宋二KW" w:hAnsi="宋体;汉仪书宋二KW" w:cs="宋体;汉仪书宋二KW" w:eastAsia="宋体;汉仪书宋二KW"/>
          <w:spacing w:val="0"/>
          <w:kern w:val="2"/>
          <w:sz w:val="21"/>
          <w:szCs w:val="21"/>
        </w:rPr>
        <w:t>万元、</w:t>
      </w:r>
      <w:r>
        <w:rPr>
          <w:rFonts w:eastAsia="宋体;汉仪书宋二KW" w:cs="宋体;汉仪书宋二KW" w:ascii="宋体;汉仪书宋二KW" w:hAnsi="宋体;汉仪书宋二KW"/>
          <w:spacing w:val="0"/>
          <w:kern w:val="2"/>
          <w:sz w:val="21"/>
          <w:szCs w:val="21"/>
        </w:rPr>
        <w:t>3,202,169.56</w:t>
      </w:r>
      <w:r>
        <w:rPr>
          <w:rFonts w:ascii="宋体;汉仪书宋二KW" w:hAnsi="宋体;汉仪书宋二KW" w:cs="宋体;汉仪书宋二KW" w:eastAsia="宋体;汉仪书宋二KW"/>
          <w:spacing w:val="0"/>
          <w:kern w:val="2"/>
          <w:sz w:val="21"/>
          <w:szCs w:val="21"/>
        </w:rPr>
        <w:t>万元和</w:t>
      </w:r>
      <w:r>
        <w:rPr>
          <w:rFonts w:eastAsia="宋体;汉仪书宋二KW" w:cs="宋体;汉仪书宋二KW" w:ascii="宋体;汉仪书宋二KW" w:hAnsi="宋体;汉仪书宋二KW"/>
          <w:spacing w:val="0"/>
          <w:kern w:val="2"/>
          <w:sz w:val="21"/>
          <w:szCs w:val="21"/>
        </w:rPr>
        <w:t>3,333,312.83</w:t>
      </w:r>
      <w:r>
        <w:rPr>
          <w:rFonts w:ascii="宋体;汉仪书宋二KW" w:hAnsi="宋体;汉仪书宋二KW" w:cs="宋体;汉仪书宋二KW" w:eastAsia="宋体;汉仪书宋二KW"/>
          <w:spacing w:val="0"/>
          <w:kern w:val="2"/>
          <w:sz w:val="21"/>
          <w:szCs w:val="21"/>
        </w:rPr>
        <w:t>万元。</w:t>
      </w:r>
      <w:r>
        <w:rPr>
          <w:rFonts w:eastAsia="宋体;汉仪书宋二KW" w:cs="宋体;汉仪书宋二KW" w:ascii="宋体;汉仪书宋二KW" w:hAnsi="宋体;汉仪书宋二KW"/>
          <w:spacing w:val="0"/>
          <w:kern w:val="2"/>
          <w:sz w:val="21"/>
          <w:szCs w:val="21"/>
        </w:rPr>
        <w:t>2022-2024</w:t>
      </w:r>
      <w:r>
        <w:rPr>
          <w:rFonts w:ascii="宋体;汉仪书宋二KW" w:hAnsi="宋体;汉仪书宋二KW" w:cs="宋体;汉仪书宋二KW" w:eastAsia="宋体;汉仪书宋二KW"/>
          <w:spacing w:val="0"/>
          <w:kern w:val="2"/>
          <w:sz w:val="21"/>
          <w:szCs w:val="21"/>
        </w:rPr>
        <w:t>年末，随着公司业务规模持续扩大，公司资产总额总体呈增长趋势。</w:t>
      </w:r>
    </w:p>
    <w:p>
      <w:pPr>
        <w:pStyle w:val="1"/>
        <w:keepNext w:val="false"/>
        <w:keepLines w:val="false"/>
        <w:pageBreakBefore w:val="false"/>
        <w:widowControl w:val="false"/>
        <w:kinsoku w:val="true"/>
        <w:overflowPunct w:val="true"/>
        <w:autoSpaceDE w:val="true"/>
        <w:bidi w:val="0"/>
        <w:snapToGrid w:val="true"/>
        <w:spacing w:lineRule="exact" w:line="480"/>
        <w:ind w:firstLine="420" w:right="0"/>
        <w:jc w:val="both"/>
        <w:rPr>
          <w:rFonts w:ascii="宋体;汉仪书宋二KW" w:hAnsi="宋体;汉仪书宋二KW" w:eastAsia="宋体;汉仪书宋二KW" w:cs="宋体;汉仪书宋二KW"/>
          <w:spacing w:val="0"/>
          <w:kern w:val="2"/>
          <w:sz w:val="21"/>
          <w:szCs w:val="21"/>
        </w:rPr>
      </w:pPr>
      <w:r>
        <w:rPr>
          <w:rFonts w:ascii="宋体;汉仪书宋二KW" w:hAnsi="宋体;汉仪书宋二KW" w:cs="宋体;汉仪书宋二KW" w:eastAsia="宋体;汉仪书宋二KW"/>
          <w:spacing w:val="0"/>
          <w:kern w:val="2"/>
          <w:sz w:val="21"/>
          <w:szCs w:val="21"/>
        </w:rPr>
        <w:t>从资产结构看，</w:t>
      </w:r>
      <w:r>
        <w:rPr>
          <w:rFonts w:eastAsia="宋体;汉仪书宋二KW" w:cs="宋体;汉仪书宋二KW" w:ascii="宋体;汉仪书宋二KW" w:hAnsi="宋体;汉仪书宋二KW"/>
          <w:spacing w:val="0"/>
          <w:kern w:val="2"/>
          <w:sz w:val="21"/>
          <w:szCs w:val="21"/>
        </w:rPr>
        <w:t>2022-2024</w:t>
      </w:r>
      <w:r>
        <w:rPr>
          <w:rFonts w:ascii="宋体;汉仪书宋二KW" w:hAnsi="宋体;汉仪书宋二KW" w:cs="宋体;汉仪书宋二KW" w:eastAsia="宋体;汉仪书宋二KW"/>
          <w:spacing w:val="0"/>
          <w:kern w:val="2"/>
          <w:sz w:val="21"/>
          <w:szCs w:val="21"/>
        </w:rPr>
        <w:t>年末及</w:t>
      </w:r>
      <w:r>
        <w:rPr>
          <w:rFonts w:eastAsia="宋体;汉仪书宋二KW" w:cs="宋体;汉仪书宋二KW" w:ascii="宋体;汉仪书宋二KW" w:hAnsi="宋体;汉仪书宋二KW"/>
          <w:spacing w:val="0"/>
          <w:kern w:val="2"/>
          <w:sz w:val="21"/>
          <w:szCs w:val="21"/>
        </w:rPr>
        <w:t>2025</w:t>
      </w:r>
      <w:r>
        <w:rPr>
          <w:rFonts w:ascii="宋体;汉仪书宋二KW" w:hAnsi="宋体;汉仪书宋二KW" w:cs="宋体;汉仪书宋二KW" w:eastAsia="宋体;汉仪书宋二KW"/>
          <w:spacing w:val="0"/>
          <w:kern w:val="2"/>
          <w:sz w:val="21"/>
          <w:szCs w:val="21"/>
        </w:rPr>
        <w:t>年</w:t>
      </w:r>
      <w:r>
        <w:rPr>
          <w:rFonts w:eastAsia="宋体;汉仪书宋二KW" w:cs="宋体;汉仪书宋二KW" w:ascii="宋体;汉仪书宋二KW" w:hAnsi="宋体;汉仪书宋二KW"/>
          <w:spacing w:val="0"/>
          <w:kern w:val="2"/>
          <w:sz w:val="21"/>
          <w:szCs w:val="21"/>
        </w:rPr>
        <w:t>3</w:t>
      </w:r>
      <w:r>
        <w:rPr>
          <w:rFonts w:ascii="宋体;汉仪书宋二KW" w:hAnsi="宋体;汉仪书宋二KW" w:cs="宋体;汉仪书宋二KW" w:eastAsia="宋体;汉仪书宋二KW"/>
          <w:spacing w:val="0"/>
          <w:kern w:val="2"/>
          <w:sz w:val="21"/>
          <w:szCs w:val="21"/>
        </w:rPr>
        <w:t>月末公司流动资产占总资产的</w:t>
      </w:r>
      <w:r>
        <w:rPr>
          <w:rFonts w:eastAsia="宋体;汉仪书宋二KW" w:cs="宋体;汉仪书宋二KW" w:ascii="宋体;汉仪书宋二KW" w:hAnsi="宋体;汉仪书宋二KW"/>
          <w:spacing w:val="0"/>
          <w:kern w:val="2"/>
          <w:sz w:val="21"/>
          <w:szCs w:val="21"/>
        </w:rPr>
        <w:t>30%</w:t>
      </w:r>
      <w:r>
        <w:rPr>
          <w:rFonts w:ascii="宋体;汉仪书宋二KW" w:hAnsi="宋体;汉仪书宋二KW" w:cs="宋体;汉仪书宋二KW" w:eastAsia="宋体;汉仪书宋二KW"/>
          <w:spacing w:val="0"/>
          <w:kern w:val="2"/>
          <w:sz w:val="21"/>
          <w:szCs w:val="21"/>
        </w:rPr>
        <w:t>左右，流动资产主要由货币资金、应收账款和存货组成。其中，货币资金在流动资产中的占比最高。</w:t>
      </w:r>
      <w:r>
        <w:rPr>
          <w:rFonts w:eastAsia="宋体;汉仪书宋二KW" w:cs="宋体;汉仪书宋二KW" w:ascii="宋体;汉仪书宋二KW" w:hAnsi="宋体;汉仪书宋二KW"/>
          <w:spacing w:val="0"/>
          <w:kern w:val="2"/>
          <w:sz w:val="21"/>
          <w:szCs w:val="21"/>
        </w:rPr>
        <w:t>2022-2024</w:t>
      </w:r>
      <w:r>
        <w:rPr>
          <w:rFonts w:ascii="宋体;汉仪书宋二KW" w:hAnsi="宋体;汉仪书宋二KW" w:cs="宋体;汉仪书宋二KW" w:eastAsia="宋体;汉仪书宋二KW"/>
          <w:spacing w:val="0"/>
          <w:kern w:val="2"/>
          <w:sz w:val="21"/>
          <w:szCs w:val="21"/>
        </w:rPr>
        <w:t>年末及</w:t>
      </w:r>
      <w:r>
        <w:rPr>
          <w:rFonts w:eastAsia="宋体;汉仪书宋二KW" w:cs="宋体;汉仪书宋二KW" w:ascii="宋体;汉仪书宋二KW" w:hAnsi="宋体;汉仪书宋二KW"/>
          <w:spacing w:val="0"/>
          <w:kern w:val="2"/>
          <w:sz w:val="21"/>
          <w:szCs w:val="21"/>
        </w:rPr>
        <w:t>2025</w:t>
      </w:r>
      <w:r>
        <w:rPr>
          <w:rFonts w:ascii="宋体;汉仪书宋二KW" w:hAnsi="宋体;汉仪书宋二KW" w:cs="宋体;汉仪书宋二KW" w:eastAsia="宋体;汉仪书宋二KW"/>
          <w:spacing w:val="0"/>
          <w:kern w:val="2"/>
          <w:sz w:val="21"/>
          <w:szCs w:val="21"/>
        </w:rPr>
        <w:t>年</w:t>
      </w:r>
      <w:r>
        <w:rPr>
          <w:rFonts w:eastAsia="宋体;汉仪书宋二KW" w:cs="宋体;汉仪书宋二KW" w:ascii="宋体;汉仪书宋二KW" w:hAnsi="宋体;汉仪书宋二KW"/>
          <w:spacing w:val="0"/>
          <w:kern w:val="2"/>
          <w:sz w:val="21"/>
          <w:szCs w:val="21"/>
        </w:rPr>
        <w:t>3</w:t>
      </w:r>
      <w:r>
        <w:rPr>
          <w:rFonts w:ascii="宋体;汉仪书宋二KW" w:hAnsi="宋体;汉仪书宋二KW" w:cs="宋体;汉仪书宋二KW" w:eastAsia="宋体;汉仪书宋二KW"/>
          <w:spacing w:val="0"/>
          <w:kern w:val="2"/>
          <w:sz w:val="21"/>
          <w:szCs w:val="21"/>
        </w:rPr>
        <w:t>月末公司非流动资产在总资产中占比在</w:t>
      </w:r>
      <w:r>
        <w:rPr>
          <w:rFonts w:eastAsia="宋体;汉仪书宋二KW" w:cs="宋体;汉仪书宋二KW" w:ascii="宋体;汉仪书宋二KW" w:hAnsi="宋体;汉仪书宋二KW"/>
          <w:spacing w:val="0"/>
          <w:kern w:val="2"/>
          <w:sz w:val="21"/>
          <w:szCs w:val="21"/>
        </w:rPr>
        <w:t>70%</w:t>
      </w:r>
      <w:r>
        <w:rPr>
          <w:rFonts w:ascii="宋体;汉仪书宋二KW" w:hAnsi="宋体;汉仪书宋二KW" w:cs="宋体;汉仪书宋二KW" w:eastAsia="宋体;汉仪书宋二KW"/>
          <w:spacing w:val="0"/>
          <w:kern w:val="2"/>
          <w:sz w:val="21"/>
          <w:szCs w:val="21"/>
        </w:rPr>
        <w:t>左右，非流动资产主要由固定资产、在建工程和无形资产组成。其中固定资产包括房屋、建筑物、机器设备和管网等，在非流动资产中的比例最高，是公司重要的盈利性资产。从总体上看，公司的流动资产与非流动资产占总资产的比重一直保持相对稳定。</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r>
        <w:rPr>
          <w:rFonts w:eastAsia="宋体;汉仪书宋二KW" w:cs="Times New Roman" w:ascii="宋体;汉仪书宋二KW" w:hAnsi="宋体;汉仪书宋二KW"/>
          <w:spacing w:val="0"/>
          <w:kern w:val="2"/>
          <w:sz w:val="21"/>
          <w:szCs w:val="21"/>
          <w:lang w:val="en-US" w:eastAsia="zh-CN" w:bidi="ar-SA"/>
        </w:rPr>
        <w:t>2022-2024</w:t>
      </w:r>
      <w:r>
        <w:rPr>
          <w:rFonts w:ascii="宋体;汉仪书宋二KW" w:hAnsi="宋体;汉仪书宋二KW" w:cs="Times New Roman" w:eastAsia="宋体;汉仪书宋二KW"/>
          <w:spacing w:val="0"/>
          <w:kern w:val="2"/>
          <w:sz w:val="21"/>
          <w:szCs w:val="21"/>
          <w:lang w:val="en-US" w:eastAsia="zh-CN" w:bidi="ar-SA"/>
        </w:rPr>
        <w:t>年末和</w:t>
      </w:r>
      <w:r>
        <w:rPr>
          <w:rFonts w:eastAsia="宋体;汉仪书宋二KW" w:cs="Times New Roman" w:ascii="宋体;汉仪书宋二KW" w:hAnsi="宋体;汉仪书宋二KW"/>
          <w:spacing w:val="0"/>
          <w:kern w:val="2"/>
          <w:sz w:val="21"/>
          <w:szCs w:val="21"/>
          <w:lang w:val="en-US" w:eastAsia="zh-CN" w:bidi="ar-SA"/>
        </w:rPr>
        <w:t>2025</w:t>
      </w:r>
      <w:r>
        <w:rPr>
          <w:rFonts w:ascii="宋体;汉仪书宋二KW" w:hAnsi="宋体;汉仪书宋二KW" w:cs="Times New Roman" w:eastAsia="宋体;汉仪书宋二KW"/>
          <w:spacing w:val="0"/>
          <w:kern w:val="2"/>
          <w:sz w:val="21"/>
          <w:szCs w:val="21"/>
          <w:lang w:val="en-US" w:eastAsia="zh-CN" w:bidi="ar-SA"/>
        </w:rPr>
        <w:t>年</w:t>
      </w:r>
      <w:r>
        <w:rPr>
          <w:rFonts w:eastAsia="宋体;汉仪书宋二KW" w:cs="Times New Roman" w:ascii="宋体;汉仪书宋二KW" w:hAnsi="宋体;汉仪书宋二KW"/>
          <w:spacing w:val="0"/>
          <w:kern w:val="2"/>
          <w:sz w:val="21"/>
          <w:szCs w:val="21"/>
          <w:lang w:val="en-US" w:eastAsia="zh-CN" w:bidi="ar-SA"/>
        </w:rPr>
        <w:t>3</w:t>
      </w:r>
      <w:r>
        <w:rPr>
          <w:rFonts w:ascii="宋体;汉仪书宋二KW" w:hAnsi="宋体;汉仪书宋二KW" w:cs="Times New Roman" w:eastAsia="宋体;汉仪书宋二KW"/>
          <w:spacing w:val="0"/>
          <w:kern w:val="2"/>
          <w:sz w:val="21"/>
          <w:szCs w:val="21"/>
          <w:lang w:val="en-US" w:eastAsia="zh-CN" w:bidi="ar-SA"/>
        </w:rPr>
        <w:t>月末，公司的总负债分别为</w:t>
      </w:r>
      <w:r>
        <w:rPr>
          <w:rFonts w:eastAsia="宋体;汉仪书宋二KW" w:cs="Times New Roman" w:ascii="宋体;汉仪书宋二KW" w:hAnsi="宋体;汉仪书宋二KW"/>
          <w:spacing w:val="0"/>
          <w:kern w:val="2"/>
          <w:sz w:val="21"/>
          <w:szCs w:val="21"/>
          <w:lang w:val="en-US" w:eastAsia="zh-CN" w:bidi="ar-SA"/>
        </w:rPr>
        <w:t>1,926,305.80</w:t>
      </w:r>
      <w:r>
        <w:rPr>
          <w:rFonts w:ascii="宋体;汉仪书宋二KW" w:hAnsi="宋体;汉仪书宋二KW" w:cs="Times New Roman" w:eastAsia="宋体;汉仪书宋二KW"/>
          <w:spacing w:val="0"/>
          <w:kern w:val="2"/>
          <w:sz w:val="21"/>
          <w:szCs w:val="21"/>
          <w:lang w:val="en-US" w:eastAsia="zh-CN" w:bidi="ar-SA"/>
        </w:rPr>
        <w:t>万元、</w:t>
      </w:r>
      <w:r>
        <w:rPr>
          <w:rFonts w:eastAsia="宋体;汉仪书宋二KW" w:cs="Times New Roman" w:ascii="宋体;汉仪书宋二KW" w:hAnsi="宋体;汉仪书宋二KW"/>
          <w:spacing w:val="0"/>
          <w:kern w:val="2"/>
          <w:sz w:val="21"/>
          <w:szCs w:val="21"/>
          <w:lang w:val="en-US" w:eastAsia="zh-CN" w:bidi="ar-SA"/>
        </w:rPr>
        <w:t>2,062,865.09</w:t>
      </w:r>
      <w:r>
        <w:rPr>
          <w:rFonts w:ascii="宋体;汉仪书宋二KW" w:hAnsi="宋体;汉仪书宋二KW" w:cs="Times New Roman" w:eastAsia="宋体;汉仪书宋二KW"/>
          <w:spacing w:val="0"/>
          <w:kern w:val="2"/>
          <w:sz w:val="21"/>
          <w:szCs w:val="21"/>
          <w:lang w:val="en-US" w:eastAsia="zh-CN" w:bidi="ar-SA"/>
        </w:rPr>
        <w:t>万元、</w:t>
      </w:r>
      <w:r>
        <w:rPr>
          <w:rFonts w:eastAsia="宋体;汉仪书宋二KW" w:cs="Times New Roman" w:ascii="宋体;汉仪书宋二KW" w:hAnsi="宋体;汉仪书宋二KW"/>
          <w:spacing w:val="0"/>
          <w:kern w:val="2"/>
          <w:sz w:val="21"/>
          <w:szCs w:val="21"/>
          <w:lang w:val="en-US" w:eastAsia="zh-CN" w:bidi="ar-SA"/>
        </w:rPr>
        <w:t>2,275,727.98</w:t>
      </w:r>
      <w:r>
        <w:rPr>
          <w:rFonts w:ascii="宋体;汉仪书宋二KW" w:hAnsi="宋体;汉仪书宋二KW" w:cs="Times New Roman" w:eastAsia="宋体;汉仪书宋二KW"/>
          <w:spacing w:val="0"/>
          <w:kern w:val="2"/>
          <w:sz w:val="21"/>
          <w:szCs w:val="21"/>
          <w:lang w:val="en-US" w:eastAsia="zh-CN" w:bidi="ar-SA"/>
        </w:rPr>
        <w:t>万元和</w:t>
      </w:r>
      <w:r>
        <w:rPr>
          <w:rFonts w:eastAsia="宋体;汉仪书宋二KW" w:cs="Times New Roman" w:ascii="宋体;汉仪书宋二KW" w:hAnsi="宋体;汉仪书宋二KW"/>
          <w:spacing w:val="0"/>
          <w:kern w:val="2"/>
          <w:sz w:val="21"/>
          <w:szCs w:val="21"/>
          <w:lang w:val="en-US" w:eastAsia="zh-CN" w:bidi="ar-SA"/>
        </w:rPr>
        <w:t>2,276,878.25</w:t>
      </w:r>
      <w:r>
        <w:rPr>
          <w:rFonts w:ascii="宋体;汉仪书宋二KW" w:hAnsi="宋体;汉仪书宋二KW" w:cs="Times New Roman" w:eastAsia="宋体;汉仪书宋二KW"/>
          <w:spacing w:val="0"/>
          <w:kern w:val="2"/>
          <w:sz w:val="21"/>
          <w:szCs w:val="21"/>
          <w:lang w:val="en-US" w:eastAsia="zh-CN" w:bidi="ar-SA"/>
        </w:rPr>
        <w:t>万元。</w:t>
      </w:r>
    </w:p>
    <w:p>
      <w:pPr>
        <w:pStyle w:val="1"/>
        <w:ind w:firstLine="420" w:right="0"/>
        <w:rPr>
          <w:rFonts w:ascii="宋体;汉仪书宋二KW" w:hAnsi="宋体;汉仪书宋二KW" w:eastAsia="宋体;汉仪书宋二KW" w:cs="Times New Roman"/>
          <w:spacing w:val="0"/>
          <w:kern w:val="2"/>
          <w:sz w:val="21"/>
          <w:szCs w:val="21"/>
          <w:lang w:val="en-US" w:eastAsia="zh-CN" w:bidi="ar-SA"/>
        </w:rPr>
      </w:pPr>
      <w:r>
        <w:rPr>
          <w:rFonts w:eastAsia="宋体;汉仪书宋二KW" w:cs="宋体;汉仪书宋二KW" w:ascii="宋体;汉仪书宋二KW" w:hAnsi="宋体;汉仪书宋二KW"/>
          <w:b/>
          <w:bCs/>
          <w:spacing w:val="0"/>
          <w:kern w:val="2"/>
          <w:sz w:val="21"/>
          <w:szCs w:val="21"/>
          <w:lang w:val="en-US" w:eastAsia="zh-CN"/>
        </w:rPr>
        <w:t>2.</w:t>
      </w:r>
      <w:r>
        <w:rPr>
          <w:rFonts w:ascii="宋体;汉仪书宋二KW" w:hAnsi="宋体;汉仪书宋二KW" w:cs="宋体;汉仪书宋二KW" w:eastAsia="宋体;汉仪书宋二KW"/>
          <w:b/>
          <w:bCs/>
          <w:spacing w:val="0"/>
          <w:kern w:val="2"/>
          <w:sz w:val="21"/>
          <w:szCs w:val="21"/>
          <w:lang w:eastAsia="zh-CN"/>
        </w:rPr>
        <w:t>负债</w:t>
      </w:r>
      <w:r>
        <w:rPr>
          <w:rFonts w:ascii="宋体;汉仪书宋二KW" w:hAnsi="宋体;汉仪书宋二KW" w:cs="宋体;汉仪书宋二KW" w:eastAsia="宋体;汉仪书宋二KW"/>
          <w:b/>
          <w:bCs/>
          <w:spacing w:val="0"/>
          <w:kern w:val="2"/>
          <w:sz w:val="21"/>
          <w:szCs w:val="21"/>
        </w:rPr>
        <w:t>结构分析</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r>
        <w:rPr>
          <w:rFonts w:ascii="宋体;汉仪书宋二KW" w:hAnsi="宋体;汉仪书宋二KW" w:cs="Times New Roman" w:eastAsia="宋体;汉仪书宋二KW"/>
          <w:spacing w:val="0"/>
          <w:kern w:val="2"/>
          <w:sz w:val="21"/>
          <w:szCs w:val="21"/>
          <w:lang w:val="en-US" w:eastAsia="zh-CN" w:bidi="ar-SA"/>
        </w:rPr>
        <w:t>从负债结构看，报告期内公司流动负债占总资产比重基本保持稳定。近三年及一期末公司的流动负债占总负债的比重分别为</w:t>
      </w:r>
      <w:r>
        <w:rPr>
          <w:rFonts w:eastAsia="宋体;汉仪书宋二KW" w:cs="Times New Roman" w:ascii="宋体;汉仪书宋二KW" w:hAnsi="宋体;汉仪书宋二KW"/>
          <w:spacing w:val="0"/>
          <w:kern w:val="2"/>
          <w:sz w:val="21"/>
          <w:szCs w:val="21"/>
          <w:lang w:val="en-US" w:eastAsia="zh-CN" w:bidi="ar-SA"/>
        </w:rPr>
        <w:t>53.54%</w:t>
      </w:r>
      <w:r>
        <w:rPr>
          <w:rFonts w:ascii="宋体;汉仪书宋二KW" w:hAnsi="宋体;汉仪书宋二KW" w:cs="Times New Roman" w:eastAsia="宋体;汉仪书宋二KW"/>
          <w:spacing w:val="0"/>
          <w:kern w:val="2"/>
          <w:sz w:val="21"/>
          <w:szCs w:val="21"/>
          <w:lang w:val="en-US" w:eastAsia="zh-CN" w:bidi="ar-SA"/>
        </w:rPr>
        <w:t>、</w:t>
      </w:r>
      <w:r>
        <w:rPr>
          <w:rFonts w:eastAsia="宋体;汉仪书宋二KW" w:cs="Times New Roman" w:ascii="宋体;汉仪书宋二KW" w:hAnsi="宋体;汉仪书宋二KW"/>
          <w:spacing w:val="0"/>
          <w:kern w:val="2"/>
          <w:sz w:val="21"/>
          <w:szCs w:val="21"/>
          <w:lang w:val="en-US" w:eastAsia="zh-CN" w:bidi="ar-SA"/>
        </w:rPr>
        <w:t>58.11%</w:t>
      </w:r>
      <w:r>
        <w:rPr>
          <w:rFonts w:ascii="宋体;汉仪书宋二KW" w:hAnsi="宋体;汉仪书宋二KW" w:cs="Times New Roman" w:eastAsia="宋体;汉仪书宋二KW"/>
          <w:spacing w:val="0"/>
          <w:kern w:val="2"/>
          <w:sz w:val="21"/>
          <w:szCs w:val="21"/>
          <w:lang w:val="en-US" w:eastAsia="zh-CN" w:bidi="ar-SA"/>
        </w:rPr>
        <w:t>、</w:t>
      </w:r>
      <w:r>
        <w:rPr>
          <w:rFonts w:eastAsia="宋体;汉仪书宋二KW" w:cs="Times New Roman" w:ascii="宋体;汉仪书宋二KW" w:hAnsi="宋体;汉仪书宋二KW"/>
          <w:spacing w:val="0"/>
          <w:kern w:val="2"/>
          <w:sz w:val="21"/>
          <w:szCs w:val="21"/>
          <w:lang w:val="en-US" w:eastAsia="zh-CN" w:bidi="ar-SA"/>
        </w:rPr>
        <w:t>57.96%</w:t>
      </w:r>
      <w:r>
        <w:rPr>
          <w:rFonts w:ascii="宋体;汉仪书宋二KW" w:hAnsi="宋体;汉仪书宋二KW" w:cs="Times New Roman" w:eastAsia="宋体;汉仪书宋二KW"/>
          <w:spacing w:val="0"/>
          <w:kern w:val="2"/>
          <w:sz w:val="21"/>
          <w:szCs w:val="21"/>
          <w:lang w:val="en-US" w:eastAsia="zh-CN" w:bidi="ar-SA"/>
        </w:rPr>
        <w:t>和</w:t>
      </w:r>
      <w:r>
        <w:rPr>
          <w:rFonts w:eastAsia="宋体;汉仪书宋二KW" w:cs="Times New Roman" w:ascii="宋体;汉仪书宋二KW" w:hAnsi="宋体;汉仪书宋二KW"/>
          <w:spacing w:val="0"/>
          <w:kern w:val="2"/>
          <w:sz w:val="21"/>
          <w:szCs w:val="21"/>
          <w:lang w:val="en-US" w:eastAsia="zh-CN" w:bidi="ar-SA"/>
        </w:rPr>
        <w:t>54.35%</w:t>
      </w:r>
      <w:r>
        <w:rPr>
          <w:rFonts w:ascii="宋体;汉仪书宋二KW" w:hAnsi="宋体;汉仪书宋二KW" w:cs="Times New Roman" w:eastAsia="宋体;汉仪书宋二KW"/>
          <w:spacing w:val="0"/>
          <w:kern w:val="2"/>
          <w:sz w:val="21"/>
          <w:szCs w:val="21"/>
          <w:lang w:val="en-US" w:eastAsia="zh-CN" w:bidi="ar-SA"/>
        </w:rPr>
        <w:t>。公司的流动负债主要为短期借款、应付票据及应付账款、预收款项、合同负债和其他应付款。近三年及一期末公司的非流动负债占总负债的比重分别为</w:t>
      </w:r>
      <w:r>
        <w:rPr>
          <w:rFonts w:eastAsia="宋体;汉仪书宋二KW" w:cs="Times New Roman" w:ascii="宋体;汉仪书宋二KW" w:hAnsi="宋体;汉仪书宋二KW"/>
          <w:spacing w:val="0"/>
          <w:kern w:val="2"/>
          <w:sz w:val="21"/>
          <w:szCs w:val="21"/>
          <w:lang w:val="en-US" w:eastAsia="zh-CN" w:bidi="ar-SA"/>
        </w:rPr>
        <w:t>46.46%</w:t>
      </w:r>
      <w:r>
        <w:rPr>
          <w:rFonts w:ascii="宋体;汉仪书宋二KW" w:hAnsi="宋体;汉仪书宋二KW" w:cs="Times New Roman" w:eastAsia="宋体;汉仪书宋二KW"/>
          <w:spacing w:val="0"/>
          <w:kern w:val="2"/>
          <w:sz w:val="21"/>
          <w:szCs w:val="21"/>
          <w:lang w:val="en-US" w:eastAsia="zh-CN" w:bidi="ar-SA"/>
        </w:rPr>
        <w:t>、</w:t>
      </w:r>
      <w:r>
        <w:rPr>
          <w:rFonts w:eastAsia="宋体;汉仪书宋二KW" w:cs="Times New Roman" w:ascii="宋体;汉仪书宋二KW" w:hAnsi="宋体;汉仪书宋二KW"/>
          <w:spacing w:val="0"/>
          <w:kern w:val="2"/>
          <w:sz w:val="21"/>
          <w:szCs w:val="21"/>
          <w:lang w:val="en-US" w:eastAsia="zh-CN" w:bidi="ar-SA"/>
        </w:rPr>
        <w:t>41.89%</w:t>
      </w:r>
      <w:r>
        <w:rPr>
          <w:rFonts w:ascii="宋体;汉仪书宋二KW" w:hAnsi="宋体;汉仪书宋二KW" w:cs="Times New Roman" w:eastAsia="宋体;汉仪书宋二KW"/>
          <w:spacing w:val="0"/>
          <w:kern w:val="2"/>
          <w:sz w:val="21"/>
          <w:szCs w:val="21"/>
          <w:lang w:val="en-US" w:eastAsia="zh-CN" w:bidi="ar-SA"/>
        </w:rPr>
        <w:t>、</w:t>
      </w:r>
      <w:r>
        <w:rPr>
          <w:rFonts w:eastAsia="宋体;汉仪书宋二KW" w:cs="Times New Roman" w:ascii="宋体;汉仪书宋二KW" w:hAnsi="宋体;汉仪书宋二KW"/>
          <w:spacing w:val="0"/>
          <w:kern w:val="2"/>
          <w:sz w:val="21"/>
          <w:szCs w:val="21"/>
          <w:lang w:val="en-US" w:eastAsia="zh-CN" w:bidi="ar-SA"/>
        </w:rPr>
        <w:t>42.04%</w:t>
      </w:r>
      <w:r>
        <w:rPr>
          <w:rFonts w:ascii="宋体;汉仪书宋二KW" w:hAnsi="宋体;汉仪书宋二KW" w:cs="Times New Roman" w:eastAsia="宋体;汉仪书宋二KW"/>
          <w:spacing w:val="0"/>
          <w:kern w:val="2"/>
          <w:sz w:val="21"/>
          <w:szCs w:val="21"/>
          <w:lang w:val="en-US" w:eastAsia="zh-CN" w:bidi="ar-SA"/>
        </w:rPr>
        <w:t>和</w:t>
      </w:r>
      <w:r>
        <w:rPr>
          <w:rFonts w:eastAsia="宋体;汉仪书宋二KW" w:cs="Times New Roman" w:ascii="宋体;汉仪书宋二KW" w:hAnsi="宋体;汉仪书宋二KW"/>
          <w:spacing w:val="0"/>
          <w:kern w:val="2"/>
          <w:sz w:val="21"/>
          <w:szCs w:val="21"/>
          <w:lang w:val="en-US" w:eastAsia="zh-CN" w:bidi="ar-SA"/>
        </w:rPr>
        <w:t>45.65%</w:t>
      </w:r>
      <w:r>
        <w:rPr>
          <w:rFonts w:ascii="宋体;汉仪书宋二KW" w:hAnsi="宋体;汉仪书宋二KW" w:cs="Times New Roman" w:eastAsia="宋体;汉仪书宋二KW"/>
          <w:spacing w:val="0"/>
          <w:kern w:val="2"/>
          <w:sz w:val="21"/>
          <w:szCs w:val="21"/>
          <w:lang w:val="en-US" w:eastAsia="zh-CN" w:bidi="ar-SA"/>
        </w:rPr>
        <w:t>。公司的非流动负债主要为长期借款、长期应付款及应付债券。</w:t>
      </w:r>
    </w:p>
    <w:p>
      <w:pPr>
        <w:pStyle w:val="Normal"/>
        <w:rPr>
          <w:rFonts w:ascii="宋体;汉仪书宋二KW" w:hAnsi="宋体;汉仪书宋二KW" w:eastAsia="宋体;汉仪书宋二KW" w:cs="Times New Roman"/>
          <w:spacing w:val="0"/>
          <w:kern w:val="2"/>
          <w:sz w:val="21"/>
          <w:szCs w:val="21"/>
          <w:lang w:val="en-US" w:eastAsia="zh-CN" w:bidi="ar-SA"/>
        </w:rPr>
      </w:pPr>
      <w:r>
        <w:rPr>
          <w:rFonts w:eastAsia="宋体;汉仪书宋二KW" w:cs="Times New Roman" w:ascii="宋体;汉仪书宋二KW" w:hAnsi="宋体;汉仪书宋二KW"/>
          <w:spacing w:val="0"/>
          <w:kern w:val="2"/>
          <w:sz w:val="21"/>
          <w:szCs w:val="21"/>
          <w:lang w:val="en-US" w:eastAsia="zh-CN" w:bidi="ar-SA"/>
        </w:rPr>
      </w:r>
    </w:p>
    <w:p>
      <w:pPr>
        <w:pStyle w:val="Normal"/>
        <w:numPr>
          <w:ilvl w:val="0"/>
          <w:numId w:val="0"/>
        </w:numPr>
        <w:snapToGrid w:val="false"/>
        <w:spacing w:lineRule="exact" w:line="480"/>
        <w:ind w:firstLine="420" w:right="0"/>
        <w:outlineLvl w:val="2"/>
        <w:rPr>
          <w:rFonts w:ascii="宋体;汉仪书宋二KW" w:hAnsi="宋体;汉仪书宋二KW" w:cs="宋体;汉仪书宋二KW"/>
          <w:color w:val="000000"/>
          <w:szCs w:val="21"/>
          <w:highlight w:val="none"/>
        </w:rPr>
      </w:pPr>
      <w:r>
        <w:rPr>
          <w:rFonts w:cs="宋体;汉仪书宋二KW" w:ascii="宋体;汉仪书宋二KW" w:hAnsi="宋体;汉仪书宋二KW"/>
          <w:color w:val="000000"/>
          <w:szCs w:val="21"/>
        </w:rPr>
        <w:t>1.</w:t>
      </w:r>
      <w:r>
        <w:rPr>
          <w:rFonts w:ascii="宋体;汉仪书宋二KW" w:hAnsi="宋体;汉仪书宋二KW" w:cs="宋体;汉仪书宋二KW"/>
          <w:color w:val="000000"/>
          <w:szCs w:val="21"/>
        </w:rPr>
        <w:t>重点科目（占比</w:t>
      </w:r>
      <w:r>
        <w:rPr>
          <w:rFonts w:ascii="宋体;汉仪书宋二KW" w:hAnsi="宋体;汉仪书宋二KW" w:cs="宋体;汉仪书宋二KW"/>
          <w:color w:val="000000"/>
          <w:szCs w:val="21"/>
        </w:rPr>
        <w:t>较高，影响较大的</w:t>
      </w:r>
      <w:r>
        <w:rPr>
          <w:rFonts w:ascii="宋体;汉仪书宋二KW" w:hAnsi="宋体;汉仪书宋二KW" w:cs="宋体;汉仪书宋二KW"/>
          <w:color w:val="000000"/>
          <w:szCs w:val="21"/>
        </w:rPr>
        <w:t>科目</w:t>
      </w:r>
      <w:r>
        <w:rPr>
          <w:rFonts w:ascii="宋体;汉仪书宋二KW" w:hAnsi="宋体;汉仪书宋二KW" w:cs="宋体;汉仪书宋二KW"/>
          <w:color w:val="000000"/>
          <w:szCs w:val="21"/>
        </w:rPr>
        <w:t>进行分析，</w:t>
      </w:r>
      <w:r>
        <w:rPr>
          <w:rFonts w:ascii="宋体;汉仪书宋二KW" w:hAnsi="宋体;汉仪书宋二KW" w:cs="宋体;汉仪书宋二KW"/>
          <w:color w:val="000000"/>
          <w:szCs w:val="21"/>
        </w:rPr>
        <w:t>如占比极低可不做分析）</w:t>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1</w:t>
      </w:r>
      <w:r>
        <w:rPr>
          <w:rFonts w:ascii="宋体;汉仪书宋二KW" w:hAnsi="宋体;汉仪书宋二KW" w:cs="宋体;汉仪书宋二KW"/>
          <w:color w:val="000000"/>
          <w:szCs w:val="21"/>
        </w:rPr>
        <w:t>）货币资金：重点分析被质押冻结的受限制货币资金占比；</w:t>
      </w:r>
    </w:p>
    <w:p>
      <w:pPr>
        <w:pStyle w:val="Normal"/>
        <w:snapToGrid w:val="false"/>
        <w:spacing w:lineRule="exact" w:line="480"/>
        <w:ind w:firstLine="420" w:right="0"/>
        <w:rPr>
          <w:rFonts w:ascii="宋体;汉仪书宋二KW" w:hAnsi="宋体;汉仪书宋二KW" w:cs="宋体;汉仪书宋二KW"/>
          <w:color w:val="000000"/>
          <w:szCs w:val="21"/>
        </w:rPr>
      </w:pP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2</w:t>
      </w:r>
      <w:r>
        <w:rPr>
          <w:rFonts w:ascii="宋体;汉仪书宋二KW" w:hAnsi="宋体;汉仪书宋二KW" w:cs="宋体;汉仪书宋二KW"/>
          <w:color w:val="000000"/>
          <w:szCs w:val="21"/>
        </w:rPr>
        <w:t>）应收账款：账龄分析、前五大付收款方及形成原因；</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r>
        <w:rPr>
          <w:rFonts w:ascii="宋体;汉仪书宋二KW" w:hAnsi="宋体;汉仪书宋二KW" w:cs="Times New Roman" w:eastAsia="宋体;汉仪书宋二KW"/>
          <w:spacing w:val="0"/>
          <w:kern w:val="2"/>
          <w:sz w:val="21"/>
          <w:szCs w:val="21"/>
          <w:lang w:val="en-US" w:eastAsia="zh-CN" w:bidi="ar-SA"/>
        </w:rPr>
        <w:t>从公司应收账款的账龄结构来看，公司</w:t>
      </w:r>
      <w:r>
        <w:rPr>
          <w:rFonts w:eastAsia="宋体;汉仪书宋二KW" w:cs="Times New Roman" w:ascii="宋体;汉仪书宋二KW" w:hAnsi="宋体;汉仪书宋二KW"/>
          <w:spacing w:val="0"/>
          <w:kern w:val="2"/>
          <w:sz w:val="21"/>
          <w:szCs w:val="21"/>
          <w:lang w:val="en-US" w:eastAsia="zh-CN" w:bidi="ar-SA"/>
        </w:rPr>
        <w:t>1</w:t>
      </w:r>
      <w:r>
        <w:rPr>
          <w:rFonts w:ascii="宋体;汉仪书宋二KW" w:hAnsi="宋体;汉仪书宋二KW" w:cs="Times New Roman" w:eastAsia="宋体;汉仪书宋二KW"/>
          <w:spacing w:val="0"/>
          <w:kern w:val="2"/>
          <w:sz w:val="21"/>
          <w:szCs w:val="21"/>
          <w:lang w:val="en-US" w:eastAsia="zh-CN" w:bidi="ar-SA"/>
        </w:rPr>
        <w:t>年以内（含</w:t>
      </w:r>
      <w:r>
        <w:rPr>
          <w:rFonts w:eastAsia="宋体;汉仪书宋二KW" w:cs="Times New Roman" w:ascii="宋体;汉仪书宋二KW" w:hAnsi="宋体;汉仪书宋二KW"/>
          <w:spacing w:val="0"/>
          <w:kern w:val="2"/>
          <w:sz w:val="21"/>
          <w:szCs w:val="21"/>
          <w:lang w:val="en-US" w:eastAsia="zh-CN" w:bidi="ar-SA"/>
        </w:rPr>
        <w:t>1</w:t>
      </w:r>
      <w:r>
        <w:rPr>
          <w:rFonts w:ascii="宋体;汉仪书宋二KW" w:hAnsi="宋体;汉仪书宋二KW" w:cs="Times New Roman" w:eastAsia="宋体;汉仪书宋二KW"/>
          <w:spacing w:val="0"/>
          <w:kern w:val="2"/>
          <w:sz w:val="21"/>
          <w:szCs w:val="21"/>
          <w:lang w:val="en-US" w:eastAsia="zh-CN" w:bidi="ar-SA"/>
        </w:rPr>
        <w:t>年）的应收账款占比最高，</w:t>
      </w:r>
      <w:r>
        <w:rPr>
          <w:rFonts w:eastAsia="宋体;汉仪书宋二KW" w:cs="Times New Roman" w:ascii="宋体;汉仪书宋二KW" w:hAnsi="宋体;汉仪书宋二KW"/>
          <w:spacing w:val="0"/>
          <w:kern w:val="2"/>
          <w:sz w:val="21"/>
          <w:szCs w:val="21"/>
          <w:lang w:val="en-US" w:eastAsia="zh-CN" w:bidi="ar-SA"/>
        </w:rPr>
        <w:t>2022-2024</w:t>
      </w:r>
      <w:r>
        <w:rPr>
          <w:rFonts w:ascii="宋体;汉仪书宋二KW" w:hAnsi="宋体;汉仪书宋二KW" w:cs="Times New Roman" w:eastAsia="宋体;汉仪书宋二KW"/>
          <w:spacing w:val="0"/>
          <w:kern w:val="2"/>
          <w:sz w:val="21"/>
          <w:szCs w:val="21"/>
          <w:lang w:val="en-US" w:eastAsia="zh-CN" w:bidi="ar-SA"/>
        </w:rPr>
        <w:t>年末，公司</w:t>
      </w:r>
      <w:r>
        <w:rPr>
          <w:rFonts w:eastAsia="宋体;汉仪书宋二KW" w:cs="Times New Roman" w:ascii="宋体;汉仪书宋二KW" w:hAnsi="宋体;汉仪书宋二KW"/>
          <w:spacing w:val="0"/>
          <w:kern w:val="2"/>
          <w:sz w:val="21"/>
          <w:szCs w:val="21"/>
          <w:lang w:val="en-US" w:eastAsia="zh-CN" w:bidi="ar-SA"/>
        </w:rPr>
        <w:t>1</w:t>
      </w:r>
      <w:r>
        <w:rPr>
          <w:rFonts w:ascii="宋体;汉仪书宋二KW" w:hAnsi="宋体;汉仪书宋二KW" w:cs="Times New Roman" w:eastAsia="宋体;汉仪书宋二KW"/>
          <w:spacing w:val="0"/>
          <w:kern w:val="2"/>
          <w:sz w:val="21"/>
          <w:szCs w:val="21"/>
          <w:lang w:val="en-US" w:eastAsia="zh-CN" w:bidi="ar-SA"/>
        </w:rPr>
        <w:t>年以内（含</w:t>
      </w:r>
      <w:r>
        <w:rPr>
          <w:rFonts w:eastAsia="宋体;汉仪书宋二KW" w:cs="Times New Roman" w:ascii="宋体;汉仪书宋二KW" w:hAnsi="宋体;汉仪书宋二KW"/>
          <w:spacing w:val="0"/>
          <w:kern w:val="2"/>
          <w:sz w:val="21"/>
          <w:szCs w:val="21"/>
          <w:lang w:val="en-US" w:eastAsia="zh-CN" w:bidi="ar-SA"/>
        </w:rPr>
        <w:t>1</w:t>
      </w:r>
      <w:r>
        <w:rPr>
          <w:rFonts w:ascii="宋体;汉仪书宋二KW" w:hAnsi="宋体;汉仪书宋二KW" w:cs="Times New Roman" w:eastAsia="宋体;汉仪书宋二KW"/>
          <w:spacing w:val="0"/>
          <w:kern w:val="2"/>
          <w:sz w:val="21"/>
          <w:szCs w:val="21"/>
          <w:lang w:val="en-US" w:eastAsia="zh-CN" w:bidi="ar-SA"/>
        </w:rPr>
        <w:t>年）的应收账款账面余额占应收账款账龄组合总额的比重分别为</w:t>
      </w:r>
      <w:r>
        <w:rPr>
          <w:rFonts w:eastAsia="宋体;汉仪书宋二KW" w:cs="Times New Roman" w:ascii="宋体;汉仪书宋二KW" w:hAnsi="宋体;汉仪书宋二KW"/>
          <w:spacing w:val="0"/>
          <w:kern w:val="2"/>
          <w:sz w:val="21"/>
          <w:szCs w:val="21"/>
          <w:lang w:val="en-US" w:eastAsia="zh-CN" w:bidi="ar-SA"/>
        </w:rPr>
        <w:t>71.41%</w:t>
      </w:r>
      <w:r>
        <w:rPr>
          <w:rFonts w:ascii="宋体;汉仪书宋二KW" w:hAnsi="宋体;汉仪书宋二KW" w:cs="Times New Roman" w:eastAsia="宋体;汉仪书宋二KW"/>
          <w:spacing w:val="0"/>
          <w:kern w:val="2"/>
          <w:sz w:val="21"/>
          <w:szCs w:val="21"/>
          <w:lang w:val="en-US" w:eastAsia="zh-CN" w:bidi="ar-SA"/>
        </w:rPr>
        <w:t>、</w:t>
      </w:r>
      <w:r>
        <w:rPr>
          <w:rFonts w:eastAsia="宋体;汉仪书宋二KW" w:cs="Times New Roman" w:ascii="宋体;汉仪书宋二KW" w:hAnsi="宋体;汉仪书宋二KW"/>
          <w:spacing w:val="0"/>
          <w:kern w:val="2"/>
          <w:sz w:val="21"/>
          <w:szCs w:val="21"/>
          <w:lang w:val="en-US" w:eastAsia="zh-CN" w:bidi="ar-SA"/>
        </w:rPr>
        <w:t>67.16%</w:t>
      </w:r>
      <w:r>
        <w:rPr>
          <w:rFonts w:ascii="宋体;汉仪书宋二KW" w:hAnsi="宋体;汉仪书宋二KW" w:cs="Times New Roman" w:eastAsia="宋体;汉仪书宋二KW"/>
          <w:spacing w:val="0"/>
          <w:kern w:val="2"/>
          <w:sz w:val="21"/>
          <w:szCs w:val="21"/>
          <w:lang w:val="en-US" w:eastAsia="zh-CN" w:bidi="ar-SA"/>
        </w:rPr>
        <w:t>和</w:t>
      </w:r>
      <w:r>
        <w:rPr>
          <w:rFonts w:eastAsia="宋体;汉仪书宋二KW" w:cs="Times New Roman" w:ascii="宋体;汉仪书宋二KW" w:hAnsi="宋体;汉仪书宋二KW"/>
          <w:spacing w:val="0"/>
          <w:kern w:val="2"/>
          <w:sz w:val="21"/>
          <w:szCs w:val="21"/>
          <w:lang w:val="en-US" w:eastAsia="zh-CN" w:bidi="ar-SA"/>
        </w:rPr>
        <w:t>66.98%</w:t>
      </w:r>
      <w:r>
        <w:rPr>
          <w:rFonts w:ascii="宋体;汉仪书宋二KW" w:hAnsi="宋体;汉仪书宋二KW" w:cs="Times New Roman" w:eastAsia="宋体;汉仪书宋二KW"/>
          <w:spacing w:val="0"/>
          <w:kern w:val="2"/>
          <w:sz w:val="21"/>
          <w:szCs w:val="21"/>
          <w:lang w:val="en-US" w:eastAsia="zh-CN" w:bidi="ar-SA"/>
        </w:rPr>
        <w:t>。公司</w:t>
      </w:r>
      <w:r>
        <w:rPr>
          <w:rFonts w:eastAsia="宋体;汉仪书宋二KW" w:cs="Times New Roman" w:ascii="宋体;汉仪书宋二KW" w:hAnsi="宋体;汉仪书宋二KW"/>
          <w:spacing w:val="0"/>
          <w:kern w:val="2"/>
          <w:sz w:val="21"/>
          <w:szCs w:val="21"/>
          <w:lang w:val="en-US" w:eastAsia="zh-CN" w:bidi="ar-SA"/>
        </w:rPr>
        <w:t>1</w:t>
      </w:r>
      <w:r>
        <w:rPr>
          <w:rFonts w:ascii="宋体;汉仪书宋二KW" w:hAnsi="宋体;汉仪书宋二KW" w:cs="Times New Roman" w:eastAsia="宋体;汉仪书宋二KW"/>
          <w:spacing w:val="0"/>
          <w:kern w:val="2"/>
          <w:sz w:val="21"/>
          <w:szCs w:val="21"/>
          <w:lang w:val="en-US" w:eastAsia="zh-CN" w:bidi="ar-SA"/>
        </w:rPr>
        <w:t>年以内（含</w:t>
      </w:r>
      <w:r>
        <w:rPr>
          <w:rFonts w:eastAsia="宋体;汉仪书宋二KW" w:cs="Times New Roman" w:ascii="宋体;汉仪书宋二KW" w:hAnsi="宋体;汉仪书宋二KW"/>
          <w:spacing w:val="0"/>
          <w:kern w:val="2"/>
          <w:sz w:val="21"/>
          <w:szCs w:val="21"/>
          <w:lang w:val="en-US" w:eastAsia="zh-CN" w:bidi="ar-SA"/>
        </w:rPr>
        <w:t>1</w:t>
      </w:r>
      <w:r>
        <w:rPr>
          <w:rFonts w:ascii="宋体;汉仪书宋二KW" w:hAnsi="宋体;汉仪书宋二KW" w:cs="Times New Roman" w:eastAsia="宋体;汉仪书宋二KW"/>
          <w:spacing w:val="0"/>
          <w:kern w:val="2"/>
          <w:sz w:val="21"/>
          <w:szCs w:val="21"/>
          <w:lang w:val="en-US" w:eastAsia="zh-CN" w:bidi="ar-SA"/>
        </w:rPr>
        <w:t>年）应收账款主要为应收水费和污水处理费，一年以上的应收账款主要为应收</w:t>
      </w:r>
      <w:r>
        <w:rPr>
          <w:rFonts w:eastAsia="宋体;汉仪书宋二KW" w:cs="Times New Roman" w:ascii="宋体;汉仪书宋二KW" w:hAnsi="宋体;汉仪书宋二KW"/>
          <w:spacing w:val="0"/>
          <w:kern w:val="2"/>
          <w:sz w:val="21"/>
          <w:szCs w:val="21"/>
          <w:lang w:val="en-US" w:eastAsia="zh-CN" w:bidi="ar-SA"/>
        </w:rPr>
        <w:t>BT</w:t>
      </w:r>
      <w:r>
        <w:rPr>
          <w:rFonts w:ascii="宋体;汉仪书宋二KW" w:hAnsi="宋体;汉仪书宋二KW" w:cs="Times New Roman" w:eastAsia="宋体;汉仪书宋二KW"/>
          <w:spacing w:val="0"/>
          <w:kern w:val="2"/>
          <w:sz w:val="21"/>
          <w:szCs w:val="21"/>
          <w:lang w:val="en-US" w:eastAsia="zh-CN" w:bidi="ar-SA"/>
        </w:rPr>
        <w:t>项目回购款。</w:t>
      </w:r>
    </w:p>
    <w:p>
      <w:pPr>
        <w:pStyle w:val="Normal"/>
        <w:autoSpaceDE w:val="false"/>
        <w:spacing w:lineRule="auto" w:line="360"/>
        <w:jc w:val="center"/>
        <w:rPr>
          <w:b/>
          <w:color w:val="000000"/>
          <w:kern w:val="0"/>
          <w:sz w:val="24"/>
          <w:szCs w:val="21"/>
        </w:rPr>
      </w:pPr>
      <w:r>
        <w:rPr>
          <w:b/>
          <w:color w:val="000000"/>
          <w:kern w:val="0"/>
          <w:sz w:val="24"/>
          <w:szCs w:val="21"/>
        </w:rPr>
        <w:t>2022-2024</w:t>
      </w:r>
      <w:r>
        <w:rPr>
          <w:b/>
          <w:color w:val="000000"/>
          <w:kern w:val="0"/>
          <w:sz w:val="24"/>
          <w:szCs w:val="21"/>
        </w:rPr>
        <w:t>年末应收账款分类明细</w:t>
      </w:r>
    </w:p>
    <w:p>
      <w:pPr>
        <w:pStyle w:val="Normal"/>
        <w:jc w:val="right"/>
        <w:rPr/>
      </w:pPr>
      <w:r>
        <w:rPr/>
        <w:t>单位：万元，</w:t>
      </w:r>
      <w:r>
        <w:rPr/>
        <w:t>%</w:t>
      </w:r>
    </w:p>
    <w:tbl>
      <w:tblPr>
        <w:tblW w:w="10487" w:type="dxa"/>
        <w:jc w:val="center"/>
        <w:tblInd w:w="0" w:type="dxa"/>
        <w:tblLayout w:type="fixed"/>
        <w:tblCellMar>
          <w:top w:w="15" w:type="dxa"/>
          <w:left w:w="15" w:type="dxa"/>
          <w:bottom w:w="15" w:type="dxa"/>
          <w:right w:w="15" w:type="dxa"/>
        </w:tblCellMar>
      </w:tblPr>
      <w:tblGrid>
        <w:gridCol w:w="2447"/>
        <w:gridCol w:w="1092"/>
        <w:gridCol w:w="709"/>
        <w:gridCol w:w="882"/>
        <w:gridCol w:w="1022"/>
        <w:gridCol w:w="731"/>
        <w:gridCol w:w="909"/>
        <w:gridCol w:w="1055"/>
        <w:gridCol w:w="680"/>
        <w:gridCol w:w="960"/>
      </w:tblGrid>
      <w:tr>
        <w:trPr>
          <w:tblHeader w:val="true"/>
          <w:trHeight w:val="454" w:hRule="atLeast"/>
        </w:trPr>
        <w:tc>
          <w:tcPr>
            <w:tcW w:w="244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账龄</w:t>
            </w:r>
          </w:p>
        </w:tc>
        <w:tc>
          <w:tcPr>
            <w:tcW w:w="268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2024</w:t>
            </w:r>
            <w:r>
              <w:rPr>
                <w:b/>
                <w:color w:val="000000"/>
                <w:kern w:val="0"/>
                <w:szCs w:val="21"/>
              </w:rPr>
              <w:t>年末</w:t>
            </w:r>
          </w:p>
        </w:tc>
        <w:tc>
          <w:tcPr>
            <w:tcW w:w="2662"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2023</w:t>
            </w:r>
            <w:r>
              <w:rPr>
                <w:b/>
                <w:color w:val="000000"/>
                <w:kern w:val="0"/>
                <w:szCs w:val="21"/>
              </w:rPr>
              <w:t>年末</w:t>
            </w:r>
          </w:p>
        </w:tc>
        <w:tc>
          <w:tcPr>
            <w:tcW w:w="2695"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2022</w:t>
            </w:r>
            <w:r>
              <w:rPr>
                <w:b/>
                <w:color w:val="000000"/>
                <w:kern w:val="0"/>
                <w:szCs w:val="21"/>
              </w:rPr>
              <w:t>年末</w:t>
            </w:r>
          </w:p>
        </w:tc>
      </w:tr>
      <w:tr>
        <w:trPr>
          <w:tblHeader w:val="true"/>
          <w:trHeight w:val="454" w:hRule="atLeast"/>
        </w:trPr>
        <w:tc>
          <w:tcPr>
            <w:tcW w:w="24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80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88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c>
          <w:tcPr>
            <w:tcW w:w="175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90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c>
          <w:tcPr>
            <w:tcW w:w="173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96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r>
      <w:tr>
        <w:trPr>
          <w:tblHeader w:val="true"/>
          <w:trHeight w:val="454" w:hRule="atLeast"/>
        </w:trPr>
        <w:tc>
          <w:tcPr>
            <w:tcW w:w="244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88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90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9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r>
      <w:tr>
        <w:trPr>
          <w:trHeight w:val="454"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szCs w:val="21"/>
              </w:rPr>
              <w:t>单项金额重大并单项计提坏账准备的应收账款</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10,986.96 </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Cs w:val="21"/>
              </w:rPr>
            </w:pPr>
            <w:r>
              <w:rPr>
                <w:szCs w:val="21"/>
              </w:rPr>
              <w:t>5.19</w:t>
            </w:r>
          </w:p>
        </w:tc>
        <w:tc>
          <w:tcPr>
            <w:tcW w:w="88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Cs w:val="21"/>
              </w:rPr>
            </w:pPr>
            <w:r>
              <w:rPr>
                <w:color w:val="000000"/>
                <w:kern w:val="0"/>
                <w:szCs w:val="21"/>
                <w:lang w:bidi="ar"/>
              </w:rPr>
              <w:t>10,986.96</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11,746.33</w:t>
            </w:r>
          </w:p>
        </w:tc>
        <w:tc>
          <w:tcPr>
            <w:tcW w:w="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5.96</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11,746.33</w:t>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 xml:space="preserve">3,636.28 </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2.26</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 xml:space="preserve">3,636.28 </w:t>
            </w:r>
          </w:p>
        </w:tc>
      </w:tr>
      <w:tr>
        <w:trPr>
          <w:trHeight w:val="454"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szCs w:val="21"/>
              </w:rPr>
              <w:t>按信用风险特征组合计提坏账准备的应收账款</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200,544.50 </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Cs w:val="21"/>
              </w:rPr>
            </w:pPr>
            <w:r>
              <w:rPr>
                <w:szCs w:val="21"/>
              </w:rPr>
              <w:t>94.81</w:t>
            </w:r>
          </w:p>
        </w:tc>
        <w:tc>
          <w:tcPr>
            <w:tcW w:w="88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rPr>
            </w:pPr>
            <w:r>
              <w:rPr>
                <w:color w:val="000000"/>
                <w:kern w:val="0"/>
                <w:szCs w:val="21"/>
                <w:lang w:bidi="ar"/>
              </w:rPr>
              <w:t xml:space="preserve">10,707.10 </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185,320.00</w:t>
            </w:r>
          </w:p>
        </w:tc>
        <w:tc>
          <w:tcPr>
            <w:tcW w:w="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94.04</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9,998.66</w:t>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 xml:space="preserve">157,288.64 </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rFonts w:eastAsia="Times New Roman"/>
                <w:szCs w:val="21"/>
              </w:rPr>
              <w:t xml:space="preserve"> </w:t>
            </w:r>
            <w:r>
              <w:rPr>
                <w:szCs w:val="21"/>
              </w:rPr>
              <w:t xml:space="preserve">97.74 </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 xml:space="preserve">7,742.37 </w:t>
            </w:r>
          </w:p>
        </w:tc>
      </w:tr>
      <w:tr>
        <w:trPr>
          <w:trHeight w:val="454"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widowControl/>
              <w:ind w:firstLine="420" w:right="0"/>
              <w:rPr>
                <w:color w:val="000000"/>
                <w:kern w:val="0"/>
                <w:szCs w:val="21"/>
              </w:rPr>
            </w:pPr>
            <w:r>
              <w:rPr>
                <w:color w:val="000000"/>
                <w:kern w:val="0"/>
                <w:szCs w:val="21"/>
              </w:rPr>
              <w:t>其中：账龄组合</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77,206.01 </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Cs w:val="21"/>
              </w:rPr>
            </w:pPr>
            <w:r>
              <w:rPr>
                <w:szCs w:val="21"/>
              </w:rPr>
              <w:t>36.50</w:t>
            </w:r>
          </w:p>
        </w:tc>
        <w:tc>
          <w:tcPr>
            <w:tcW w:w="88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Cs w:val="21"/>
              </w:rPr>
            </w:pPr>
            <w:r>
              <w:rPr>
                <w:color w:val="000000"/>
                <w:kern w:val="0"/>
                <w:szCs w:val="21"/>
                <w:lang w:bidi="ar"/>
              </w:rPr>
              <w:t>10,707.10</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t>60,585.10</w:t>
            </w:r>
          </w:p>
        </w:tc>
        <w:tc>
          <w:tcPr>
            <w:tcW w:w="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30.74</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9,998.66</w:t>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 xml:space="preserve">42,081.09 </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rFonts w:eastAsia="Times New Roman"/>
                <w:szCs w:val="21"/>
              </w:rPr>
              <w:t xml:space="preserve"> </w:t>
            </w:r>
            <w:r>
              <w:rPr>
                <w:szCs w:val="21"/>
              </w:rPr>
              <w:t xml:space="preserve">26.15 </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szCs w:val="21"/>
              </w:rPr>
              <w:t xml:space="preserve">7,742.37 </w:t>
            </w:r>
          </w:p>
        </w:tc>
      </w:tr>
      <w:tr>
        <w:trPr>
          <w:trHeight w:val="454" w:hRule="atLeast"/>
        </w:trPr>
        <w:tc>
          <w:tcPr>
            <w:tcW w:w="244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合计</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center"/>
              <w:rPr>
                <w:b/>
                <w:color w:val="000000"/>
              </w:rPr>
            </w:pPr>
            <w:r>
              <w:rPr>
                <w:rFonts w:eastAsia="Times New Roman"/>
                <w:b/>
                <w:bCs/>
                <w:color w:val="000000"/>
                <w:kern w:val="0"/>
                <w:szCs w:val="21"/>
                <w:lang w:bidi="ar"/>
              </w:rPr>
              <w:t xml:space="preserve"> </w:t>
            </w:r>
            <w:r>
              <w:rPr>
                <w:b/>
                <w:bCs/>
                <w:color w:val="000000"/>
                <w:kern w:val="0"/>
                <w:szCs w:val="21"/>
                <w:lang w:bidi="ar"/>
              </w:rPr>
              <w:t xml:space="preserve">211,531.46 </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szCs w:val="21"/>
              </w:rPr>
            </w:pPr>
            <w:r>
              <w:rPr>
                <w:b/>
                <w:bCs/>
                <w:szCs w:val="21"/>
              </w:rPr>
              <w:t>100.00</w:t>
            </w:r>
          </w:p>
        </w:tc>
        <w:tc>
          <w:tcPr>
            <w:tcW w:w="88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rPr>
            </w:pPr>
            <w:r>
              <w:rPr>
                <w:b/>
                <w:color w:val="000000"/>
                <w:kern w:val="0"/>
              </w:rPr>
              <w:t>21,</w:t>
            </w:r>
            <w:r>
              <w:rPr>
                <w:b/>
                <w:bCs/>
                <w:color w:val="000000"/>
                <w:kern w:val="0"/>
                <w:szCs w:val="21"/>
                <w:lang w:bidi="ar"/>
              </w:rPr>
              <w:t xml:space="preserve">694.06 </w:t>
            </w:r>
          </w:p>
        </w:tc>
        <w:tc>
          <w:tcPr>
            <w:tcW w:w="10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szCs w:val="21"/>
              </w:rPr>
              <w:t>197,066.33</w:t>
            </w:r>
          </w:p>
        </w:tc>
        <w:tc>
          <w:tcPr>
            <w:tcW w:w="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szCs w:val="21"/>
              </w:rPr>
              <w:t>100.00</w:t>
            </w:r>
          </w:p>
        </w:tc>
        <w:tc>
          <w:tcPr>
            <w:tcW w:w="9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szCs w:val="21"/>
              </w:rPr>
              <w:t>21,744.99</w:t>
            </w:r>
          </w:p>
        </w:tc>
        <w:tc>
          <w:tcPr>
            <w:tcW w:w="105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szCs w:val="21"/>
              </w:rPr>
              <w:t xml:space="preserve">160,924.92 </w:t>
            </w:r>
          </w:p>
        </w:tc>
        <w:tc>
          <w:tcPr>
            <w:tcW w:w="68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szCs w:val="21"/>
              </w:rPr>
              <w:t>100.00</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szCs w:val="21"/>
              </w:rPr>
              <w:t xml:space="preserve">11,378.65 </w:t>
            </w:r>
          </w:p>
        </w:tc>
      </w:tr>
    </w:tbl>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r>
        <w:rPr>
          <w:rFonts w:ascii="宋体;汉仪书宋二KW" w:hAnsi="宋体;汉仪书宋二KW" w:cs="Times New Roman" w:eastAsia="宋体;汉仪书宋二KW"/>
          <w:spacing w:val="0"/>
          <w:kern w:val="2"/>
          <w:sz w:val="21"/>
          <w:szCs w:val="21"/>
          <w:lang w:val="en-US" w:eastAsia="zh-CN" w:bidi="ar-SA"/>
        </w:rPr>
        <w:t>其中，按信用风险特征组合计提坏账准备的应收账款明细如下：</w:t>
      </w:r>
    </w:p>
    <w:p>
      <w:pPr>
        <w:pStyle w:val="Normal"/>
        <w:autoSpaceDE w:val="false"/>
        <w:spacing w:lineRule="auto" w:line="360"/>
        <w:jc w:val="center"/>
        <w:rPr>
          <w:b/>
          <w:color w:val="000000"/>
          <w:kern w:val="0"/>
          <w:sz w:val="24"/>
          <w:szCs w:val="21"/>
        </w:rPr>
      </w:pPr>
      <w:r>
        <w:rPr>
          <w:b/>
          <w:color w:val="000000"/>
          <w:kern w:val="0"/>
          <w:sz w:val="24"/>
          <w:szCs w:val="21"/>
        </w:rPr>
        <w:t>按信用风险特征组合计提坏账准备的应收账款明细</w:t>
      </w:r>
    </w:p>
    <w:p>
      <w:pPr>
        <w:pStyle w:val="Normal"/>
        <w:jc w:val="right"/>
        <w:rPr/>
      </w:pPr>
      <w:r>
        <w:rPr/>
        <w:t>单位：万元，</w:t>
      </w:r>
      <w:r>
        <w:rPr/>
        <w:t>%</w:t>
      </w:r>
    </w:p>
    <w:tbl>
      <w:tblPr>
        <w:tblW w:w="10915" w:type="dxa"/>
        <w:jc w:val="center"/>
        <w:tblInd w:w="0" w:type="dxa"/>
        <w:tblLayout w:type="fixed"/>
        <w:tblCellMar>
          <w:top w:w="0" w:type="dxa"/>
          <w:left w:w="108" w:type="dxa"/>
          <w:bottom w:w="0" w:type="dxa"/>
          <w:right w:w="108" w:type="dxa"/>
        </w:tblCellMar>
      </w:tblPr>
      <w:tblGrid>
        <w:gridCol w:w="1731"/>
        <w:gridCol w:w="1244"/>
        <w:gridCol w:w="853"/>
        <w:gridCol w:w="1163"/>
        <w:gridCol w:w="1124"/>
        <w:gridCol w:w="829"/>
        <w:gridCol w:w="995"/>
        <w:gridCol w:w="1144"/>
        <w:gridCol w:w="858"/>
        <w:gridCol w:w="974"/>
      </w:tblGrid>
      <w:tr>
        <w:trPr>
          <w:trHeight w:val="454" w:hRule="atLeast"/>
        </w:trPr>
        <w:tc>
          <w:tcPr>
            <w:tcW w:w="173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账龄</w:t>
            </w:r>
          </w:p>
        </w:tc>
        <w:tc>
          <w:tcPr>
            <w:tcW w:w="3260"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2024</w:t>
            </w:r>
            <w:r>
              <w:rPr>
                <w:b/>
                <w:color w:val="000000"/>
                <w:kern w:val="0"/>
                <w:szCs w:val="21"/>
              </w:rPr>
              <w:t>年末</w:t>
            </w:r>
          </w:p>
        </w:tc>
        <w:tc>
          <w:tcPr>
            <w:tcW w:w="294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2023</w:t>
            </w:r>
            <w:r>
              <w:rPr>
                <w:b/>
                <w:color w:val="000000"/>
                <w:kern w:val="0"/>
                <w:szCs w:val="21"/>
              </w:rPr>
              <w:t>年末</w:t>
            </w:r>
          </w:p>
        </w:tc>
        <w:tc>
          <w:tcPr>
            <w:tcW w:w="297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2022</w:t>
            </w:r>
            <w:r>
              <w:rPr>
                <w:b/>
                <w:color w:val="000000"/>
                <w:kern w:val="0"/>
                <w:szCs w:val="21"/>
              </w:rPr>
              <w:t>年末</w:t>
            </w:r>
          </w:p>
        </w:tc>
      </w:tr>
      <w:tr>
        <w:trPr>
          <w:trHeight w:val="454" w:hRule="atLeast"/>
        </w:trPr>
        <w:tc>
          <w:tcPr>
            <w:tcW w:w="173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209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116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c>
          <w:tcPr>
            <w:tcW w:w="195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9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c>
          <w:tcPr>
            <w:tcW w:w="200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97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r>
      <w:tr>
        <w:trPr>
          <w:trHeight w:val="454" w:hRule="atLeast"/>
        </w:trPr>
        <w:tc>
          <w:tcPr>
            <w:tcW w:w="173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116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9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9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1</w:t>
            </w:r>
            <w:r>
              <w:rPr>
                <w:color w:val="000000"/>
                <w:kern w:val="0"/>
                <w:szCs w:val="21"/>
              </w:rPr>
              <w:t>年以内</w:t>
            </w:r>
            <w:r>
              <w:rPr>
                <w:color w:val="000000"/>
                <w:kern w:val="0"/>
                <w:szCs w:val="21"/>
              </w:rPr>
              <w:t>(</w:t>
            </w:r>
            <w:r>
              <w:rPr>
                <w:color w:val="000000"/>
                <w:kern w:val="0"/>
                <w:szCs w:val="21"/>
              </w:rPr>
              <w:t>含</w:t>
            </w:r>
            <w:r>
              <w:rPr>
                <w:color w:val="000000"/>
                <w:kern w:val="0"/>
                <w:szCs w:val="21"/>
              </w:rPr>
              <w:t>1</w:t>
            </w:r>
            <w:r>
              <w:rPr>
                <w:color w:val="000000"/>
                <w:kern w:val="0"/>
                <w:szCs w:val="21"/>
              </w:rPr>
              <w:t>年</w:t>
            </w:r>
            <w:r>
              <w:rPr>
                <w:color w:val="000000"/>
                <w:kern w:val="0"/>
                <w:szCs w:val="21"/>
              </w:rPr>
              <w:t>)</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51,709</w:t>
            </w:r>
            <w:r>
              <w:rPr>
                <w:color w:val="000000"/>
                <w:kern w:val="0"/>
              </w:rPr>
              <w:t>.17</w:t>
            </w:r>
            <w:r>
              <w:rPr>
                <w:color w:val="000000"/>
                <w:kern w:val="0"/>
                <w:szCs w:val="21"/>
                <w:lang w:bidi="ar"/>
              </w:rPr>
              <w:t xml:space="preserve">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66.98</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2,512.70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40,691.17</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67.16</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1,946.58</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30,050.40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71.41</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1,502.52 </w:t>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1-2</w:t>
            </w:r>
            <w:r>
              <w:rPr>
                <w:color w:val="000000"/>
                <w:kern w:val="0"/>
                <w:szCs w:val="21"/>
              </w:rPr>
              <w:t>年</w:t>
            </w:r>
            <w:r>
              <w:rPr>
                <w:rFonts w:eastAsia="Times New Roman"/>
                <w:color w:val="000000"/>
                <w:kern w:val="0"/>
                <w:szCs w:val="21"/>
              </w:rPr>
              <w:t xml:space="preserve"> </w:t>
            </w:r>
            <w:r>
              <w:rPr>
                <w:color w:val="000000"/>
                <w:kern w:val="0"/>
                <w:szCs w:val="21"/>
              </w:rPr>
              <w:t>(</w:t>
            </w:r>
            <w:r>
              <w:rPr>
                <w:color w:val="000000"/>
                <w:kern w:val="0"/>
                <w:szCs w:val="21"/>
              </w:rPr>
              <w:t>含</w:t>
            </w:r>
            <w:r>
              <w:rPr>
                <w:color w:val="000000"/>
                <w:kern w:val="0"/>
                <w:szCs w:val="21"/>
              </w:rPr>
              <w:t>2</w:t>
            </w:r>
            <w:r>
              <w:rPr>
                <w:color w:val="000000"/>
                <w:kern w:val="0"/>
                <w:szCs w:val="21"/>
              </w:rPr>
              <w:t>年</w:t>
            </w:r>
            <w:r>
              <w:rPr>
                <w:color w:val="000000"/>
                <w:kern w:val="0"/>
                <w:szCs w:val="21"/>
              </w:rPr>
              <w:t>)</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11,939.00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15.46</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1,193.90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9,059.69</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14.95</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905.97</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rPr>
              <w:t>3,</w:t>
            </w:r>
            <w:r>
              <w:rPr>
                <w:color w:val="000000"/>
                <w:szCs w:val="21"/>
              </w:rPr>
              <w:t xml:space="preserve">933.03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9.35</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393.30 </w:t>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2-3</w:t>
            </w:r>
            <w:r>
              <w:rPr>
                <w:color w:val="000000"/>
                <w:kern w:val="0"/>
                <w:szCs w:val="21"/>
              </w:rPr>
              <w:t>年</w:t>
            </w:r>
            <w:r>
              <w:rPr>
                <w:rFonts w:eastAsia="Times New Roman"/>
                <w:color w:val="000000"/>
                <w:kern w:val="0"/>
                <w:szCs w:val="21"/>
              </w:rPr>
              <w:t xml:space="preserve"> </w:t>
            </w:r>
            <w:r>
              <w:rPr>
                <w:color w:val="000000"/>
                <w:kern w:val="0"/>
                <w:szCs w:val="21"/>
              </w:rPr>
              <w:t>(</w:t>
            </w:r>
            <w:r>
              <w:rPr>
                <w:color w:val="000000"/>
                <w:kern w:val="0"/>
                <w:szCs w:val="21"/>
              </w:rPr>
              <w:t>含</w:t>
            </w:r>
            <w:r>
              <w:rPr>
                <w:color w:val="000000"/>
                <w:kern w:val="0"/>
                <w:szCs w:val="21"/>
              </w:rPr>
              <w:t>3</w:t>
            </w:r>
            <w:r>
              <w:rPr>
                <w:color w:val="000000"/>
                <w:kern w:val="0"/>
                <w:szCs w:val="21"/>
              </w:rPr>
              <w:t>年</w:t>
            </w:r>
            <w:r>
              <w:rPr>
                <w:color w:val="000000"/>
                <w:kern w:val="0"/>
                <w:szCs w:val="21"/>
              </w:rPr>
              <w:t>)</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5,610.67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7.27</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1,122.13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2,654.80</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4.38</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531.09</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1,608.74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3.82</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321.75 </w:t>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3-4</w:t>
            </w:r>
            <w:r>
              <w:rPr>
                <w:color w:val="000000"/>
                <w:kern w:val="0"/>
                <w:szCs w:val="21"/>
              </w:rPr>
              <w:t>年（含</w:t>
            </w:r>
            <w:r>
              <w:rPr>
                <w:color w:val="000000"/>
                <w:kern w:val="0"/>
                <w:szCs w:val="21"/>
              </w:rPr>
              <w:t>4</w:t>
            </w:r>
            <w:r>
              <w:rPr>
                <w:color w:val="000000"/>
                <w:kern w:val="0"/>
                <w:szCs w:val="21"/>
              </w:rPr>
              <w:t>年）</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2,053.05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rPr>
              <w:t>2.</w:t>
            </w:r>
            <w:r>
              <w:rPr>
                <w:color w:val="000000"/>
                <w:kern w:val="0"/>
                <w:szCs w:val="21"/>
                <w:lang w:bidi="ar"/>
              </w:rPr>
              <w:t>66</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615.91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1,482.63</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2.45</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444.79</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1,121.42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2.66</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336.43 </w:t>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4-5</w:t>
            </w:r>
            <w:r>
              <w:rPr>
                <w:color w:val="000000"/>
                <w:kern w:val="0"/>
                <w:szCs w:val="21"/>
              </w:rPr>
              <w:t>年（含</w:t>
            </w:r>
            <w:r>
              <w:rPr>
                <w:color w:val="000000"/>
                <w:kern w:val="0"/>
                <w:szCs w:val="21"/>
              </w:rPr>
              <w:t>5</w:t>
            </w:r>
            <w:r>
              <w:rPr>
                <w:color w:val="000000"/>
                <w:kern w:val="0"/>
                <w:szCs w:val="21"/>
              </w:rPr>
              <w:t>年）</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rPr>
              <w:t>1,</w:t>
            </w:r>
            <w:r>
              <w:rPr>
                <w:color w:val="000000"/>
                <w:kern w:val="0"/>
                <w:szCs w:val="21"/>
                <w:lang w:bidi="ar"/>
              </w:rPr>
              <w:t xml:space="preserve">263.31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rPr>
              <w:t>1.</w:t>
            </w:r>
            <w:r>
              <w:rPr>
                <w:color w:val="000000"/>
                <w:kern w:val="0"/>
                <w:szCs w:val="21"/>
                <w:lang w:bidi="ar"/>
              </w:rPr>
              <w:t>64</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631.66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1,053.16</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1.74</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526.58</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358.25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rPr>
              <w:t>0.</w:t>
            </w:r>
            <w:r>
              <w:rPr>
                <w:color w:val="000000"/>
                <w:szCs w:val="21"/>
              </w:rPr>
              <w:t>85</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179.13 </w:t>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5</w:t>
            </w:r>
            <w:r>
              <w:rPr>
                <w:color w:val="000000"/>
                <w:kern w:val="0"/>
                <w:szCs w:val="21"/>
              </w:rPr>
              <w:t>年以上</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4,630.80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6.00</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4,630.80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5,643.65</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9.32</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5,643.65</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5,009.25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11.90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 xml:space="preserve">5,009.25 </w:t>
            </w:r>
          </w:p>
        </w:tc>
      </w:tr>
      <w:tr>
        <w:trPr>
          <w:trHeight w:val="454" w:hRule="atLeast"/>
        </w:trPr>
        <w:tc>
          <w:tcPr>
            <w:tcW w:w="173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合计</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rFonts w:eastAsia="Times New Roman"/>
                <w:b/>
                <w:bCs/>
                <w:color w:val="000000"/>
                <w:kern w:val="0"/>
                <w:szCs w:val="21"/>
                <w:lang w:bidi="ar"/>
              </w:rPr>
              <w:t xml:space="preserve"> </w:t>
            </w:r>
            <w:r>
              <w:rPr>
                <w:b/>
                <w:bCs/>
                <w:color w:val="000000"/>
                <w:kern w:val="0"/>
                <w:szCs w:val="21"/>
                <w:lang w:bidi="ar"/>
              </w:rPr>
              <w:t xml:space="preserve">77,206.01 </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color w:val="000000"/>
                <w:kern w:val="0"/>
              </w:rPr>
              <w:t>100.00</w:t>
            </w:r>
          </w:p>
        </w:tc>
        <w:tc>
          <w:tcPr>
            <w:tcW w:w="11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rFonts w:eastAsia="Times New Roman"/>
                <w:b/>
                <w:bCs/>
                <w:color w:val="000000"/>
                <w:kern w:val="0"/>
                <w:szCs w:val="21"/>
                <w:lang w:bidi="ar"/>
              </w:rPr>
              <w:t xml:space="preserve"> </w:t>
            </w:r>
            <w:r>
              <w:rPr>
                <w:b/>
                <w:bCs/>
                <w:color w:val="000000"/>
                <w:kern w:val="0"/>
                <w:szCs w:val="21"/>
                <w:lang w:bidi="ar"/>
              </w:rPr>
              <w:t xml:space="preserve">10,707.10 </w:t>
            </w:r>
          </w:p>
        </w:tc>
        <w:tc>
          <w:tcPr>
            <w:tcW w:w="11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color w:val="000000"/>
                <w:szCs w:val="21"/>
              </w:rPr>
              <w:t>60,585.10</w:t>
            </w:r>
          </w:p>
        </w:tc>
        <w:tc>
          <w:tcPr>
            <w:tcW w:w="82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color w:val="000000"/>
                <w:kern w:val="0"/>
                <w:szCs w:val="21"/>
              </w:rPr>
            </w:pPr>
            <w:r>
              <w:rPr>
                <w:b/>
                <w:bCs/>
                <w:color w:val="000000"/>
                <w:szCs w:val="21"/>
              </w:rPr>
              <w:t>100.00</w:t>
            </w:r>
          </w:p>
        </w:tc>
        <w:tc>
          <w:tcPr>
            <w:tcW w:w="9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color w:val="000000"/>
                <w:kern w:val="0"/>
                <w:szCs w:val="21"/>
              </w:rPr>
            </w:pPr>
            <w:r>
              <w:rPr>
                <w:b/>
                <w:color w:val="000000"/>
              </w:rPr>
              <w:t>9,998.66</w:t>
            </w:r>
          </w:p>
        </w:tc>
        <w:tc>
          <w:tcPr>
            <w:tcW w:w="11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color w:val="000000"/>
                <w:kern w:val="0"/>
                <w:szCs w:val="21"/>
              </w:rPr>
            </w:pPr>
            <w:r>
              <w:rPr>
                <w:b/>
                <w:bCs/>
                <w:color w:val="000000"/>
                <w:szCs w:val="21"/>
              </w:rPr>
              <w:t xml:space="preserve">42,081.09 </w:t>
            </w:r>
          </w:p>
        </w:tc>
        <w:tc>
          <w:tcPr>
            <w:tcW w:w="85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color w:val="000000"/>
                <w:kern w:val="0"/>
                <w:szCs w:val="21"/>
              </w:rPr>
            </w:pPr>
            <w:r>
              <w:rPr>
                <w:b/>
                <w:color w:val="000000"/>
              </w:rPr>
              <w:t>100.00</w:t>
            </w:r>
          </w:p>
        </w:tc>
        <w:tc>
          <w:tcPr>
            <w:tcW w:w="9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color w:val="000000"/>
                <w:kern w:val="0"/>
                <w:szCs w:val="21"/>
              </w:rPr>
            </w:pPr>
            <w:r>
              <w:rPr>
                <w:b/>
                <w:color w:val="000000"/>
              </w:rPr>
              <w:t xml:space="preserve">7,742.37 </w:t>
            </w:r>
          </w:p>
        </w:tc>
      </w:tr>
    </w:tbl>
    <w:p>
      <w:pPr>
        <w:pStyle w:val="Normal"/>
        <w:autoSpaceDE w:val="false"/>
        <w:spacing w:lineRule="auto" w:line="360" w:before="156" w:after="0"/>
        <w:jc w:val="center"/>
        <w:rPr>
          <w:b/>
          <w:color w:val="000000"/>
          <w:kern w:val="0"/>
          <w:sz w:val="24"/>
          <w:szCs w:val="21"/>
        </w:rPr>
      </w:pPr>
      <w:r>
        <w:rPr>
          <w:b/>
          <w:color w:val="000000"/>
          <w:kern w:val="0"/>
          <w:sz w:val="24"/>
          <w:szCs w:val="21"/>
        </w:rPr>
        <w:t>截至</w:t>
      </w:r>
      <w:r>
        <w:rPr>
          <w:b/>
          <w:color w:val="000000"/>
          <w:kern w:val="0"/>
          <w:sz w:val="24"/>
          <w:szCs w:val="21"/>
        </w:rPr>
        <w:t>2024</w:t>
      </w:r>
      <w:r>
        <w:rPr>
          <w:b/>
          <w:color w:val="000000"/>
          <w:kern w:val="0"/>
          <w:sz w:val="24"/>
          <w:szCs w:val="21"/>
        </w:rPr>
        <w:t>年末公司应收账款前五名明细情况</w:t>
      </w:r>
    </w:p>
    <w:p>
      <w:pPr>
        <w:pStyle w:val="Normal"/>
        <w:jc w:val="right"/>
        <w:rPr/>
      </w:pPr>
      <w:r>
        <w:rPr/>
        <w:t>单位：万元</w:t>
      </w:r>
    </w:p>
    <w:tbl>
      <w:tblPr>
        <w:tblW w:w="5000" w:type="pct"/>
        <w:jc w:val="center"/>
        <w:tblInd w:w="0" w:type="dxa"/>
        <w:tblLayout w:type="fixed"/>
        <w:tblCellMar>
          <w:top w:w="0" w:type="dxa"/>
          <w:left w:w="108" w:type="dxa"/>
          <w:bottom w:w="0" w:type="dxa"/>
          <w:right w:w="108" w:type="dxa"/>
        </w:tblCellMar>
      </w:tblPr>
      <w:tblGrid>
        <w:gridCol w:w="2813"/>
        <w:gridCol w:w="1322"/>
        <w:gridCol w:w="1390"/>
        <w:gridCol w:w="1390"/>
        <w:gridCol w:w="1391"/>
      </w:tblGrid>
      <w:tr>
        <w:trPr>
          <w:tblHeader w:val="true"/>
          <w:trHeight w:val="454"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债务人名称</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账面余额</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占应收账款合计的比例</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bCs/>
                <w:color w:val="000000"/>
                <w:kern w:val="0"/>
                <w:szCs w:val="21"/>
              </w:rPr>
              <w:t>账龄</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bCs/>
                <w:color w:val="000000"/>
                <w:kern w:val="0"/>
                <w:szCs w:val="21"/>
              </w:rPr>
              <w:t>款项性质</w:t>
            </w:r>
          </w:p>
        </w:tc>
      </w:tr>
      <w:tr>
        <w:trPr>
          <w:trHeight w:val="454"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rPr>
              <w:t>威海市水务集团有限公司</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26,833.80 </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12.69%</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1-4</w:t>
            </w:r>
            <w:r>
              <w:rPr>
                <w:color w:val="000000"/>
                <w:kern w:val="0"/>
                <w:szCs w:val="21"/>
                <w:lang w:bidi="ar"/>
              </w:rPr>
              <w:t>年</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污水处理费</w:t>
            </w:r>
          </w:p>
        </w:tc>
      </w:tr>
      <w:tr>
        <w:trPr>
          <w:trHeight w:val="90"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福州江阴港城经济区管理委员会</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12,746.04 </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6.03%</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0-2</w:t>
            </w:r>
            <w:r>
              <w:rPr>
                <w:color w:val="000000"/>
                <w:kern w:val="0"/>
                <w:szCs w:val="21"/>
                <w:lang w:bidi="ar"/>
              </w:rPr>
              <w:t>年</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污水处理费</w:t>
            </w:r>
          </w:p>
        </w:tc>
      </w:tr>
      <w:tr>
        <w:trPr>
          <w:trHeight w:val="454"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rPr>
              <w:t>寿光市住房和城乡建设局</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8,818.25 </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4.17%</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lang w:bidi="ar"/>
              </w:rPr>
            </w:pPr>
            <w:r>
              <w:rPr>
                <w:color w:val="000000"/>
                <w:kern w:val="0"/>
                <w:szCs w:val="21"/>
                <w:lang w:bidi="ar"/>
              </w:rPr>
              <w:t>0-4</w:t>
            </w:r>
            <w:r>
              <w:rPr>
                <w:color w:val="000000"/>
                <w:kern w:val="0"/>
                <w:szCs w:val="21"/>
                <w:lang w:bidi="ar"/>
              </w:rPr>
              <w:t>年</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污水处理费及泵站托管费</w:t>
            </w:r>
          </w:p>
        </w:tc>
      </w:tr>
      <w:tr>
        <w:trPr>
          <w:trHeight w:val="454"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rPr>
              <w:t>荣成市财政局</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color w:val="000000"/>
                <w:szCs w:val="21"/>
              </w:rPr>
            </w:pPr>
            <w:r>
              <w:rPr>
                <w:rFonts w:eastAsia="Times New Roman"/>
                <w:color w:val="000000"/>
                <w:kern w:val="0"/>
                <w:szCs w:val="21"/>
                <w:lang w:bidi="ar"/>
              </w:rPr>
              <w:t xml:space="preserve"> </w:t>
            </w:r>
            <w:r>
              <w:rPr>
                <w:color w:val="000000"/>
                <w:kern w:val="0"/>
                <w:szCs w:val="21"/>
                <w:lang w:bidi="ar"/>
              </w:rPr>
              <w:t xml:space="preserve">28,229.08 </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13.35%</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1-3</w:t>
            </w:r>
            <w:r>
              <w:rPr>
                <w:color w:val="000000"/>
                <w:kern w:val="0"/>
                <w:szCs w:val="21"/>
                <w:lang w:bidi="ar"/>
              </w:rPr>
              <w:t>年</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应收污水处理费等</w:t>
            </w:r>
          </w:p>
        </w:tc>
      </w:tr>
      <w:tr>
        <w:trPr>
          <w:trHeight w:val="454"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rPr>
              <w:t>丰台区水务局</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8,176.39 </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3.87%</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5</w:t>
            </w:r>
            <w:r>
              <w:rPr>
                <w:color w:val="000000"/>
                <w:kern w:val="0"/>
                <w:szCs w:val="21"/>
                <w:lang w:bidi="ar"/>
              </w:rPr>
              <w:t>年以上</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BT</w:t>
            </w:r>
            <w:r>
              <w:rPr>
                <w:color w:val="000000"/>
                <w:kern w:val="0"/>
                <w:szCs w:val="21"/>
                <w:lang w:bidi="ar"/>
              </w:rPr>
              <w:t>回购款</w:t>
            </w:r>
          </w:p>
        </w:tc>
      </w:tr>
      <w:tr>
        <w:trPr>
          <w:trHeight w:val="454" w:hRule="atLeast"/>
        </w:trPr>
        <w:tc>
          <w:tcPr>
            <w:tcW w:w="28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合计</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b/>
                <w:bCs/>
                <w:color w:val="000000"/>
                <w:szCs w:val="21"/>
              </w:rPr>
            </w:pPr>
            <w:r>
              <w:rPr>
                <w:rFonts w:eastAsia="Times New Roman"/>
                <w:b/>
                <w:bCs/>
                <w:color w:val="000000"/>
                <w:kern w:val="0"/>
                <w:szCs w:val="21"/>
                <w:lang w:bidi="ar"/>
              </w:rPr>
              <w:t xml:space="preserve"> </w:t>
            </w:r>
            <w:r>
              <w:rPr>
                <w:b/>
                <w:bCs/>
                <w:color w:val="000000"/>
                <w:kern w:val="0"/>
                <w:szCs w:val="21"/>
                <w:lang w:bidi="ar"/>
              </w:rPr>
              <w:t xml:space="preserve">84,803.56 </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lang w:bidi="ar"/>
              </w:rPr>
            </w:pPr>
            <w:r>
              <w:rPr>
                <w:b/>
                <w:bCs/>
                <w:color w:val="000000"/>
                <w:kern w:val="0"/>
                <w:szCs w:val="21"/>
                <w:lang w:bidi="ar"/>
              </w:rPr>
              <w:t>40.11%</w:t>
            </w:r>
          </w:p>
        </w:tc>
        <w:tc>
          <w:tcPr>
            <w:tcW w:w="139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szCs w:val="21"/>
                <w:lang w:bidi="ar"/>
              </w:rPr>
            </w:pPr>
            <w:r>
              <w:rPr>
                <w:b/>
                <w:bCs/>
                <w:color w:val="000000"/>
                <w:szCs w:val="21"/>
                <w:lang w:bidi="ar"/>
              </w:rPr>
              <w:t>-</w:t>
            </w:r>
          </w:p>
        </w:tc>
        <w:tc>
          <w:tcPr>
            <w:tcW w:w="13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szCs w:val="21"/>
              </w:rPr>
            </w:pPr>
            <w:r>
              <w:rPr>
                <w:b/>
                <w:bCs/>
                <w:color w:val="000000"/>
                <w:szCs w:val="21"/>
              </w:rPr>
              <w:t>-</w:t>
            </w:r>
          </w:p>
        </w:tc>
      </w:tr>
    </w:tbl>
    <w:p>
      <w:pPr>
        <w:pStyle w:val="Normal"/>
        <w:snapToGrid w:val="false"/>
        <w:spacing w:lineRule="exact" w:line="48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3</w:t>
      </w:r>
      <w:r>
        <w:rPr>
          <w:rFonts w:ascii="宋体;汉仪书宋二KW" w:hAnsi="宋体;汉仪书宋二KW" w:cs="宋体;汉仪书宋二KW"/>
          <w:color w:val="000000"/>
          <w:szCs w:val="21"/>
        </w:rPr>
        <w:t>）其他应收款：账龄、构成分析，其中重点分析关联方占比，变化情况，及形成原因；</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p>
    <w:p>
      <w:pPr>
        <w:pStyle w:val="Normal"/>
        <w:autoSpaceDE w:val="false"/>
        <w:spacing w:lineRule="auto" w:line="360"/>
        <w:jc w:val="center"/>
        <w:rPr>
          <w:b/>
          <w:color w:val="000000"/>
          <w:kern w:val="0"/>
          <w:sz w:val="24"/>
          <w:szCs w:val="21"/>
        </w:rPr>
      </w:pPr>
      <w:r>
        <w:rPr>
          <w:b/>
          <w:color w:val="000000"/>
          <w:kern w:val="0"/>
          <w:sz w:val="24"/>
          <w:szCs w:val="21"/>
        </w:rPr>
        <w:t>2022-2024</w:t>
      </w:r>
      <w:r>
        <w:rPr>
          <w:b/>
          <w:color w:val="000000"/>
          <w:kern w:val="0"/>
          <w:sz w:val="24"/>
          <w:szCs w:val="21"/>
        </w:rPr>
        <w:t>年末采用账龄分析法计提坏账准备的其他应收款情况</w:t>
      </w:r>
    </w:p>
    <w:p>
      <w:pPr>
        <w:pStyle w:val="Normal"/>
        <w:jc w:val="right"/>
        <w:rPr/>
      </w:pPr>
      <w:r>
        <w:rPr/>
        <w:t>单位：万元，</w:t>
      </w:r>
      <w:r>
        <w:rPr/>
        <w:t>%</w:t>
      </w:r>
    </w:p>
    <w:tbl>
      <w:tblPr>
        <w:tblW w:w="8336" w:type="dxa"/>
        <w:jc w:val="center"/>
        <w:tblInd w:w="0" w:type="dxa"/>
        <w:tblLayout w:type="fixed"/>
        <w:tblCellMar>
          <w:top w:w="15" w:type="dxa"/>
          <w:left w:w="15" w:type="dxa"/>
          <w:bottom w:w="15" w:type="dxa"/>
          <w:right w:w="15" w:type="dxa"/>
        </w:tblCellMar>
      </w:tblPr>
      <w:tblGrid>
        <w:gridCol w:w="1607"/>
        <w:gridCol w:w="870"/>
        <w:gridCol w:w="608"/>
        <w:gridCol w:w="765"/>
        <w:gridCol w:w="870"/>
        <w:gridCol w:w="608"/>
        <w:gridCol w:w="765"/>
        <w:gridCol w:w="870"/>
        <w:gridCol w:w="608"/>
        <w:gridCol w:w="765"/>
      </w:tblGrid>
      <w:tr>
        <w:trPr>
          <w:tblHeader w:val="true"/>
          <w:trHeight w:val="454" w:hRule="atLeast"/>
          <w:cantSplit w:val="true"/>
        </w:trPr>
        <w:tc>
          <w:tcPr>
            <w:tcW w:w="160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账龄</w:t>
            </w:r>
          </w:p>
        </w:tc>
        <w:tc>
          <w:tcPr>
            <w:tcW w:w="224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2024</w:t>
            </w:r>
            <w:r>
              <w:rPr>
                <w:b/>
                <w:color w:val="000000"/>
                <w:kern w:val="0"/>
                <w:szCs w:val="21"/>
              </w:rPr>
              <w:t>年末</w:t>
            </w:r>
          </w:p>
        </w:tc>
        <w:tc>
          <w:tcPr>
            <w:tcW w:w="224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2023</w:t>
            </w:r>
            <w:r>
              <w:rPr>
                <w:b/>
                <w:color w:val="000000"/>
                <w:kern w:val="0"/>
                <w:szCs w:val="21"/>
              </w:rPr>
              <w:t>年末</w:t>
            </w:r>
          </w:p>
        </w:tc>
        <w:tc>
          <w:tcPr>
            <w:tcW w:w="224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2022</w:t>
            </w:r>
            <w:r>
              <w:rPr>
                <w:b/>
                <w:color w:val="000000"/>
                <w:kern w:val="0"/>
                <w:szCs w:val="21"/>
              </w:rPr>
              <w:t>年末</w:t>
            </w:r>
          </w:p>
        </w:tc>
      </w:tr>
      <w:tr>
        <w:trPr>
          <w:tblHeader w:val="true"/>
          <w:trHeight w:val="454" w:hRule="atLeast"/>
          <w:cantSplit w:val="true"/>
        </w:trPr>
        <w:tc>
          <w:tcPr>
            <w:tcW w:w="160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47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坏账</w:t>
            </w:r>
          </w:p>
          <w:p>
            <w:pPr>
              <w:pStyle w:val="Normal"/>
              <w:widowControl/>
              <w:jc w:val="center"/>
              <w:textAlignment w:val="center"/>
              <w:rPr>
                <w:b/>
                <w:color w:val="000000"/>
                <w:szCs w:val="21"/>
              </w:rPr>
            </w:pPr>
            <w:r>
              <w:rPr>
                <w:b/>
                <w:color w:val="000000"/>
                <w:kern w:val="0"/>
                <w:szCs w:val="21"/>
              </w:rPr>
              <w:t>准备</w:t>
            </w:r>
          </w:p>
        </w:tc>
        <w:tc>
          <w:tcPr>
            <w:tcW w:w="147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坏账</w:t>
            </w:r>
          </w:p>
          <w:p>
            <w:pPr>
              <w:pStyle w:val="Normal"/>
              <w:widowControl/>
              <w:jc w:val="center"/>
              <w:textAlignment w:val="center"/>
              <w:rPr>
                <w:b/>
                <w:color w:val="000000"/>
                <w:szCs w:val="21"/>
              </w:rPr>
            </w:pPr>
            <w:r>
              <w:rPr>
                <w:b/>
                <w:color w:val="000000"/>
                <w:kern w:val="0"/>
                <w:szCs w:val="21"/>
              </w:rPr>
              <w:t>准备</w:t>
            </w:r>
          </w:p>
        </w:tc>
        <w:tc>
          <w:tcPr>
            <w:tcW w:w="147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坏账</w:t>
            </w:r>
          </w:p>
          <w:p>
            <w:pPr>
              <w:pStyle w:val="Normal"/>
              <w:widowControl/>
              <w:jc w:val="center"/>
              <w:textAlignment w:val="center"/>
              <w:rPr>
                <w:b/>
                <w:color w:val="000000"/>
                <w:szCs w:val="21"/>
              </w:rPr>
            </w:pPr>
            <w:r>
              <w:rPr>
                <w:b/>
                <w:color w:val="000000"/>
                <w:kern w:val="0"/>
                <w:szCs w:val="21"/>
              </w:rPr>
              <w:t>准备</w:t>
            </w:r>
          </w:p>
        </w:tc>
      </w:tr>
      <w:tr>
        <w:trPr>
          <w:trHeight w:val="454" w:hRule="atLeast"/>
        </w:trPr>
        <w:tc>
          <w:tcPr>
            <w:tcW w:w="160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7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7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7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1</w:t>
            </w:r>
            <w:r>
              <w:rPr>
                <w:color w:val="000000"/>
                <w:kern w:val="0"/>
                <w:szCs w:val="21"/>
              </w:rPr>
              <w:t>年以内（含</w:t>
            </w:r>
            <w:r>
              <w:rPr>
                <w:color w:val="000000"/>
                <w:kern w:val="0"/>
                <w:szCs w:val="21"/>
              </w:rPr>
              <w:t>1</w:t>
            </w:r>
            <w:r>
              <w:rPr>
                <w:color w:val="000000"/>
                <w:kern w:val="0"/>
                <w:szCs w:val="21"/>
              </w:rPr>
              <w:t>年）</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rPr>
              <w:t>6,</w:t>
            </w:r>
            <w:r>
              <w:rPr>
                <w:color w:val="000000"/>
                <w:kern w:val="0"/>
                <w:szCs w:val="21"/>
                <w:lang w:bidi="ar"/>
              </w:rPr>
              <w:t xml:space="preserve">231.39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42.06</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311.57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6,787.19</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35.81</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290.01</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8,298.82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74.00</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414.94 </w:t>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1-2</w:t>
            </w:r>
            <w:r>
              <w:rPr>
                <w:color w:val="000000"/>
                <w:kern w:val="0"/>
                <w:szCs w:val="21"/>
              </w:rPr>
              <w:t>年（含</w:t>
            </w:r>
            <w:r>
              <w:rPr>
                <w:color w:val="000000"/>
                <w:kern w:val="0"/>
                <w:szCs w:val="21"/>
              </w:rPr>
              <w:t>2</w:t>
            </w:r>
            <w:r>
              <w:rPr>
                <w:color w:val="000000"/>
                <w:kern w:val="0"/>
                <w:szCs w:val="21"/>
              </w:rPr>
              <w:t>年）</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1,168.29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7.89</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116.83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7,835.75</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41.34</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692.02</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228.09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2.03</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22.81 </w:t>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2-3</w:t>
            </w:r>
            <w:r>
              <w:rPr>
                <w:color w:val="000000"/>
                <w:kern w:val="0"/>
                <w:szCs w:val="21"/>
              </w:rPr>
              <w:t>年（含</w:t>
            </w:r>
            <w:r>
              <w:rPr>
                <w:color w:val="000000"/>
                <w:kern w:val="0"/>
                <w:szCs w:val="21"/>
              </w:rPr>
              <w:t>3</w:t>
            </w:r>
            <w:r>
              <w:rPr>
                <w:color w:val="000000"/>
                <w:kern w:val="0"/>
                <w:szCs w:val="21"/>
              </w:rPr>
              <w:t>年）</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2,884.39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19.47</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506.58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282.43</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1.49</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27.99</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368.41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3.28</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73.68 </w:t>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3-4</w:t>
            </w:r>
            <w:r>
              <w:rPr>
                <w:color w:val="000000"/>
                <w:kern w:val="0"/>
                <w:szCs w:val="21"/>
              </w:rPr>
              <w:t>年（含</w:t>
            </w:r>
            <w:r>
              <w:rPr>
                <w:color w:val="000000"/>
                <w:kern w:val="0"/>
                <w:szCs w:val="21"/>
              </w:rPr>
              <w:t>4</w:t>
            </w:r>
            <w:r>
              <w:rPr>
                <w:color w:val="000000"/>
                <w:kern w:val="0"/>
                <w:szCs w:val="21"/>
              </w:rPr>
              <w:t>年）</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204.45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1.38</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17.83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419.70</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2.21</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117.21</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587.29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5</w:t>
            </w:r>
            <w:r>
              <w:rPr>
                <w:color w:val="000000"/>
              </w:rPr>
              <w:t>.24</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176.</w:t>
            </w:r>
            <w:r>
              <w:rPr>
                <w:color w:val="000000"/>
              </w:rPr>
              <w:t>19</w:t>
            </w:r>
            <w:r>
              <w:rPr>
                <w:color w:val="000000"/>
                <w:szCs w:val="21"/>
              </w:rPr>
              <w:t xml:space="preserve"> </w:t>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4-5</w:t>
            </w:r>
            <w:r>
              <w:rPr>
                <w:color w:val="000000"/>
                <w:kern w:val="0"/>
                <w:szCs w:val="21"/>
              </w:rPr>
              <w:t>年（含</w:t>
            </w:r>
            <w:r>
              <w:rPr>
                <w:color w:val="000000"/>
                <w:kern w:val="0"/>
                <w:szCs w:val="21"/>
              </w:rPr>
              <w:t>5</w:t>
            </w:r>
            <w:r>
              <w:rPr>
                <w:color w:val="000000"/>
                <w:kern w:val="0"/>
                <w:szCs w:val="21"/>
              </w:rPr>
              <w:t>年）</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258.19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1.74</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129.10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676.88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3.57</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338.44</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11.59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0.10</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5.79 </w:t>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5</w:t>
            </w:r>
            <w:r>
              <w:rPr>
                <w:color w:val="000000"/>
                <w:kern w:val="0"/>
                <w:szCs w:val="21"/>
              </w:rPr>
              <w:t>年以上</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4,068.58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27.46</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 xml:space="preserve">2,761.78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2,953.25</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15.58</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1,646.45</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rPr>
              <w:t>1,</w:t>
            </w:r>
            <w:r>
              <w:rPr>
                <w:color w:val="000000"/>
                <w:szCs w:val="21"/>
              </w:rPr>
              <w:t xml:space="preserve">720.98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15.35</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rPr>
              <w:t>1,</w:t>
            </w:r>
            <w:r>
              <w:rPr>
                <w:color w:val="000000"/>
                <w:szCs w:val="21"/>
              </w:rPr>
              <w:t xml:space="preserve">720.98 </w:t>
            </w:r>
          </w:p>
        </w:tc>
      </w:tr>
      <w:tr>
        <w:trPr>
          <w:trHeight w:val="454" w:hRule="atLeast"/>
        </w:trPr>
        <w:tc>
          <w:tcPr>
            <w:tcW w:w="16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合计</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bCs/>
                <w:color w:val="000000"/>
                <w:kern w:val="0"/>
                <w:szCs w:val="21"/>
                <w:lang w:bidi="ar"/>
              </w:rPr>
              <w:t xml:space="preserve">14,815.29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color w:val="000000"/>
                <w:kern w:val="0"/>
              </w:rPr>
              <w:t>100.00</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color w:val="000000"/>
                <w:kern w:val="0"/>
              </w:rPr>
              <w:t>3,</w:t>
            </w:r>
            <w:r>
              <w:rPr>
                <w:b/>
                <w:bCs/>
                <w:color w:val="000000"/>
                <w:kern w:val="0"/>
                <w:szCs w:val="21"/>
                <w:lang w:bidi="ar"/>
              </w:rPr>
              <w:t xml:space="preserve">843.69 </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bCs/>
                <w:color w:val="000000"/>
                <w:szCs w:val="21"/>
              </w:rPr>
              <w:t>18,955.19</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bCs/>
                <w:color w:val="000000"/>
                <w:szCs w:val="21"/>
              </w:rPr>
              <w:t>100.00</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bCs/>
                <w:color w:val="000000"/>
                <w:szCs w:val="21"/>
              </w:rPr>
              <w:t>3,112.11</w:t>
            </w:r>
          </w:p>
        </w:tc>
        <w:tc>
          <w:tcPr>
            <w:tcW w:w="87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bCs/>
                <w:color w:val="000000"/>
                <w:szCs w:val="21"/>
              </w:rPr>
              <w:t xml:space="preserve">11,215.19 </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color w:val="000000"/>
              </w:rPr>
              <w:t>100.00</w:t>
            </w:r>
          </w:p>
        </w:tc>
        <w:tc>
          <w:tcPr>
            <w:tcW w:w="76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color w:val="000000"/>
              </w:rPr>
              <w:t>2,</w:t>
            </w:r>
            <w:r>
              <w:rPr>
                <w:b/>
                <w:bCs/>
                <w:color w:val="000000"/>
                <w:szCs w:val="21"/>
              </w:rPr>
              <w:t xml:space="preserve">414.40 </w:t>
            </w:r>
          </w:p>
        </w:tc>
      </w:tr>
    </w:tbl>
    <w:p>
      <w:pPr>
        <w:pStyle w:val="Normal"/>
        <w:autoSpaceDE w:val="false"/>
        <w:spacing w:lineRule="auto" w:line="360" w:before="156" w:after="0"/>
        <w:jc w:val="center"/>
        <w:rPr>
          <w:b/>
          <w:color w:val="000000"/>
          <w:kern w:val="0"/>
          <w:sz w:val="24"/>
          <w:szCs w:val="21"/>
        </w:rPr>
      </w:pPr>
      <w:r>
        <w:rPr>
          <w:b/>
          <w:color w:val="000000"/>
          <w:kern w:val="0"/>
          <w:sz w:val="24"/>
          <w:szCs w:val="21"/>
        </w:rPr>
        <w:t>截至</w:t>
      </w:r>
      <w:r>
        <w:rPr>
          <w:b/>
          <w:color w:val="000000"/>
          <w:kern w:val="0"/>
          <w:sz w:val="24"/>
          <w:szCs w:val="21"/>
        </w:rPr>
        <w:t>2024</w:t>
      </w:r>
      <w:r>
        <w:rPr>
          <w:b/>
          <w:color w:val="000000"/>
          <w:kern w:val="0"/>
          <w:sz w:val="24"/>
          <w:szCs w:val="21"/>
        </w:rPr>
        <w:t>年末公司其他应收款前五名明细情况</w:t>
      </w:r>
    </w:p>
    <w:p>
      <w:pPr>
        <w:pStyle w:val="Normal"/>
        <w:jc w:val="right"/>
        <w:rPr/>
      </w:pPr>
      <w:r>
        <w:rPr/>
        <w:t>单位：万元，</w:t>
      </w:r>
      <w:r>
        <w:rPr/>
        <w:t>%</w:t>
      </w:r>
    </w:p>
    <w:tbl>
      <w:tblPr>
        <w:tblW w:w="5100" w:type="pct"/>
        <w:jc w:val="center"/>
        <w:tblInd w:w="0" w:type="dxa"/>
        <w:tblLayout w:type="fixed"/>
        <w:tblCellMar>
          <w:top w:w="0" w:type="dxa"/>
          <w:left w:w="108" w:type="dxa"/>
          <w:bottom w:w="0" w:type="dxa"/>
          <w:right w:w="108" w:type="dxa"/>
        </w:tblCellMar>
      </w:tblPr>
      <w:tblGrid>
        <w:gridCol w:w="3234"/>
        <w:gridCol w:w="1269"/>
        <w:gridCol w:w="1264"/>
        <w:gridCol w:w="1108"/>
        <w:gridCol w:w="1597"/>
      </w:tblGrid>
      <w:tr>
        <w:trPr>
          <w:tblHeader w:val="true"/>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名称</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占其他应收款比例</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账龄</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欠款性质</w:t>
            </w:r>
          </w:p>
        </w:tc>
      </w:tr>
      <w:tr>
        <w:trPr>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rPr>
              <w:t>中电建商业保理有限公司</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17,719.25 </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17.69</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1-2</w:t>
            </w:r>
            <w:r>
              <w:rPr>
                <w:color w:val="000000"/>
                <w:kern w:val="0"/>
                <w:szCs w:val="21"/>
                <w:lang w:bidi="ar"/>
              </w:rPr>
              <w:t>年</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kern w:val="0"/>
                <w:highlight w:val="yellow"/>
              </w:rPr>
            </w:pPr>
            <w:r>
              <w:rPr>
                <w:color w:val="000000"/>
              </w:rPr>
              <w:t>保理款</w:t>
            </w:r>
          </w:p>
        </w:tc>
      </w:tr>
      <w:tr>
        <w:trPr>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上海联合产权交易所有限公司</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11,750.00 </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11.73</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w:t>
            </w:r>
            <w:r>
              <w:rPr>
                <w:color w:val="000000"/>
                <w:kern w:val="0"/>
                <w:szCs w:val="21"/>
                <w:lang w:bidi="ar"/>
              </w:rPr>
              <w:t>年内</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kern w:val="0"/>
                <w:highlight w:val="yellow"/>
              </w:rPr>
            </w:pPr>
            <w:r>
              <w:rPr>
                <w:color w:val="000000"/>
                <w:szCs w:val="21"/>
              </w:rPr>
              <w:t>押金及保证金</w:t>
            </w:r>
          </w:p>
        </w:tc>
      </w:tr>
      <w:tr>
        <w:trPr>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rPr>
              <w:t>青岛市城阳区财政局</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10,462.28 </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10.45</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1-2</w:t>
            </w:r>
            <w:r>
              <w:rPr>
                <w:color w:val="000000"/>
                <w:kern w:val="0"/>
                <w:szCs w:val="21"/>
                <w:lang w:bidi="ar"/>
              </w:rPr>
              <w:t>年</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kern w:val="0"/>
                <w:highlight w:val="yellow"/>
              </w:rPr>
            </w:pPr>
            <w:r>
              <w:rPr>
                <w:color w:val="000000"/>
              </w:rPr>
              <w:t>财政亏损补贴、税收返还</w:t>
            </w:r>
          </w:p>
        </w:tc>
      </w:tr>
      <w:tr>
        <w:trPr>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rPr>
              <w:t>山东水发控股集团有限公司</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10,200.00 </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10.18</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4-5</w:t>
            </w:r>
            <w:r>
              <w:rPr>
                <w:color w:val="000000"/>
                <w:kern w:val="0"/>
                <w:szCs w:val="21"/>
                <w:lang w:bidi="ar"/>
              </w:rPr>
              <w:t>年</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kern w:val="0"/>
                <w:highlight w:val="yellow"/>
              </w:rPr>
            </w:pPr>
            <w:r>
              <w:rPr>
                <w:color w:val="000000"/>
              </w:rPr>
              <w:t>往来款</w:t>
            </w:r>
          </w:p>
        </w:tc>
      </w:tr>
      <w:tr>
        <w:trPr>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丰台区水务局</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5,679.13 </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5.67</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1-5</w:t>
            </w:r>
            <w:r>
              <w:rPr>
                <w:color w:val="000000"/>
                <w:kern w:val="0"/>
                <w:szCs w:val="21"/>
                <w:lang w:bidi="ar"/>
              </w:rPr>
              <w:t>年</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kern w:val="0"/>
                <w:highlight w:val="yellow"/>
              </w:rPr>
            </w:pPr>
            <w:r>
              <w:rPr>
                <w:color w:val="000000"/>
              </w:rPr>
              <w:t>往来款</w:t>
            </w:r>
          </w:p>
        </w:tc>
      </w:tr>
      <w:tr>
        <w:trPr>
          <w:trHeight w:val="454" w:hRule="atLeast"/>
        </w:trPr>
        <w:tc>
          <w:tcPr>
            <w:tcW w:w="32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合计</w:t>
            </w:r>
          </w:p>
        </w:tc>
        <w:tc>
          <w:tcPr>
            <w:tcW w:w="12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rFonts w:eastAsia="Times New Roman"/>
                <w:b/>
                <w:color w:val="000000"/>
                <w:kern w:val="0"/>
                <w:szCs w:val="21"/>
                <w:lang w:bidi="ar"/>
              </w:rPr>
              <w:t xml:space="preserve"> </w:t>
            </w:r>
            <w:r>
              <w:rPr>
                <w:b/>
                <w:color w:val="000000"/>
                <w:kern w:val="0"/>
                <w:szCs w:val="21"/>
                <w:lang w:bidi="ar"/>
              </w:rPr>
              <w:t xml:space="preserve">55,810.65 </w:t>
            </w:r>
          </w:p>
        </w:tc>
        <w:tc>
          <w:tcPr>
            <w:tcW w:w="12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rPr>
            </w:pPr>
            <w:r>
              <w:rPr>
                <w:b/>
                <w:color w:val="000000"/>
                <w:kern w:val="0"/>
                <w:szCs w:val="21"/>
                <w:lang w:bidi="ar"/>
              </w:rPr>
              <w:t>55.72</w:t>
            </w:r>
          </w:p>
        </w:tc>
        <w:tc>
          <w:tcPr>
            <w:tcW w:w="11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w:t>
            </w:r>
          </w:p>
        </w:tc>
      </w:tr>
    </w:tbl>
    <w:p>
      <w:pPr>
        <w:pStyle w:val="Normal"/>
        <w:snapToGrid w:val="false"/>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4</w:t>
      </w:r>
      <w:r>
        <w:rPr>
          <w:rFonts w:ascii="宋体;汉仪书宋二KW" w:hAnsi="宋体;汉仪书宋二KW" w:cs="宋体;汉仪书宋二KW"/>
          <w:color w:val="000000"/>
          <w:szCs w:val="21"/>
        </w:rPr>
        <w:t>）存货：原材料、产成品、在产品占比，变化原因；</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spacing w:val="0"/>
          <w:kern w:val="2"/>
          <w:sz w:val="21"/>
          <w:szCs w:val="21"/>
          <w:lang w:val="en-US" w:eastAsia="zh-CN" w:bidi="ar-SA"/>
        </w:rPr>
      </w:pPr>
    </w:p>
    <w:p>
      <w:pPr>
        <w:pStyle w:val="Normal"/>
        <w:autoSpaceDE w:val="false"/>
        <w:spacing w:lineRule="auto" w:line="360"/>
        <w:jc w:val="center"/>
        <w:rPr>
          <w:rFonts w:ascii="Times New Roman" w:hAnsi="Times New Roman" w:eastAsia="宋体;汉仪书宋二KW" w:cs="Times New Roman"/>
          <w:b/>
          <w:color w:val="000000"/>
          <w:kern w:val="0"/>
          <w:sz w:val="24"/>
          <w:szCs w:val="21"/>
        </w:rPr>
      </w:pPr>
      <w:r>
        <w:rPr>
          <w:rFonts w:eastAsia="宋体;汉仪书宋二KW" w:cs="Times New Roman"/>
          <w:b/>
          <w:color w:val="000000"/>
          <w:kern w:val="0"/>
          <w:sz w:val="24"/>
          <w:szCs w:val="21"/>
        </w:rPr>
        <w:t>2022-2024</w:t>
      </w:r>
      <w:r>
        <w:rPr>
          <w:rFonts w:ascii="Times New Roman" w:hAnsi="Times New Roman" w:cs="Times New Roman" w:eastAsia="宋体;汉仪书宋二KW"/>
          <w:b/>
          <w:color w:val="000000"/>
          <w:kern w:val="0"/>
          <w:sz w:val="24"/>
          <w:szCs w:val="21"/>
        </w:rPr>
        <w:t>年末公司存货账面价值明细</w:t>
      </w:r>
    </w:p>
    <w:p>
      <w:pPr>
        <w:pStyle w:val="Normal"/>
        <w:jc w:val="right"/>
        <w:rPr>
          <w:rFonts w:ascii="Times New Roman" w:hAnsi="Times New Roman" w:eastAsia="宋体;汉仪书宋二KW" w:cs="Times New Roman"/>
          <w:szCs w:val="24"/>
        </w:rPr>
      </w:pPr>
      <w:r>
        <w:rPr>
          <w:rFonts w:ascii="Times New Roman" w:hAnsi="Times New Roman" w:cs="Times New Roman" w:eastAsia="宋体;汉仪书宋二KW"/>
          <w:szCs w:val="24"/>
        </w:rPr>
        <w:t>单位：万元，</w:t>
      </w:r>
      <w:r>
        <w:rPr>
          <w:rFonts w:eastAsia="宋体;汉仪书宋二KW" w:cs="Times New Roman"/>
          <w:szCs w:val="24"/>
        </w:rPr>
        <w:t>%</w:t>
      </w:r>
    </w:p>
    <w:tbl>
      <w:tblPr>
        <w:tblW w:w="8931" w:type="dxa"/>
        <w:jc w:val="center"/>
        <w:tblInd w:w="0" w:type="dxa"/>
        <w:tblLayout w:type="fixed"/>
        <w:tblCellMar>
          <w:top w:w="0" w:type="dxa"/>
          <w:left w:w="108" w:type="dxa"/>
          <w:bottom w:w="0" w:type="dxa"/>
          <w:right w:w="108" w:type="dxa"/>
        </w:tblCellMar>
      </w:tblPr>
      <w:tblGrid>
        <w:gridCol w:w="2536"/>
        <w:gridCol w:w="1292"/>
        <w:gridCol w:w="851"/>
        <w:gridCol w:w="1281"/>
        <w:gridCol w:w="845"/>
        <w:gridCol w:w="1275"/>
        <w:gridCol w:w="851"/>
      </w:tblGrid>
      <w:tr>
        <w:trPr>
          <w:tblHeader w:val="true"/>
          <w:trHeight w:val="454" w:hRule="atLeast"/>
        </w:trPr>
        <w:tc>
          <w:tcPr>
            <w:tcW w:w="253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ascii="Times New Roman" w:hAnsi="Times New Roman" w:cs="Times New Roman" w:eastAsia="宋体;汉仪书宋二KW"/>
                <w:b/>
                <w:color w:val="000000"/>
                <w:kern w:val="0"/>
                <w:szCs w:val="21"/>
              </w:rPr>
              <w:t>项目</w:t>
            </w:r>
          </w:p>
        </w:tc>
        <w:tc>
          <w:tcPr>
            <w:tcW w:w="214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eastAsia="宋体;汉仪书宋二KW" w:cs="Times New Roman"/>
                <w:b/>
                <w:color w:val="000000"/>
                <w:kern w:val="0"/>
                <w:sz w:val="20"/>
                <w:szCs w:val="20"/>
              </w:rPr>
              <w:t>2024</w:t>
            </w:r>
            <w:r>
              <w:rPr>
                <w:rFonts w:ascii="Times New Roman" w:hAnsi="Times New Roman" w:cs="Times New Roman" w:eastAsia="宋体;汉仪书宋二KW"/>
                <w:b/>
                <w:color w:val="000000"/>
                <w:kern w:val="0"/>
                <w:sz w:val="20"/>
                <w:szCs w:val="20"/>
              </w:rPr>
              <w:t>年末</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eastAsia="宋体;汉仪书宋二KW" w:cs="Times New Roman"/>
                <w:b/>
                <w:color w:val="000000"/>
                <w:kern w:val="0"/>
                <w:sz w:val="20"/>
                <w:szCs w:val="20"/>
              </w:rPr>
              <w:t>2023</w:t>
            </w:r>
            <w:r>
              <w:rPr>
                <w:rFonts w:ascii="Times New Roman" w:hAnsi="Times New Roman" w:cs="Times New Roman" w:eastAsia="宋体;汉仪书宋二KW"/>
                <w:b/>
                <w:color w:val="000000"/>
                <w:kern w:val="0"/>
                <w:sz w:val="20"/>
                <w:szCs w:val="20"/>
              </w:rPr>
              <w:t>年末</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eastAsia="宋体;汉仪书宋二KW" w:cs="Times New Roman"/>
                <w:b/>
                <w:color w:val="000000"/>
                <w:kern w:val="0"/>
                <w:sz w:val="20"/>
                <w:szCs w:val="20"/>
              </w:rPr>
              <w:t>2022</w:t>
            </w:r>
            <w:r>
              <w:rPr>
                <w:rFonts w:ascii="Times New Roman" w:hAnsi="Times New Roman" w:cs="Times New Roman" w:eastAsia="宋体;汉仪书宋二KW"/>
                <w:b/>
                <w:color w:val="000000"/>
                <w:kern w:val="0"/>
                <w:sz w:val="20"/>
                <w:szCs w:val="20"/>
              </w:rPr>
              <w:t>年末</w:t>
            </w:r>
          </w:p>
        </w:tc>
      </w:tr>
      <w:tr>
        <w:trPr>
          <w:tblHeader w:val="true"/>
          <w:trHeight w:val="454" w:hRule="atLeast"/>
        </w:trPr>
        <w:tc>
          <w:tcPr>
            <w:tcW w:w="253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rFonts w:ascii="Times New Roman" w:hAnsi="Times New Roman" w:eastAsia="宋体;汉仪书宋二KW" w:cs="Times New Roman"/>
                <w:b/>
                <w:color w:val="000000"/>
                <w:szCs w:val="21"/>
              </w:rPr>
            </w:pPr>
            <w:r>
              <w:rPr>
                <w:rFonts w:eastAsia="宋体;汉仪书宋二KW" w:cs="Times New Roman"/>
                <w:b/>
                <w:color w:val="000000"/>
                <w:szCs w:val="21"/>
              </w:rPr>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ascii="Times New Roman" w:hAnsi="Times New Roman" w:cs="Times New Roman" w:eastAsia="宋体;汉仪书宋二KW"/>
                <w:b/>
                <w:color w:val="000000"/>
                <w:kern w:val="0"/>
                <w:szCs w:val="21"/>
              </w:rPr>
              <w:t>账面价值</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rFonts w:ascii="Times New Roman" w:hAnsi="Times New Roman" w:eastAsia="宋体;汉仪书宋二KW" w:cs="Times New Roman"/>
                <w:b/>
                <w:color w:val="000000"/>
                <w:sz w:val="22"/>
                <w:szCs w:val="22"/>
              </w:rPr>
            </w:pPr>
            <w:r>
              <w:rPr>
                <w:rFonts w:ascii="Times New Roman" w:hAnsi="Times New Roman" w:cs="Times New Roman" w:eastAsia="宋体;汉仪书宋二KW"/>
                <w:b/>
                <w:color w:val="000000"/>
                <w:kern w:val="0"/>
                <w:sz w:val="22"/>
                <w:szCs w:val="22"/>
              </w:rPr>
              <w:t>占比</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ascii="Times New Roman" w:hAnsi="Times New Roman" w:cs="Times New Roman" w:eastAsia="宋体;汉仪书宋二KW"/>
                <w:b/>
                <w:color w:val="000000"/>
                <w:kern w:val="0"/>
                <w:szCs w:val="21"/>
              </w:rPr>
              <w:t>账面价值</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rFonts w:ascii="Times New Roman" w:hAnsi="Times New Roman" w:eastAsia="宋体;汉仪书宋二KW" w:cs="Times New Roman"/>
                <w:b/>
                <w:color w:val="000000"/>
                <w:sz w:val="22"/>
                <w:szCs w:val="22"/>
              </w:rPr>
            </w:pPr>
            <w:r>
              <w:rPr>
                <w:rFonts w:ascii="Times New Roman" w:hAnsi="Times New Roman" w:cs="Times New Roman" w:eastAsia="宋体;汉仪书宋二KW"/>
                <w:b/>
                <w:color w:val="000000"/>
                <w:kern w:val="0"/>
                <w:sz w:val="22"/>
                <w:szCs w:val="22"/>
              </w:rPr>
              <w:t>占比</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ascii="Times New Roman" w:hAnsi="Times New Roman" w:cs="Times New Roman" w:eastAsia="宋体;汉仪书宋二KW"/>
                <w:b/>
                <w:color w:val="000000"/>
                <w:kern w:val="0"/>
                <w:szCs w:val="21"/>
              </w:rPr>
              <w:t>账面价值</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rFonts w:ascii="Times New Roman" w:hAnsi="Times New Roman" w:eastAsia="宋体;汉仪书宋二KW" w:cs="Times New Roman"/>
                <w:b/>
                <w:color w:val="000000"/>
                <w:sz w:val="22"/>
                <w:szCs w:val="22"/>
              </w:rPr>
            </w:pPr>
            <w:r>
              <w:rPr>
                <w:rFonts w:ascii="Times New Roman" w:hAnsi="Times New Roman" w:cs="Times New Roman" w:eastAsia="宋体;汉仪书宋二KW"/>
                <w:b/>
                <w:color w:val="000000"/>
                <w:kern w:val="0"/>
                <w:sz w:val="22"/>
                <w:szCs w:val="22"/>
              </w:rPr>
              <w:t>占比</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color w:val="000000"/>
                <w:szCs w:val="21"/>
              </w:rPr>
            </w:pPr>
            <w:r>
              <w:rPr>
                <w:rFonts w:ascii="Times New Roman" w:hAnsi="Times New Roman" w:cs="Times New Roman" w:eastAsia="宋体;汉仪书宋二KW"/>
                <w:color w:val="000000"/>
                <w:kern w:val="0"/>
                <w:szCs w:val="21"/>
              </w:rPr>
              <w:t>原材料</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15,061.94</w:t>
            </w:r>
            <w:r>
              <w:rPr>
                <w:rFonts w:eastAsia="宋体;汉仪书宋二KW" w:cs="Times New Roman"/>
                <w:color w:val="000000"/>
                <w:kern w:val="0"/>
                <w:szCs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4"/>
              </w:rPr>
              <w:t>11.</w:t>
            </w:r>
            <w:r>
              <w:rPr>
                <w:rFonts w:eastAsia="宋体;汉仪书宋二KW" w:cs="Times New Roman"/>
                <w:color w:val="000000"/>
                <w:kern w:val="0"/>
                <w:szCs w:val="21"/>
                <w:lang w:bidi="ar"/>
              </w:rPr>
              <w:t>48</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19,966.32 </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11.97</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25,823.03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15.48 </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color w:val="000000"/>
                <w:szCs w:val="21"/>
              </w:rPr>
            </w:pPr>
            <w:r>
              <w:rPr>
                <w:rFonts w:ascii="Times New Roman" w:hAnsi="Times New Roman" w:cs="Times New Roman" w:eastAsia="宋体;汉仪书宋二KW"/>
                <w:color w:val="000000"/>
                <w:kern w:val="0"/>
                <w:szCs w:val="21"/>
              </w:rPr>
              <w:t>自制半成品及在产品</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199.95</w:t>
            </w:r>
            <w:r>
              <w:rPr>
                <w:rFonts w:eastAsia="宋体;汉仪书宋二KW" w:cs="Times New Roman"/>
                <w:color w:val="000000"/>
                <w:kern w:val="0"/>
                <w:szCs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4"/>
              </w:rPr>
              <w:t>0.</w:t>
            </w:r>
            <w:r>
              <w:rPr>
                <w:rFonts w:eastAsia="宋体;汉仪书宋二KW" w:cs="Times New Roman"/>
                <w:color w:val="000000"/>
                <w:kern w:val="0"/>
                <w:szCs w:val="21"/>
                <w:lang w:bidi="ar"/>
              </w:rPr>
              <w:t>15</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rPr>
              <w:t xml:space="preserve">26.14 </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0.02</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rPr>
              <w:t xml:space="preserve">39.50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4"/>
              </w:rPr>
              <w:t>0.02</w:t>
            </w:r>
            <w:r>
              <w:rPr>
                <w:rFonts w:eastAsia="宋体;汉仪书宋二KW" w:cs="Times New Roman"/>
                <w:color w:val="000000"/>
                <w:szCs w:val="21"/>
              </w:rPr>
              <w:t xml:space="preserve"> </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color w:val="000000"/>
                <w:szCs w:val="21"/>
              </w:rPr>
            </w:pPr>
            <w:r>
              <w:rPr>
                <w:rFonts w:ascii="Times New Roman" w:hAnsi="Times New Roman" w:cs="Times New Roman" w:eastAsia="宋体;汉仪书宋二KW"/>
                <w:color w:val="000000"/>
                <w:kern w:val="0"/>
                <w:szCs w:val="21"/>
              </w:rPr>
              <w:t>库存商品（产成品）</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4,902.10</w:t>
            </w:r>
            <w:r>
              <w:rPr>
                <w:rFonts w:eastAsia="宋体;汉仪书宋二KW" w:cs="Times New Roman"/>
                <w:color w:val="000000"/>
                <w:kern w:val="0"/>
                <w:szCs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1"/>
                <w:lang w:bidi="ar"/>
              </w:rPr>
              <w:t>3.74</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3,926.81 </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2.35</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4"/>
              </w:rPr>
              <w:t>3,</w:t>
            </w:r>
            <w:r>
              <w:rPr>
                <w:rFonts w:eastAsia="宋体;汉仪书宋二KW" w:cs="Times New Roman"/>
                <w:color w:val="000000"/>
                <w:szCs w:val="21"/>
              </w:rPr>
              <w:t xml:space="preserve">167.80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1.90 </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color w:val="000000"/>
                <w:szCs w:val="21"/>
              </w:rPr>
            </w:pPr>
            <w:r>
              <w:rPr>
                <w:rFonts w:ascii="Times New Roman" w:hAnsi="Times New Roman" w:cs="Times New Roman" w:eastAsia="宋体;汉仪书宋二KW"/>
                <w:color w:val="000000"/>
                <w:kern w:val="0"/>
                <w:szCs w:val="21"/>
              </w:rPr>
              <w:t>周转材料（包装物、低值易耗品等）</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376.16</w:t>
            </w:r>
            <w:r>
              <w:rPr>
                <w:rFonts w:eastAsia="宋体;汉仪书宋二KW" w:cs="Times New Roman"/>
                <w:color w:val="000000"/>
                <w:kern w:val="0"/>
                <w:szCs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4"/>
              </w:rPr>
              <w:t>0.</w:t>
            </w:r>
            <w:r>
              <w:rPr>
                <w:rFonts w:eastAsia="宋体;汉仪书宋二KW" w:cs="Times New Roman"/>
                <w:color w:val="000000"/>
                <w:kern w:val="0"/>
                <w:szCs w:val="21"/>
                <w:lang w:bidi="ar"/>
              </w:rPr>
              <w:t>29</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602.91 </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0.36</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709.65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4"/>
              </w:rPr>
              <w:t>0.</w:t>
            </w:r>
            <w:r>
              <w:rPr>
                <w:rFonts w:eastAsia="宋体;汉仪书宋二KW" w:cs="Times New Roman"/>
                <w:color w:val="000000"/>
                <w:szCs w:val="21"/>
              </w:rPr>
              <w:t xml:space="preserve">43 </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color w:val="000000"/>
                <w:kern w:val="0"/>
                <w:szCs w:val="21"/>
              </w:rPr>
            </w:pPr>
            <w:r>
              <w:rPr>
                <w:rFonts w:ascii="Times New Roman" w:hAnsi="Times New Roman" w:cs="Times New Roman" w:eastAsia="宋体;汉仪书宋二KW"/>
                <w:color w:val="000000"/>
                <w:kern w:val="0"/>
                <w:szCs w:val="21"/>
              </w:rPr>
              <w:t>合同履约成本</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110,645.47</w:t>
            </w:r>
            <w:r>
              <w:rPr>
                <w:rFonts w:eastAsia="宋体;汉仪书宋二KW" w:cs="Times New Roman"/>
                <w:color w:val="000000"/>
                <w:kern w:val="0"/>
                <w:szCs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4"/>
              </w:rPr>
              <w:t>84.</w:t>
            </w:r>
            <w:r>
              <w:rPr>
                <w:rFonts w:eastAsia="宋体;汉仪书宋二KW" w:cs="Times New Roman"/>
                <w:color w:val="000000"/>
                <w:kern w:val="0"/>
                <w:szCs w:val="21"/>
                <w:lang w:bidi="ar"/>
              </w:rPr>
              <w:t>34</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szCs w:val="24"/>
              </w:rPr>
            </w:pPr>
            <w:r>
              <w:rPr>
                <w:rFonts w:eastAsia="宋体;汉仪书宋二KW" w:cs="Times New Roman"/>
                <w:color w:val="000000"/>
                <w:szCs w:val="21"/>
              </w:rPr>
              <w:t xml:space="preserve">141,173.22 </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szCs w:val="24"/>
              </w:rPr>
            </w:pPr>
            <w:r>
              <w:rPr>
                <w:rFonts w:eastAsia="宋体;汉仪书宋二KW" w:cs="Times New Roman"/>
                <w:color w:val="000000"/>
                <w:szCs w:val="21"/>
              </w:rPr>
              <w:t>84.60</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135,954.25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81.48 </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color w:val="000000"/>
                <w:szCs w:val="21"/>
              </w:rPr>
            </w:pPr>
            <w:r>
              <w:rPr>
                <w:rFonts w:ascii="Times New Roman" w:hAnsi="Times New Roman" w:cs="Times New Roman" w:eastAsia="宋体;汉仪书宋二KW"/>
                <w:color w:val="000000"/>
                <w:kern w:val="0"/>
                <w:szCs w:val="21"/>
              </w:rPr>
              <w:t>其他</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4.22</w:t>
            </w:r>
            <w:r>
              <w:rPr>
                <w:rFonts w:eastAsia="宋体;汉仪书宋二KW" w:cs="Times New Roman"/>
                <w:color w:val="000000"/>
                <w:kern w:val="0"/>
                <w:szCs w:val="2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4"/>
              </w:rPr>
              <w:t>0.</w:t>
            </w:r>
            <w:r>
              <w:rPr>
                <w:rFonts w:eastAsia="宋体;汉仪书宋二KW" w:cs="Times New Roman"/>
                <w:color w:val="000000"/>
                <w:kern w:val="0"/>
                <w:szCs w:val="21"/>
                <w:lang w:bidi="ar"/>
              </w:rPr>
              <w:t>00</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1,171.27 </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0.70</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1,171.27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 xml:space="preserve">0.70 </w:t>
            </w:r>
          </w:p>
        </w:tc>
      </w:tr>
      <w:tr>
        <w:trPr>
          <w:trHeight w:val="454" w:hRule="atLeast"/>
        </w:trPr>
        <w:tc>
          <w:tcPr>
            <w:tcW w:w="25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rFonts w:ascii="Times New Roman" w:hAnsi="Times New Roman" w:eastAsia="宋体;汉仪书宋二KW" w:cs="Times New Roman"/>
                <w:b/>
                <w:color w:val="000000"/>
                <w:szCs w:val="21"/>
              </w:rPr>
            </w:pPr>
            <w:r>
              <w:rPr>
                <w:rFonts w:ascii="Times New Roman" w:hAnsi="Times New Roman" w:cs="Times New Roman" w:eastAsia="宋体;汉仪书宋二KW"/>
                <w:b/>
                <w:color w:val="000000"/>
                <w:kern w:val="0"/>
                <w:szCs w:val="21"/>
              </w:rPr>
              <w:t>合计</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4"/>
              </w:rPr>
            </w:pPr>
            <w:r>
              <w:rPr>
                <w:rFonts w:ascii="Times New Roman" w:hAnsi="Times New Roman" w:cs="Times New Roman" w:eastAsia="Times New Roman"/>
                <w:b/>
                <w:bCs/>
                <w:color w:val="000000"/>
                <w:kern w:val="0"/>
                <w:szCs w:val="21"/>
                <w:lang w:bidi="ar"/>
              </w:rPr>
              <w:t xml:space="preserve"> </w:t>
            </w:r>
            <w:r>
              <w:rPr>
                <w:rFonts w:eastAsia="宋体;汉仪书宋二KW" w:cs="Times New Roman"/>
                <w:b/>
                <w:bCs/>
                <w:color w:val="000000"/>
                <w:kern w:val="0"/>
                <w:szCs w:val="21"/>
                <w:lang w:bidi="ar"/>
              </w:rPr>
              <w:t>131,189.85</w:t>
            </w:r>
            <w:r>
              <w:rPr>
                <w:rFonts w:eastAsia="宋体;汉仪书宋二KW" w:cs="Times New Roman"/>
                <w:color w:val="000000"/>
                <w:kern w:val="0"/>
                <w:szCs w:val="21"/>
                <w:lang w:bidi="ar"/>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b/>
                <w:bCs/>
                <w:color w:val="000000"/>
                <w:szCs w:val="21"/>
              </w:rPr>
            </w:pPr>
            <w:r>
              <w:rPr>
                <w:rFonts w:eastAsia="宋体;汉仪书宋二KW" w:cs="Times New Roman"/>
                <w:b/>
                <w:bCs/>
                <w:color w:val="000000"/>
                <w:szCs w:val="21"/>
              </w:rPr>
              <w:t>100.00</w:t>
            </w:r>
          </w:p>
        </w:tc>
        <w:tc>
          <w:tcPr>
            <w:tcW w:w="128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b/>
                <w:bCs/>
                <w:color w:val="000000"/>
                <w:szCs w:val="21"/>
              </w:rPr>
            </w:pPr>
            <w:r>
              <w:rPr>
                <w:rFonts w:eastAsia="宋体;汉仪书宋二KW" w:cs="Times New Roman"/>
                <w:b/>
                <w:bCs/>
                <w:color w:val="000000"/>
                <w:szCs w:val="21"/>
                <w:lang w:bidi="ar"/>
              </w:rPr>
              <w:t>166,866.67</w:t>
            </w:r>
          </w:p>
        </w:tc>
        <w:tc>
          <w:tcPr>
            <w:tcW w:w="8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b/>
                <w:color w:val="000000"/>
                <w:szCs w:val="21"/>
              </w:rPr>
            </w:pPr>
            <w:r>
              <w:rPr>
                <w:rFonts w:eastAsia="宋体;汉仪书宋二KW" w:cs="Times New Roman"/>
                <w:b/>
                <w:bCs/>
                <w:color w:val="000000"/>
                <w:szCs w:val="21"/>
              </w:rPr>
              <w:t>100.00</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b/>
                <w:color w:val="000000"/>
                <w:szCs w:val="21"/>
              </w:rPr>
            </w:pPr>
            <w:r>
              <w:rPr>
                <w:rFonts w:eastAsia="宋体;汉仪书宋二KW" w:cs="Times New Roman"/>
                <w:b/>
                <w:bCs/>
                <w:color w:val="000000"/>
                <w:szCs w:val="21"/>
              </w:rPr>
              <w:t xml:space="preserve">166,865.51 </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b/>
                <w:color w:val="000000"/>
                <w:szCs w:val="21"/>
              </w:rPr>
            </w:pPr>
            <w:r>
              <w:rPr>
                <w:rFonts w:eastAsia="宋体;汉仪书宋二KW" w:cs="Times New Roman"/>
                <w:b/>
                <w:bCs/>
                <w:color w:val="000000"/>
                <w:szCs w:val="21"/>
              </w:rPr>
              <w:t>100.00</w:t>
            </w:r>
          </w:p>
        </w:tc>
      </w:tr>
    </w:tbl>
    <w:p>
      <w:pPr>
        <w:pStyle w:val="Normal"/>
        <w:snapToGrid w:val="false"/>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5</w:t>
      </w:r>
      <w:r>
        <w:rPr>
          <w:rFonts w:ascii="宋体;汉仪书宋二KW" w:hAnsi="宋体;汉仪书宋二KW" w:cs="宋体;汉仪书宋二KW"/>
          <w:color w:val="000000"/>
          <w:szCs w:val="21"/>
        </w:rPr>
        <w:t>）应付账款</w:t>
      </w:r>
      <w:r>
        <w:rPr>
          <w:rFonts w:ascii="宋体;汉仪书宋二KW" w:hAnsi="宋体;汉仪书宋二KW" w:cs="宋体;汉仪书宋二KW"/>
          <w:color w:val="000000"/>
          <w:szCs w:val="21"/>
          <w:lang w:eastAsia="zh-CN"/>
        </w:rPr>
        <w:t>和应付票据</w:t>
      </w:r>
      <w:r>
        <w:rPr>
          <w:rFonts w:ascii="宋体;汉仪书宋二KW" w:hAnsi="宋体;汉仪书宋二KW" w:cs="宋体;汉仪书宋二KW"/>
          <w:color w:val="000000"/>
          <w:szCs w:val="21"/>
        </w:rPr>
        <w:t>：账龄、构成分析，前五大收款方及形成原因；</w:t>
      </w:r>
    </w:p>
    <w:p>
      <w:pPr>
        <w:pStyle w:val="Normal"/>
        <w:snapToGrid w:val="false"/>
        <w:spacing w:lineRule="exact" w:line="480"/>
        <w:ind w:firstLine="420" w:right="0"/>
        <w:rPr>
          <w:rFonts w:ascii="宋体;汉仪书宋二KW" w:hAnsi="宋体;汉仪书宋二KW" w:eastAsia="宋体;汉仪书宋二KW" w:cs="Times New Roman"/>
          <w:color w:val="000000"/>
          <w:szCs w:val="21"/>
          <w:lang w:eastAsia="zh-CN"/>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lang w:eastAsia="zh-CN"/>
        </w:rPr>
      </w:pPr>
      <w:r>
        <w:rPr>
          <w:rFonts w:eastAsia="宋体;汉仪书宋二KW" w:cs="Times New Roman" w:ascii="宋体;汉仪书宋二KW" w:hAnsi="宋体;汉仪书宋二KW"/>
          <w:color w:val="000000"/>
          <w:szCs w:val="21"/>
          <w:lang w:eastAsia="zh-CN"/>
        </w:rPr>
        <w:t>2023</w:t>
      </w:r>
      <w:r>
        <w:rPr>
          <w:rFonts w:ascii="宋体;汉仪书宋二KW" w:hAnsi="宋体;汉仪书宋二KW" w:cs="Times New Roman" w:eastAsia="宋体;汉仪书宋二KW"/>
          <w:color w:val="000000"/>
          <w:szCs w:val="21"/>
          <w:lang w:eastAsia="zh-CN"/>
        </w:rPr>
        <w:t>年末公司应付账款和应付票据余额相比</w:t>
      </w:r>
      <w:r>
        <w:rPr>
          <w:rFonts w:eastAsia="宋体;汉仪书宋二KW" w:cs="Times New Roman" w:ascii="宋体;汉仪书宋二KW" w:hAnsi="宋体;汉仪书宋二KW"/>
          <w:color w:val="000000"/>
          <w:szCs w:val="21"/>
          <w:lang w:eastAsia="zh-CN"/>
        </w:rPr>
        <w:t>2022</w:t>
      </w:r>
      <w:r>
        <w:rPr>
          <w:rFonts w:ascii="宋体;汉仪书宋二KW" w:hAnsi="宋体;汉仪书宋二KW" w:cs="Times New Roman" w:eastAsia="宋体;汉仪书宋二KW"/>
          <w:color w:val="000000"/>
          <w:szCs w:val="21"/>
          <w:lang w:eastAsia="zh-CN"/>
        </w:rPr>
        <w:t>年末增加</w:t>
      </w:r>
      <w:r>
        <w:rPr>
          <w:rFonts w:eastAsia="宋体;汉仪书宋二KW" w:cs="Times New Roman" w:ascii="宋体;汉仪书宋二KW" w:hAnsi="宋体;汉仪书宋二KW"/>
          <w:color w:val="000000"/>
          <w:szCs w:val="21"/>
          <w:lang w:eastAsia="zh-CN"/>
        </w:rPr>
        <w:t>71,904.14</w:t>
      </w:r>
      <w:r>
        <w:rPr>
          <w:rFonts w:ascii="宋体;汉仪书宋二KW" w:hAnsi="宋体;汉仪书宋二KW" w:cs="Times New Roman" w:eastAsia="宋体;汉仪书宋二KW"/>
          <w:color w:val="000000"/>
          <w:szCs w:val="21"/>
          <w:lang w:eastAsia="zh-CN"/>
        </w:rPr>
        <w:t>万元，增幅</w:t>
      </w:r>
      <w:r>
        <w:rPr>
          <w:rFonts w:eastAsia="宋体;汉仪书宋二KW" w:cs="Times New Roman" w:ascii="宋体;汉仪书宋二KW" w:hAnsi="宋体;汉仪书宋二KW"/>
          <w:color w:val="000000"/>
          <w:szCs w:val="21"/>
          <w:lang w:eastAsia="zh-CN"/>
        </w:rPr>
        <w:t>33.76%</w:t>
      </w:r>
      <w:r>
        <w:rPr>
          <w:rFonts w:ascii="宋体;汉仪书宋二KW" w:hAnsi="宋体;汉仪书宋二KW" w:cs="Times New Roman" w:eastAsia="宋体;汉仪书宋二KW"/>
          <w:color w:val="000000"/>
          <w:szCs w:val="21"/>
          <w:lang w:eastAsia="zh-CN"/>
        </w:rPr>
        <w:t>，主要系应付在建工程款、设备款等增加，以及经营性应付工程款、材料费等增加影响。</w:t>
      </w:r>
      <w:r>
        <w:rPr>
          <w:rFonts w:eastAsia="宋体;汉仪书宋二KW" w:cs="Times New Roman" w:ascii="宋体;汉仪书宋二KW" w:hAnsi="宋体;汉仪书宋二KW"/>
          <w:color w:val="000000"/>
          <w:szCs w:val="21"/>
          <w:lang w:eastAsia="zh-CN"/>
        </w:rPr>
        <w:t>2024</w:t>
      </w:r>
      <w:r>
        <w:rPr>
          <w:rFonts w:ascii="宋体;汉仪书宋二KW" w:hAnsi="宋体;汉仪书宋二KW" w:cs="Times New Roman" w:eastAsia="宋体;汉仪书宋二KW"/>
          <w:color w:val="000000"/>
          <w:szCs w:val="21"/>
          <w:lang w:eastAsia="zh-CN"/>
        </w:rPr>
        <w:t>年末公司应付账款和应付票据余额相比</w:t>
      </w:r>
      <w:r>
        <w:rPr>
          <w:rFonts w:eastAsia="宋体;汉仪书宋二KW" w:cs="Times New Roman" w:ascii="宋体;汉仪书宋二KW" w:hAnsi="宋体;汉仪书宋二KW"/>
          <w:color w:val="000000"/>
          <w:szCs w:val="21"/>
          <w:lang w:eastAsia="zh-CN"/>
        </w:rPr>
        <w:t>2023</w:t>
      </w:r>
      <w:r>
        <w:rPr>
          <w:rFonts w:ascii="宋体;汉仪书宋二KW" w:hAnsi="宋体;汉仪书宋二KW" w:cs="Times New Roman" w:eastAsia="宋体;汉仪书宋二KW"/>
          <w:color w:val="000000"/>
          <w:szCs w:val="21"/>
          <w:lang w:eastAsia="zh-CN"/>
        </w:rPr>
        <w:t>年末增加</w:t>
      </w:r>
      <w:r>
        <w:rPr>
          <w:rFonts w:eastAsia="宋体;汉仪书宋二KW" w:cs="Times New Roman" w:ascii="宋体;汉仪书宋二KW" w:hAnsi="宋体;汉仪书宋二KW"/>
          <w:color w:val="000000"/>
          <w:szCs w:val="21"/>
          <w:lang w:eastAsia="zh-CN"/>
        </w:rPr>
        <w:t>37,005.52</w:t>
      </w:r>
      <w:r>
        <w:rPr>
          <w:rFonts w:ascii="宋体;汉仪书宋二KW" w:hAnsi="宋体;汉仪书宋二KW" w:cs="Times New Roman" w:eastAsia="宋体;汉仪书宋二KW"/>
          <w:color w:val="000000"/>
          <w:szCs w:val="21"/>
          <w:lang w:eastAsia="zh-CN"/>
        </w:rPr>
        <w:t>万元，增幅</w:t>
      </w:r>
      <w:r>
        <w:rPr>
          <w:rFonts w:eastAsia="宋体;汉仪书宋二KW" w:cs="Times New Roman" w:ascii="宋体;汉仪书宋二KW" w:hAnsi="宋体;汉仪书宋二KW"/>
          <w:color w:val="000000"/>
          <w:szCs w:val="21"/>
          <w:lang w:eastAsia="zh-CN"/>
        </w:rPr>
        <w:t>12.99%</w:t>
      </w:r>
      <w:r>
        <w:rPr>
          <w:rFonts w:ascii="宋体;汉仪书宋二KW" w:hAnsi="宋体;汉仪书宋二KW" w:cs="Times New Roman" w:eastAsia="宋体;汉仪书宋二KW"/>
          <w:color w:val="000000"/>
          <w:szCs w:val="21"/>
          <w:lang w:eastAsia="zh-CN"/>
        </w:rPr>
        <w:t>，主要系随着申请人业务规模的扩张，应付账款规模增加所致。</w:t>
      </w:r>
      <w:r>
        <w:rPr>
          <w:rFonts w:eastAsia="宋体;汉仪书宋二KW" w:cs="Times New Roman" w:ascii="宋体;汉仪书宋二KW" w:hAnsi="宋体;汉仪书宋二KW"/>
          <w:color w:val="000000"/>
          <w:szCs w:val="21"/>
          <w:lang w:eastAsia="zh-CN"/>
        </w:rPr>
        <w:t>2025</w:t>
      </w:r>
      <w:r>
        <w:rPr>
          <w:rFonts w:ascii="宋体;汉仪书宋二KW" w:hAnsi="宋体;汉仪书宋二KW" w:cs="Times New Roman" w:eastAsia="宋体;汉仪书宋二KW"/>
          <w:color w:val="000000"/>
          <w:szCs w:val="21"/>
          <w:lang w:eastAsia="zh-CN"/>
        </w:rPr>
        <w:t>年</w:t>
      </w:r>
      <w:r>
        <w:rPr>
          <w:rFonts w:eastAsia="宋体;汉仪书宋二KW" w:cs="Times New Roman" w:ascii="宋体;汉仪书宋二KW" w:hAnsi="宋体;汉仪书宋二KW"/>
          <w:color w:val="000000"/>
          <w:szCs w:val="21"/>
          <w:lang w:eastAsia="zh-CN"/>
        </w:rPr>
        <w:t>3</w:t>
      </w:r>
      <w:r>
        <w:rPr>
          <w:rFonts w:ascii="宋体;汉仪书宋二KW" w:hAnsi="宋体;汉仪书宋二KW" w:cs="Times New Roman" w:eastAsia="宋体;汉仪书宋二KW"/>
          <w:color w:val="000000"/>
          <w:szCs w:val="21"/>
          <w:lang w:eastAsia="zh-CN"/>
        </w:rPr>
        <w:t>月末公司应付账款和应付票据余额相比</w:t>
      </w:r>
      <w:r>
        <w:rPr>
          <w:rFonts w:eastAsia="宋体;汉仪书宋二KW" w:cs="Times New Roman" w:ascii="宋体;汉仪书宋二KW" w:hAnsi="宋体;汉仪书宋二KW"/>
          <w:color w:val="000000"/>
          <w:szCs w:val="21"/>
          <w:lang w:eastAsia="zh-CN"/>
        </w:rPr>
        <w:t>2024</w:t>
      </w:r>
      <w:r>
        <w:rPr>
          <w:rFonts w:ascii="宋体;汉仪书宋二KW" w:hAnsi="宋体;汉仪书宋二KW" w:cs="Times New Roman" w:eastAsia="宋体;汉仪书宋二KW"/>
          <w:color w:val="000000"/>
          <w:szCs w:val="21"/>
          <w:lang w:eastAsia="zh-CN"/>
        </w:rPr>
        <w:t>年末减少</w:t>
      </w:r>
      <w:r>
        <w:rPr>
          <w:rFonts w:eastAsia="宋体;汉仪书宋二KW" w:cs="Times New Roman" w:ascii="宋体;汉仪书宋二KW" w:hAnsi="宋体;汉仪书宋二KW"/>
          <w:color w:val="000000"/>
          <w:szCs w:val="21"/>
          <w:lang w:eastAsia="zh-CN"/>
        </w:rPr>
        <w:t>46,723.59</w:t>
      </w:r>
      <w:r>
        <w:rPr>
          <w:rFonts w:ascii="宋体;汉仪书宋二KW" w:hAnsi="宋体;汉仪书宋二KW" w:cs="Times New Roman" w:eastAsia="宋体;汉仪书宋二KW"/>
          <w:color w:val="000000"/>
          <w:szCs w:val="21"/>
          <w:lang w:eastAsia="zh-CN"/>
        </w:rPr>
        <w:t>万元，降幅为</w:t>
      </w:r>
      <w:r>
        <w:rPr>
          <w:rFonts w:eastAsia="宋体;汉仪书宋二KW" w:cs="Times New Roman" w:ascii="宋体;汉仪书宋二KW" w:hAnsi="宋体;汉仪书宋二KW"/>
          <w:color w:val="000000"/>
          <w:szCs w:val="21"/>
          <w:lang w:eastAsia="zh-CN"/>
        </w:rPr>
        <w:t>14.52%</w:t>
      </w:r>
      <w:r>
        <w:rPr>
          <w:rFonts w:ascii="宋体;汉仪书宋二KW" w:hAnsi="宋体;汉仪书宋二KW" w:cs="Times New Roman" w:eastAsia="宋体;汉仪书宋二KW"/>
          <w:color w:val="000000"/>
          <w:szCs w:val="21"/>
          <w:lang w:eastAsia="zh-CN"/>
        </w:rPr>
        <w:t>。公司应付账款的账龄结构如下表所示：</w:t>
      </w:r>
    </w:p>
    <w:p>
      <w:pPr>
        <w:pStyle w:val="Normal"/>
        <w:autoSpaceDE w:val="false"/>
        <w:spacing w:lineRule="auto" w:line="360"/>
        <w:jc w:val="center"/>
        <w:rPr>
          <w:b/>
          <w:color w:val="000000"/>
          <w:kern w:val="0"/>
          <w:sz w:val="24"/>
          <w:szCs w:val="21"/>
        </w:rPr>
      </w:pPr>
      <w:r>
        <w:rPr>
          <w:b/>
          <w:color w:val="000000"/>
          <w:kern w:val="0"/>
          <w:sz w:val="24"/>
          <w:szCs w:val="21"/>
        </w:rPr>
        <w:t>近三年末公司应付账款的账龄结构情况</w:t>
      </w:r>
    </w:p>
    <w:p>
      <w:pPr>
        <w:pStyle w:val="Normal"/>
        <w:jc w:val="right"/>
        <w:rPr/>
      </w:pPr>
      <w:r>
        <w:rPr/>
        <w:t>单位：万元，</w:t>
      </w:r>
      <w:r>
        <w:rPr/>
        <w:t>%</w:t>
      </w:r>
    </w:p>
    <w:tbl>
      <w:tblPr>
        <w:tblW w:w="4950" w:type="pct"/>
        <w:jc w:val="center"/>
        <w:tblInd w:w="0" w:type="dxa"/>
        <w:tblLayout w:type="fixed"/>
        <w:tblCellMar>
          <w:top w:w="0" w:type="dxa"/>
          <w:left w:w="108" w:type="dxa"/>
          <w:bottom w:w="0" w:type="dxa"/>
          <w:right w:w="108" w:type="dxa"/>
        </w:tblCellMar>
      </w:tblPr>
      <w:tblGrid>
        <w:gridCol w:w="1257"/>
        <w:gridCol w:w="1213"/>
        <w:gridCol w:w="1121"/>
        <w:gridCol w:w="1214"/>
        <w:gridCol w:w="1084"/>
        <w:gridCol w:w="1214"/>
        <w:gridCol w:w="1119"/>
      </w:tblGrid>
      <w:tr>
        <w:trPr>
          <w:tblHeader w:val="true"/>
          <w:trHeight w:val="454" w:hRule="atLeast"/>
        </w:trPr>
        <w:tc>
          <w:tcPr>
            <w:tcW w:w="125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账龄</w:t>
            </w:r>
          </w:p>
        </w:tc>
        <w:tc>
          <w:tcPr>
            <w:tcW w:w="233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2024</w:t>
            </w:r>
            <w:r>
              <w:rPr>
                <w:b/>
                <w:bCs/>
                <w:color w:val="000000"/>
                <w:kern w:val="0"/>
                <w:szCs w:val="21"/>
              </w:rPr>
              <w:t>年末</w:t>
            </w:r>
          </w:p>
        </w:tc>
        <w:tc>
          <w:tcPr>
            <w:tcW w:w="229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2023</w:t>
            </w:r>
            <w:r>
              <w:rPr>
                <w:b/>
                <w:bCs/>
                <w:color w:val="000000"/>
                <w:kern w:val="0"/>
                <w:szCs w:val="21"/>
              </w:rPr>
              <w:t>年末</w:t>
            </w:r>
          </w:p>
        </w:tc>
        <w:tc>
          <w:tcPr>
            <w:tcW w:w="2333"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2022</w:t>
            </w:r>
            <w:r>
              <w:rPr>
                <w:b/>
                <w:bCs/>
                <w:color w:val="000000"/>
                <w:kern w:val="0"/>
                <w:szCs w:val="21"/>
              </w:rPr>
              <w:t>年末</w:t>
            </w:r>
          </w:p>
        </w:tc>
      </w:tr>
      <w:tr>
        <w:trPr>
          <w:tblHeader w:val="true"/>
          <w:trHeight w:val="454" w:hRule="atLeast"/>
        </w:trPr>
        <w:tc>
          <w:tcPr>
            <w:tcW w:w="125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b/>
                <w:bCs/>
                <w:color w:val="000000"/>
                <w:kern w:val="0"/>
                <w:szCs w:val="21"/>
              </w:rPr>
            </w:pPr>
            <w:r>
              <w:rPr>
                <w:b/>
                <w:bCs/>
                <w:color w:val="000000"/>
                <w:kern w:val="0"/>
                <w:szCs w:val="21"/>
              </w:rPr>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账面余额</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比例</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账面余额</w:t>
            </w:r>
          </w:p>
        </w:tc>
        <w:tc>
          <w:tcPr>
            <w:tcW w:w="108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比例</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账面余额</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比例</w:t>
            </w:r>
          </w:p>
        </w:tc>
      </w:tr>
      <w:tr>
        <w:trPr>
          <w:trHeight w:val="454" w:hRule="atLeast"/>
        </w:trPr>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1</w:t>
            </w:r>
            <w:r>
              <w:rPr>
                <w:color w:val="000000"/>
                <w:kern w:val="0"/>
                <w:szCs w:val="21"/>
              </w:rPr>
              <w:t>年以内（含</w:t>
            </w:r>
            <w:r>
              <w:rPr>
                <w:color w:val="000000"/>
                <w:kern w:val="0"/>
                <w:szCs w:val="21"/>
              </w:rPr>
              <w:t>1</w:t>
            </w:r>
            <w:r>
              <w:rPr>
                <w:color w:val="000000"/>
                <w:kern w:val="0"/>
                <w:szCs w:val="21"/>
              </w:rPr>
              <w:t>年）</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 xml:space="preserve">212,809.69 </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67.51</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199,322.52</w:t>
            </w:r>
          </w:p>
        </w:tc>
        <w:tc>
          <w:tcPr>
            <w:tcW w:w="108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72.13</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121,549.17</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59.00</w:t>
            </w:r>
          </w:p>
        </w:tc>
      </w:tr>
      <w:tr>
        <w:trPr>
          <w:trHeight w:val="454" w:hRule="atLeast"/>
        </w:trPr>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1-2</w:t>
            </w:r>
            <w:r>
              <w:rPr>
                <w:color w:val="000000"/>
                <w:kern w:val="0"/>
                <w:szCs w:val="21"/>
              </w:rPr>
              <w:t>年（含</w:t>
            </w:r>
            <w:r>
              <w:rPr>
                <w:color w:val="000000"/>
                <w:kern w:val="0"/>
                <w:szCs w:val="21"/>
              </w:rPr>
              <w:t>2</w:t>
            </w:r>
            <w:r>
              <w:rPr>
                <w:color w:val="000000"/>
                <w:kern w:val="0"/>
                <w:szCs w:val="21"/>
              </w:rPr>
              <w:t>年）</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 w:val="22"/>
                <w:szCs w:val="22"/>
                <w:lang w:bidi="ar"/>
              </w:rPr>
              <w:t xml:space="preserve"> </w:t>
            </w:r>
            <w:r>
              <w:rPr>
                <w:color w:val="000000"/>
                <w:kern w:val="0"/>
                <w:sz w:val="22"/>
                <w:szCs w:val="22"/>
                <w:lang w:bidi="ar"/>
              </w:rPr>
              <w:t xml:space="preserve">59,223.47 </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18.79</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34,107.30</w:t>
            </w:r>
          </w:p>
        </w:tc>
        <w:tc>
          <w:tcPr>
            <w:tcW w:w="108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12.34</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42,548.71</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rPr>
              <w:t>20</w:t>
            </w:r>
            <w:r>
              <w:rPr>
                <w:color w:val="000000"/>
                <w:szCs w:val="21"/>
              </w:rPr>
              <w:t>.65</w:t>
            </w:r>
          </w:p>
        </w:tc>
      </w:tr>
      <w:tr>
        <w:trPr>
          <w:trHeight w:val="454" w:hRule="atLeast"/>
        </w:trPr>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2-3</w:t>
            </w:r>
            <w:r>
              <w:rPr>
                <w:color w:val="000000"/>
                <w:kern w:val="0"/>
                <w:szCs w:val="21"/>
              </w:rPr>
              <w:t>年（含</w:t>
            </w:r>
            <w:r>
              <w:rPr>
                <w:color w:val="000000"/>
                <w:kern w:val="0"/>
                <w:szCs w:val="21"/>
              </w:rPr>
              <w:t>3</w:t>
            </w:r>
            <w:r>
              <w:rPr>
                <w:color w:val="000000"/>
                <w:kern w:val="0"/>
                <w:szCs w:val="21"/>
              </w:rPr>
              <w:t>年）</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 w:val="22"/>
                <w:szCs w:val="22"/>
                <w:lang w:bidi="ar"/>
              </w:rPr>
              <w:t xml:space="preserve"> </w:t>
            </w:r>
            <w:r>
              <w:rPr>
                <w:color w:val="000000"/>
                <w:kern w:val="0"/>
                <w:sz w:val="22"/>
                <w:szCs w:val="22"/>
                <w:lang w:bidi="ar"/>
              </w:rPr>
              <w:t xml:space="preserve">11,715.90 </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3.72</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12,762.31</w:t>
            </w:r>
          </w:p>
        </w:tc>
        <w:tc>
          <w:tcPr>
            <w:tcW w:w="108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4.62</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15,851.82</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7.69</w:t>
            </w:r>
          </w:p>
        </w:tc>
      </w:tr>
      <w:tr>
        <w:trPr>
          <w:trHeight w:val="454" w:hRule="atLeast"/>
        </w:trPr>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3</w:t>
            </w:r>
            <w:r>
              <w:rPr>
                <w:color w:val="000000"/>
                <w:kern w:val="0"/>
                <w:szCs w:val="21"/>
              </w:rPr>
              <w:t>年以上</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 w:val="22"/>
                <w:szCs w:val="22"/>
                <w:lang w:bidi="ar"/>
              </w:rPr>
              <w:t xml:space="preserve"> </w:t>
            </w:r>
            <w:r>
              <w:rPr>
                <w:color w:val="000000"/>
                <w:kern w:val="0"/>
                <w:sz w:val="22"/>
                <w:szCs w:val="22"/>
                <w:lang w:bidi="ar"/>
              </w:rPr>
              <w:t xml:space="preserve">31,470.02 </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9.98</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30,133.76</w:t>
            </w:r>
          </w:p>
        </w:tc>
        <w:tc>
          <w:tcPr>
            <w:tcW w:w="108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10.91</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szCs w:val="21"/>
              </w:rPr>
              <w:t>26,056.55</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kern w:val="0"/>
                <w:szCs w:val="21"/>
              </w:rPr>
            </w:pPr>
            <w:r>
              <w:rPr>
                <w:color w:val="000000"/>
              </w:rPr>
              <w:t>12.</w:t>
            </w:r>
            <w:r>
              <w:rPr>
                <w:color w:val="000000"/>
                <w:szCs w:val="21"/>
              </w:rPr>
              <w:t>65</w:t>
            </w:r>
          </w:p>
        </w:tc>
      </w:tr>
      <w:tr>
        <w:trPr>
          <w:trHeight w:val="454" w:hRule="atLeast"/>
        </w:trPr>
        <w:tc>
          <w:tcPr>
            <w:tcW w:w="125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合计</w:t>
            </w:r>
          </w:p>
        </w:tc>
        <w:tc>
          <w:tcPr>
            <w:tcW w:w="121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bCs/>
                <w:color w:val="000000"/>
                <w:kern w:val="0"/>
                <w:sz w:val="22"/>
                <w:szCs w:val="22"/>
                <w:lang w:bidi="ar"/>
              </w:rPr>
              <w:t xml:space="preserve">315,219.08 </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color w:val="000000"/>
                <w:kern w:val="0"/>
                <w:sz w:val="22"/>
              </w:rPr>
              <w:t>100.00</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color w:val="000000"/>
                <w:szCs w:val="21"/>
              </w:rPr>
              <w:t>276,325.90</w:t>
            </w:r>
          </w:p>
        </w:tc>
        <w:tc>
          <w:tcPr>
            <w:tcW w:w="108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color w:val="000000"/>
                <w:szCs w:val="21"/>
              </w:rPr>
              <w:t>100.00</w:t>
            </w:r>
          </w:p>
        </w:tc>
        <w:tc>
          <w:tcPr>
            <w:tcW w:w="12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bCs/>
                <w:color w:val="000000"/>
                <w:szCs w:val="21"/>
              </w:rPr>
              <w:t>206,006.26</w:t>
            </w:r>
          </w:p>
        </w:tc>
        <w:tc>
          <w:tcPr>
            <w:tcW w:w="11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kern w:val="0"/>
                <w:szCs w:val="21"/>
              </w:rPr>
            </w:pPr>
            <w:r>
              <w:rPr>
                <w:b/>
                <w:color w:val="000000"/>
              </w:rPr>
              <w:t>100.00</w:t>
            </w:r>
          </w:p>
        </w:tc>
      </w:tr>
    </w:tbl>
    <w:p>
      <w:pPr>
        <w:pStyle w:val="Normal"/>
        <w:autoSpaceDE w:val="false"/>
        <w:spacing w:lineRule="auto" w:line="360" w:before="156" w:after="0"/>
        <w:jc w:val="center"/>
        <w:rPr>
          <w:b/>
          <w:color w:val="000000"/>
          <w:kern w:val="0"/>
          <w:sz w:val="24"/>
          <w:szCs w:val="21"/>
        </w:rPr>
      </w:pPr>
      <w:r>
        <w:rPr>
          <w:b/>
          <w:color w:val="000000"/>
          <w:kern w:val="0"/>
          <w:sz w:val="24"/>
          <w:szCs w:val="21"/>
        </w:rPr>
        <w:t>截至</w:t>
      </w:r>
      <w:r>
        <w:rPr>
          <w:b/>
          <w:color w:val="000000"/>
          <w:kern w:val="0"/>
          <w:sz w:val="24"/>
          <w:szCs w:val="21"/>
        </w:rPr>
        <w:t>2024</w:t>
      </w:r>
      <w:r>
        <w:rPr>
          <w:b/>
          <w:color w:val="000000"/>
          <w:kern w:val="0"/>
          <w:sz w:val="24"/>
          <w:szCs w:val="21"/>
        </w:rPr>
        <w:t>年末账龄超过</w:t>
      </w:r>
      <w:r>
        <w:rPr>
          <w:b/>
          <w:color w:val="000000"/>
          <w:kern w:val="0"/>
          <w:sz w:val="24"/>
          <w:szCs w:val="21"/>
        </w:rPr>
        <w:t>1</w:t>
      </w:r>
      <w:r>
        <w:rPr>
          <w:b/>
          <w:color w:val="000000"/>
          <w:kern w:val="0"/>
          <w:sz w:val="24"/>
          <w:szCs w:val="21"/>
        </w:rPr>
        <w:t>年的重要应付账款情况</w:t>
      </w:r>
    </w:p>
    <w:p>
      <w:pPr>
        <w:pStyle w:val="Normal"/>
        <w:jc w:val="right"/>
        <w:rPr/>
      </w:pPr>
      <w:r>
        <w:rPr/>
        <w:t>单位：万元，</w:t>
      </w:r>
      <w:r>
        <w:rPr/>
        <w:t>%</w:t>
      </w:r>
    </w:p>
    <w:tbl>
      <w:tblPr>
        <w:tblW w:w="5700" w:type="pct"/>
        <w:jc w:val="center"/>
        <w:tblInd w:w="0" w:type="dxa"/>
        <w:tblLayout w:type="fixed"/>
        <w:tblCellMar>
          <w:top w:w="0" w:type="dxa"/>
          <w:left w:w="108" w:type="dxa"/>
          <w:bottom w:w="0" w:type="dxa"/>
          <w:right w:w="108" w:type="dxa"/>
        </w:tblCellMar>
      </w:tblPr>
      <w:tblGrid>
        <w:gridCol w:w="3448"/>
        <w:gridCol w:w="1291"/>
        <w:gridCol w:w="1292"/>
        <w:gridCol w:w="1723"/>
        <w:gridCol w:w="1714"/>
      </w:tblGrid>
      <w:tr>
        <w:trPr>
          <w:tblHeader w:val="true"/>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名称</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占应付账款</w:t>
            </w:r>
          </w:p>
          <w:p>
            <w:pPr>
              <w:pStyle w:val="Normal"/>
              <w:widowControl/>
              <w:jc w:val="center"/>
              <w:rPr>
                <w:b/>
                <w:color w:val="000000"/>
                <w:kern w:val="0"/>
                <w:szCs w:val="21"/>
              </w:rPr>
            </w:pPr>
            <w:r>
              <w:rPr>
                <w:b/>
                <w:color w:val="000000"/>
                <w:kern w:val="0"/>
                <w:szCs w:val="21"/>
              </w:rPr>
              <w:t>比例</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账龄</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资金未偿还原因</w:t>
            </w:r>
          </w:p>
        </w:tc>
      </w:tr>
      <w:tr>
        <w:trPr>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山东省调水工程运行维护中心青岛分中心</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6,279.13 </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1.99</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1-3</w:t>
            </w:r>
            <w:r>
              <w:rPr>
                <w:color w:val="000000"/>
                <w:kern w:val="0"/>
                <w:szCs w:val="21"/>
                <w:lang w:bidi="ar"/>
              </w:rPr>
              <w:t>年</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rPr>
              <w:t>未</w:t>
            </w:r>
            <w:r>
              <w:rPr>
                <w:color w:val="000000"/>
                <w:kern w:val="0"/>
                <w:szCs w:val="21"/>
                <w:lang w:bidi="ar"/>
              </w:rPr>
              <w:t>催收</w:t>
            </w:r>
          </w:p>
        </w:tc>
      </w:tr>
      <w:tr>
        <w:trPr>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青岛市水务事业发展服务中心</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13,225.51 </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4.20</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3-4</w:t>
            </w:r>
            <w:r>
              <w:rPr>
                <w:color w:val="000000"/>
                <w:kern w:val="0"/>
                <w:szCs w:val="21"/>
                <w:lang w:bidi="ar"/>
              </w:rPr>
              <w:t>年</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rPr>
              <w:t>未</w:t>
            </w:r>
            <w:r>
              <w:rPr>
                <w:color w:val="000000"/>
                <w:kern w:val="0"/>
                <w:szCs w:val="21"/>
                <w:lang w:bidi="ar"/>
              </w:rPr>
              <w:t>催收</w:t>
            </w:r>
          </w:p>
        </w:tc>
      </w:tr>
      <w:tr>
        <w:trPr>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青岛土木建工集团有限公司</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3,159.88 </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1.00</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1-2</w:t>
            </w:r>
            <w:r>
              <w:rPr>
                <w:color w:val="000000"/>
                <w:kern w:val="0"/>
                <w:szCs w:val="21"/>
                <w:lang w:bidi="ar"/>
              </w:rPr>
              <w:t>年</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工程尚未</w:t>
            </w:r>
            <w:r>
              <w:rPr>
                <w:color w:val="000000"/>
                <w:kern w:val="0"/>
              </w:rPr>
              <w:t>结算</w:t>
            </w:r>
          </w:p>
        </w:tc>
      </w:tr>
      <w:tr>
        <w:trPr>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南京禹汇环境工程有限公司</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3,450.16 </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1.09</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w:t>
            </w:r>
            <w:r>
              <w:rPr>
                <w:color w:val="000000"/>
                <w:kern w:val="0"/>
                <w:szCs w:val="21"/>
                <w:lang w:bidi="ar"/>
              </w:rPr>
              <w:t>年以上</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color w:val="000000"/>
                <w:kern w:val="0"/>
                <w:szCs w:val="21"/>
              </w:rPr>
            </w:pPr>
            <w:r>
              <w:rPr>
                <w:color w:val="000000"/>
                <w:kern w:val="0"/>
                <w:szCs w:val="21"/>
              </w:rPr>
              <w:t>未结算</w:t>
            </w:r>
          </w:p>
        </w:tc>
      </w:tr>
      <w:tr>
        <w:trPr>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寿光市水利局</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11,950.15 </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3.79</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lang w:bidi="ar"/>
              </w:rPr>
              <w:t>1</w:t>
            </w:r>
            <w:r>
              <w:rPr>
                <w:color w:val="000000"/>
                <w:kern w:val="0"/>
                <w:szCs w:val="21"/>
                <w:lang w:bidi="ar"/>
              </w:rPr>
              <w:t>年以上</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rPr>
              <w:t>未结算</w:t>
            </w:r>
          </w:p>
        </w:tc>
      </w:tr>
      <w:tr>
        <w:trPr>
          <w:trHeight w:val="454" w:hRule="atLeast"/>
        </w:trPr>
        <w:tc>
          <w:tcPr>
            <w:tcW w:w="34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合计</w:t>
            </w:r>
          </w:p>
        </w:tc>
        <w:tc>
          <w:tcPr>
            <w:tcW w:w="129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kern w:val="0"/>
                <w:szCs w:val="21"/>
              </w:rPr>
            </w:pPr>
            <w:r>
              <w:rPr>
                <w:rFonts w:eastAsia="Times New Roman"/>
                <w:b/>
                <w:bCs/>
                <w:color w:val="000000"/>
                <w:kern w:val="0"/>
                <w:szCs w:val="21"/>
                <w:lang w:bidi="ar"/>
              </w:rPr>
              <w:t xml:space="preserve"> </w:t>
            </w:r>
            <w:r>
              <w:rPr>
                <w:b/>
                <w:bCs/>
                <w:color w:val="000000"/>
                <w:kern w:val="0"/>
                <w:szCs w:val="21"/>
                <w:lang w:bidi="ar"/>
              </w:rPr>
              <w:t xml:space="preserve">38,064.82 </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kern w:val="0"/>
                <w:szCs w:val="21"/>
              </w:rPr>
            </w:pPr>
            <w:r>
              <w:rPr>
                <w:b/>
                <w:bCs/>
                <w:color w:val="000000"/>
                <w:kern w:val="0"/>
                <w:szCs w:val="21"/>
                <w:lang w:bidi="ar"/>
              </w:rPr>
              <w:t>12.08</w:t>
            </w:r>
          </w:p>
        </w:tc>
        <w:tc>
          <w:tcPr>
            <w:tcW w:w="172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w:t>
            </w:r>
          </w:p>
        </w:tc>
        <w:tc>
          <w:tcPr>
            <w:tcW w:w="171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w:t>
            </w:r>
          </w:p>
        </w:tc>
      </w:tr>
    </w:tbl>
    <w:p>
      <w:pPr>
        <w:pStyle w:val="Normal"/>
        <w:autoSpaceDE w:val="false"/>
        <w:spacing w:lineRule="auto" w:line="360" w:before="156" w:after="0"/>
        <w:jc w:val="center"/>
        <w:rPr>
          <w:b/>
          <w:color w:val="000000"/>
          <w:kern w:val="0"/>
          <w:sz w:val="24"/>
          <w:szCs w:val="21"/>
        </w:rPr>
      </w:pPr>
      <w:r>
        <w:rPr>
          <w:b/>
          <w:color w:val="000000"/>
          <w:kern w:val="0"/>
          <w:sz w:val="24"/>
          <w:szCs w:val="21"/>
        </w:rPr>
        <w:t>截至</w:t>
      </w:r>
      <w:r>
        <w:rPr>
          <w:b/>
          <w:color w:val="000000"/>
          <w:kern w:val="0"/>
          <w:sz w:val="24"/>
          <w:szCs w:val="21"/>
        </w:rPr>
        <w:t>2024</w:t>
      </w:r>
      <w:r>
        <w:rPr>
          <w:b/>
          <w:color w:val="000000"/>
          <w:kern w:val="0"/>
          <w:sz w:val="24"/>
          <w:szCs w:val="21"/>
        </w:rPr>
        <w:t>年末公司应付账款前五名明细情况</w:t>
      </w:r>
    </w:p>
    <w:p>
      <w:pPr>
        <w:pStyle w:val="Normal"/>
        <w:jc w:val="right"/>
        <w:rPr/>
      </w:pPr>
      <w:r>
        <w:rPr/>
        <w:t>单位：万元，</w:t>
      </w:r>
      <w:r>
        <w:rPr/>
        <w:t>%</w:t>
      </w:r>
    </w:p>
    <w:tbl>
      <w:tblPr>
        <w:tblW w:w="5700" w:type="pct"/>
        <w:jc w:val="center"/>
        <w:tblInd w:w="0" w:type="dxa"/>
        <w:tblLayout w:type="fixed"/>
        <w:tblCellMar>
          <w:top w:w="0" w:type="dxa"/>
          <w:left w:w="108" w:type="dxa"/>
          <w:bottom w:w="0" w:type="dxa"/>
          <w:right w:w="108" w:type="dxa"/>
        </w:tblCellMar>
      </w:tblPr>
      <w:tblGrid>
        <w:gridCol w:w="3404"/>
        <w:gridCol w:w="1392"/>
        <w:gridCol w:w="1312"/>
        <w:gridCol w:w="1703"/>
        <w:gridCol w:w="1657"/>
      </w:tblGrid>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lang w:bidi="ar"/>
              </w:rPr>
            </w:pPr>
            <w:r>
              <w:rPr>
                <w:b/>
                <w:bCs/>
                <w:color w:val="000000"/>
                <w:kern w:val="0"/>
                <w:szCs w:val="21"/>
                <w:lang w:bidi="ar"/>
              </w:rPr>
              <w:t>名称</w:t>
            </w:r>
          </w:p>
        </w:tc>
        <w:tc>
          <w:tcPr>
            <w:tcW w:w="1392" w:type="dxa"/>
            <w:tcBorders>
              <w:top w:val="single" w:sz="4" w:space="0" w:color="000000"/>
              <w:bottom w:val="single" w:sz="4" w:space="0" w:color="000000"/>
              <w:right w:val="single" w:sz="4" w:space="0" w:color="000000"/>
            </w:tcBorders>
            <w:vAlign w:val="center"/>
          </w:tcPr>
          <w:p>
            <w:pPr>
              <w:pStyle w:val="Normal"/>
              <w:widowControl/>
              <w:jc w:val="center"/>
              <w:rPr>
                <w:b/>
                <w:bCs/>
                <w:color w:val="000000"/>
                <w:kern w:val="0"/>
                <w:szCs w:val="21"/>
                <w:lang w:bidi="ar"/>
              </w:rPr>
            </w:pPr>
            <w:r>
              <w:rPr>
                <w:b/>
                <w:bCs/>
                <w:color w:val="000000"/>
                <w:kern w:val="0"/>
                <w:szCs w:val="21"/>
                <w:lang w:bidi="ar"/>
              </w:rPr>
              <w:t>金额</w:t>
            </w:r>
          </w:p>
        </w:tc>
        <w:tc>
          <w:tcPr>
            <w:tcW w:w="1312" w:type="dxa"/>
            <w:tcBorders>
              <w:top w:val="single" w:sz="4" w:space="0" w:color="000000"/>
              <w:bottom w:val="single" w:sz="4" w:space="0" w:color="000000"/>
              <w:right w:val="single" w:sz="4" w:space="0" w:color="000000"/>
            </w:tcBorders>
            <w:vAlign w:val="center"/>
          </w:tcPr>
          <w:p>
            <w:pPr>
              <w:pStyle w:val="Normal"/>
              <w:widowControl/>
              <w:jc w:val="center"/>
              <w:rPr>
                <w:b/>
                <w:bCs/>
                <w:color w:val="000000"/>
                <w:kern w:val="0"/>
                <w:szCs w:val="21"/>
                <w:lang w:bidi="ar"/>
              </w:rPr>
            </w:pPr>
            <w:r>
              <w:rPr>
                <w:b/>
                <w:bCs/>
                <w:color w:val="000000"/>
                <w:kern w:val="0"/>
                <w:szCs w:val="21"/>
                <w:lang w:bidi="ar"/>
              </w:rPr>
              <w:t>占应付账款</w:t>
            </w:r>
          </w:p>
          <w:p>
            <w:pPr>
              <w:pStyle w:val="Normal"/>
              <w:widowControl/>
              <w:jc w:val="center"/>
              <w:rPr>
                <w:b/>
                <w:bCs/>
                <w:color w:val="000000"/>
                <w:kern w:val="0"/>
                <w:szCs w:val="21"/>
                <w:lang w:bidi="ar"/>
              </w:rPr>
            </w:pPr>
            <w:r>
              <w:rPr>
                <w:b/>
                <w:bCs/>
                <w:color w:val="000000"/>
                <w:kern w:val="0"/>
                <w:szCs w:val="21"/>
                <w:lang w:bidi="ar"/>
              </w:rPr>
              <w:t>比例</w:t>
            </w:r>
          </w:p>
        </w:tc>
        <w:tc>
          <w:tcPr>
            <w:tcW w:w="1703" w:type="dxa"/>
            <w:tcBorders>
              <w:top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账龄</w:t>
            </w:r>
          </w:p>
        </w:tc>
        <w:tc>
          <w:tcPr>
            <w:tcW w:w="1657" w:type="dxa"/>
            <w:tcBorders>
              <w:top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款项性质</w:t>
            </w:r>
          </w:p>
        </w:tc>
      </w:tr>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青岛市水务事业发展服务中心</w:t>
            </w:r>
          </w:p>
        </w:tc>
        <w:tc>
          <w:tcPr>
            <w:tcW w:w="1392"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25,420.20 </w:t>
            </w:r>
          </w:p>
        </w:tc>
        <w:tc>
          <w:tcPr>
            <w:tcW w:w="1312" w:type="dxa"/>
            <w:tcBorders>
              <w:top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8.06%</w:t>
            </w:r>
          </w:p>
        </w:tc>
        <w:tc>
          <w:tcPr>
            <w:tcW w:w="1703"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0-3</w:t>
            </w:r>
            <w:r>
              <w:rPr>
                <w:color w:val="000000"/>
                <w:kern w:val="0"/>
                <w:szCs w:val="21"/>
                <w:lang w:bidi="ar"/>
              </w:rPr>
              <w:t>年</w:t>
            </w:r>
          </w:p>
        </w:tc>
        <w:tc>
          <w:tcPr>
            <w:tcW w:w="1657"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源水费</w:t>
            </w:r>
          </w:p>
        </w:tc>
      </w:tr>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寿光市水利局</w:t>
            </w:r>
          </w:p>
        </w:tc>
        <w:tc>
          <w:tcPr>
            <w:tcW w:w="1392"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16,109.14 </w:t>
            </w:r>
          </w:p>
        </w:tc>
        <w:tc>
          <w:tcPr>
            <w:tcW w:w="1312" w:type="dxa"/>
            <w:tcBorders>
              <w:top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5.11%</w:t>
            </w:r>
          </w:p>
        </w:tc>
        <w:tc>
          <w:tcPr>
            <w:tcW w:w="1703"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0-3</w:t>
            </w:r>
            <w:r>
              <w:rPr>
                <w:color w:val="000000"/>
                <w:kern w:val="0"/>
                <w:szCs w:val="21"/>
                <w:lang w:bidi="ar"/>
              </w:rPr>
              <w:t>年</w:t>
            </w:r>
          </w:p>
        </w:tc>
        <w:tc>
          <w:tcPr>
            <w:tcW w:w="1657"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原水费</w:t>
            </w:r>
          </w:p>
        </w:tc>
      </w:tr>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r/>
          </w:p>
        </w:tc>
        <w:tc>
          <w:tcPr>
            <w:tcW w:w="1392"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8,449.48 </w:t>
            </w:r>
          </w:p>
        </w:tc>
        <w:tc>
          <w:tcPr>
            <w:tcW w:w="1312" w:type="dxa"/>
            <w:tcBorders>
              <w:top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2.68%</w:t>
            </w:r>
          </w:p>
        </w:tc>
        <w:tc>
          <w:tcPr>
            <w:tcW w:w="1703"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0-2</w:t>
            </w:r>
            <w:r>
              <w:rPr>
                <w:color w:val="000000"/>
                <w:kern w:val="0"/>
                <w:szCs w:val="21"/>
                <w:lang w:bidi="ar"/>
              </w:rPr>
              <w:t>年</w:t>
            </w:r>
          </w:p>
        </w:tc>
        <w:tc>
          <w:tcPr>
            <w:tcW w:w="1657"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工程设备款</w:t>
            </w:r>
          </w:p>
        </w:tc>
      </w:tr>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浙江浙能科技环保集团股份有限公司</w:t>
            </w:r>
          </w:p>
        </w:tc>
        <w:tc>
          <w:tcPr>
            <w:tcW w:w="1392"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6,917.13 </w:t>
            </w:r>
          </w:p>
        </w:tc>
        <w:tc>
          <w:tcPr>
            <w:tcW w:w="1312" w:type="dxa"/>
            <w:tcBorders>
              <w:top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2.19%</w:t>
            </w:r>
          </w:p>
        </w:tc>
        <w:tc>
          <w:tcPr>
            <w:tcW w:w="1703"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0-3</w:t>
            </w:r>
            <w:r>
              <w:rPr>
                <w:color w:val="000000"/>
                <w:kern w:val="0"/>
                <w:szCs w:val="21"/>
                <w:lang w:bidi="ar"/>
              </w:rPr>
              <w:t>年</w:t>
            </w:r>
          </w:p>
        </w:tc>
        <w:tc>
          <w:tcPr>
            <w:tcW w:w="1657"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工程设备款</w:t>
            </w:r>
          </w:p>
        </w:tc>
      </w:tr>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山东省调水工程运行维护中心青岛分中心</w:t>
            </w:r>
          </w:p>
        </w:tc>
        <w:tc>
          <w:tcPr>
            <w:tcW w:w="1392"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6,279.13 </w:t>
            </w:r>
          </w:p>
        </w:tc>
        <w:tc>
          <w:tcPr>
            <w:tcW w:w="1312" w:type="dxa"/>
            <w:tcBorders>
              <w:top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1.99%</w:t>
            </w:r>
          </w:p>
        </w:tc>
        <w:tc>
          <w:tcPr>
            <w:tcW w:w="1703"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1-3</w:t>
            </w:r>
            <w:r>
              <w:rPr>
                <w:color w:val="000000"/>
                <w:kern w:val="0"/>
                <w:szCs w:val="21"/>
                <w:lang w:bidi="ar"/>
              </w:rPr>
              <w:t>年</w:t>
            </w:r>
          </w:p>
        </w:tc>
        <w:tc>
          <w:tcPr>
            <w:tcW w:w="1657"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源水费</w:t>
            </w:r>
          </w:p>
        </w:tc>
      </w:tr>
      <w:tr>
        <w:trPr>
          <w:trHeight w:val="454" w:hRule="atLeast"/>
        </w:trPr>
        <w:tc>
          <w:tcPr>
            <w:tcW w:w="340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lang w:bidi="ar"/>
              </w:rPr>
            </w:pPr>
            <w:r>
              <w:rPr>
                <w:b/>
                <w:color w:val="000000"/>
                <w:kern w:val="0"/>
                <w:szCs w:val="21"/>
                <w:lang w:bidi="ar"/>
              </w:rPr>
              <w:t>合计</w:t>
            </w:r>
          </w:p>
        </w:tc>
        <w:tc>
          <w:tcPr>
            <w:tcW w:w="1392"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rPr>
            </w:pPr>
            <w:r>
              <w:rPr>
                <w:rFonts w:eastAsia="Times New Roman"/>
                <w:b/>
                <w:bCs/>
                <w:color w:val="000000"/>
                <w:kern w:val="0"/>
                <w:szCs w:val="21"/>
                <w:lang w:bidi="ar"/>
              </w:rPr>
              <w:t xml:space="preserve"> </w:t>
            </w:r>
            <w:r>
              <w:rPr>
                <w:b/>
                <w:bCs/>
                <w:color w:val="000000"/>
                <w:kern w:val="0"/>
                <w:szCs w:val="21"/>
                <w:lang w:bidi="ar"/>
              </w:rPr>
              <w:t>63,175.08</w:t>
            </w:r>
            <w:r>
              <w:rPr>
                <w:color w:val="000000"/>
                <w:kern w:val="0"/>
              </w:rPr>
              <w:t xml:space="preserve"> </w:t>
            </w:r>
          </w:p>
        </w:tc>
        <w:tc>
          <w:tcPr>
            <w:tcW w:w="1312" w:type="dxa"/>
            <w:tcBorders>
              <w:top w:val="single" w:sz="4" w:space="0" w:color="000000"/>
              <w:bottom w:val="single" w:sz="4" w:space="0" w:color="000000"/>
              <w:right w:val="single" w:sz="4" w:space="0" w:color="000000"/>
            </w:tcBorders>
            <w:vAlign w:val="center"/>
          </w:tcPr>
          <w:p>
            <w:pPr>
              <w:pStyle w:val="Normal"/>
              <w:widowControl/>
              <w:jc w:val="right"/>
              <w:textAlignment w:val="center"/>
              <w:rPr>
                <w:b/>
                <w:color w:val="000000"/>
                <w:kern w:val="0"/>
                <w:szCs w:val="21"/>
                <w:lang w:bidi="ar"/>
              </w:rPr>
            </w:pPr>
            <w:r>
              <w:rPr>
                <w:b/>
                <w:bCs/>
                <w:color w:val="000000"/>
                <w:kern w:val="0"/>
                <w:szCs w:val="21"/>
                <w:lang w:bidi="ar"/>
              </w:rPr>
              <w:t>20.04%</w:t>
            </w:r>
          </w:p>
        </w:tc>
        <w:tc>
          <w:tcPr>
            <w:tcW w:w="1703" w:type="dxa"/>
            <w:tcBorders>
              <w:top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w:t>
            </w:r>
          </w:p>
        </w:tc>
        <w:tc>
          <w:tcPr>
            <w:tcW w:w="1657" w:type="dxa"/>
            <w:tcBorders>
              <w:top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w:t>
            </w:r>
          </w:p>
        </w:tc>
      </w:tr>
    </w:tbl>
    <w:p>
      <w:pPr>
        <w:pStyle w:val="Normal"/>
        <w:snapToGrid w:val="false"/>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6</w:t>
      </w:r>
      <w:r>
        <w:rPr>
          <w:rFonts w:ascii="宋体;汉仪书宋二KW" w:hAnsi="宋体;汉仪书宋二KW" w:cs="宋体;汉仪书宋二KW"/>
          <w:color w:val="000000"/>
          <w:szCs w:val="21"/>
        </w:rPr>
        <w:t>）预收账款：账龄、构成分析，前五大付款方及形成原因；</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年末，公司的预收款项余额较</w:t>
      </w:r>
      <w:r>
        <w:rPr>
          <w:rFonts w:eastAsia="宋体;汉仪书宋二KW" w:cs="Times New Roman" w:ascii="宋体;汉仪书宋二KW" w:hAnsi="宋体;汉仪书宋二KW"/>
          <w:color w:val="000000"/>
          <w:szCs w:val="21"/>
        </w:rPr>
        <w:t>2022</w:t>
      </w:r>
      <w:r>
        <w:rPr>
          <w:rFonts w:ascii="宋体;汉仪书宋二KW" w:hAnsi="宋体;汉仪书宋二KW" w:cs="Times New Roman" w:eastAsia="宋体;汉仪书宋二KW"/>
          <w:color w:val="000000"/>
          <w:szCs w:val="21"/>
        </w:rPr>
        <w:t>年末减少</w:t>
      </w:r>
      <w:r>
        <w:rPr>
          <w:rFonts w:eastAsia="宋体;汉仪书宋二KW" w:cs="Times New Roman" w:ascii="宋体;汉仪书宋二KW" w:hAnsi="宋体;汉仪书宋二KW"/>
          <w:color w:val="000000"/>
          <w:szCs w:val="21"/>
        </w:rPr>
        <w:t>2,913.62</w:t>
      </w:r>
      <w:r>
        <w:rPr>
          <w:rFonts w:ascii="宋体;汉仪书宋二KW" w:hAnsi="宋体;汉仪书宋二KW" w:cs="Times New Roman" w:eastAsia="宋体;汉仪书宋二KW"/>
          <w:color w:val="000000"/>
          <w:szCs w:val="21"/>
        </w:rPr>
        <w:t>万元，降幅为</w:t>
      </w:r>
      <w:r>
        <w:rPr>
          <w:rFonts w:eastAsia="宋体;汉仪书宋二KW" w:cs="Times New Roman" w:ascii="宋体;汉仪书宋二KW" w:hAnsi="宋体;汉仪书宋二KW"/>
          <w:color w:val="000000"/>
          <w:szCs w:val="21"/>
        </w:rPr>
        <w:t>91.92%</w:t>
      </w:r>
      <w:r>
        <w:rPr>
          <w:rFonts w:ascii="宋体;汉仪书宋二KW" w:hAnsi="宋体;汉仪书宋二KW" w:cs="Times New Roman" w:eastAsia="宋体;汉仪书宋二KW"/>
          <w:color w:val="000000"/>
          <w:szCs w:val="21"/>
        </w:rPr>
        <w:t>，主要系房屋租赁预收款减少。</w:t>
      </w:r>
      <w:bookmarkStart w:id="1" w:name="OLE_LINK4"/>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年末，公司预收款项较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年末减少</w:t>
      </w:r>
      <w:r>
        <w:rPr>
          <w:rFonts w:eastAsia="宋体;汉仪书宋二KW" w:cs="Times New Roman" w:ascii="宋体;汉仪书宋二KW" w:hAnsi="宋体;汉仪书宋二KW"/>
          <w:color w:val="000000"/>
          <w:szCs w:val="21"/>
        </w:rPr>
        <w:t>155.93</w:t>
      </w:r>
      <w:r>
        <w:rPr>
          <w:rFonts w:ascii="宋体;汉仪书宋二KW" w:hAnsi="宋体;汉仪书宋二KW" w:cs="Times New Roman" w:eastAsia="宋体;汉仪书宋二KW"/>
          <w:color w:val="000000"/>
          <w:szCs w:val="21"/>
        </w:rPr>
        <w:t>万元，降幅为</w:t>
      </w:r>
      <w:r>
        <w:rPr>
          <w:rFonts w:eastAsia="宋体;汉仪书宋二KW" w:cs="Times New Roman" w:ascii="宋体;汉仪书宋二KW" w:hAnsi="宋体;汉仪书宋二KW"/>
          <w:color w:val="000000"/>
          <w:szCs w:val="21"/>
        </w:rPr>
        <w:t>60.84%</w:t>
      </w:r>
      <w:r>
        <w:rPr>
          <w:rFonts w:ascii="宋体;汉仪书宋二KW" w:hAnsi="宋体;汉仪书宋二KW" w:cs="Times New Roman" w:eastAsia="宋体;汉仪书宋二KW"/>
          <w:color w:val="000000"/>
          <w:szCs w:val="21"/>
        </w:rPr>
        <w:t>，主要系公司当期预收房屋租金结转收入所致；</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年末</w:t>
      </w:r>
      <w:r>
        <w:rPr>
          <w:rFonts w:ascii="宋体;汉仪书宋二KW" w:hAnsi="宋体;汉仪书宋二KW" w:cs="Times New Roman" w:eastAsia="宋体;汉仪书宋二KW"/>
          <w:color w:val="000000"/>
          <w:szCs w:val="21"/>
          <w:lang w:eastAsia="zh-CN"/>
        </w:rPr>
        <w:t>申请人</w:t>
      </w:r>
      <w:r>
        <w:rPr>
          <w:rFonts w:ascii="宋体;汉仪书宋二KW" w:hAnsi="宋体;汉仪书宋二KW" w:cs="Times New Roman" w:eastAsia="宋体;汉仪书宋二KW"/>
          <w:color w:val="000000"/>
          <w:szCs w:val="21"/>
        </w:rPr>
        <w:t>不存在账龄超过</w:t>
      </w:r>
      <w:r>
        <w:rPr>
          <w:rFonts w:eastAsia="宋体;汉仪书宋二KW" w:cs="Times New Roman" w:ascii="宋体;汉仪书宋二KW" w:hAnsi="宋体;汉仪书宋二KW"/>
          <w:color w:val="000000"/>
          <w:szCs w:val="21"/>
        </w:rPr>
        <w:t>1</w:t>
      </w:r>
      <w:r>
        <w:rPr>
          <w:rFonts w:ascii="宋体;汉仪书宋二KW" w:hAnsi="宋体;汉仪书宋二KW" w:cs="Times New Roman" w:eastAsia="宋体;汉仪书宋二KW"/>
          <w:color w:val="000000"/>
          <w:szCs w:val="21"/>
        </w:rPr>
        <w:t>年的重要预收款项。</w:t>
      </w:r>
      <w:r>
        <w:rPr>
          <w:rFonts w:eastAsia="宋体;汉仪书宋二KW" w:cs="Times New Roman" w:ascii="宋体;汉仪书宋二KW" w:hAnsi="宋体;汉仪书宋二KW"/>
          <w:color w:val="000000"/>
          <w:szCs w:val="21"/>
        </w:rPr>
        <w:t>2025</w:t>
      </w:r>
      <w:r>
        <w:rPr>
          <w:rFonts w:ascii="宋体;汉仪书宋二KW" w:hAnsi="宋体;汉仪书宋二KW" w:cs="Times New Roman" w:eastAsia="宋体;汉仪书宋二KW"/>
          <w:color w:val="000000"/>
          <w:szCs w:val="21"/>
        </w:rPr>
        <w:t>年</w:t>
      </w:r>
      <w:r>
        <w:rPr>
          <w:rFonts w:eastAsia="宋体;汉仪书宋二KW" w:cs="Times New Roman" w:ascii="宋体;汉仪书宋二KW" w:hAnsi="宋体;汉仪书宋二KW"/>
          <w:color w:val="000000"/>
          <w:szCs w:val="21"/>
        </w:rPr>
        <w:t>3</w:t>
      </w:r>
      <w:r>
        <w:rPr>
          <w:rFonts w:ascii="宋体;汉仪书宋二KW" w:hAnsi="宋体;汉仪书宋二KW" w:cs="Times New Roman" w:eastAsia="宋体;汉仪书宋二KW"/>
          <w:color w:val="000000"/>
          <w:szCs w:val="21"/>
        </w:rPr>
        <w:t>月末，公司的预收款项较</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年末增加</w:t>
      </w:r>
      <w:r>
        <w:rPr>
          <w:rFonts w:eastAsia="宋体;汉仪书宋二KW" w:cs="Times New Roman" w:ascii="宋体;汉仪书宋二KW" w:hAnsi="宋体;汉仪书宋二KW"/>
          <w:color w:val="000000"/>
          <w:szCs w:val="21"/>
        </w:rPr>
        <w:t>98.21</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97.87%</w:t>
      </w:r>
      <w:bookmarkEnd w:id="1"/>
      <w:r>
        <w:rPr>
          <w:rFonts w:ascii="宋体;汉仪书宋二KW" w:hAnsi="宋体;汉仪书宋二KW" w:cs="Times New Roman" w:eastAsia="宋体;汉仪书宋二KW"/>
          <w:color w:val="000000"/>
          <w:szCs w:val="21"/>
        </w:rPr>
        <w:t>，主要系房屋租赁预收款增加所致。</w:t>
      </w:r>
    </w:p>
    <w:p>
      <w:pPr>
        <w:pStyle w:val="Normal"/>
        <w:autoSpaceDE w:val="false"/>
        <w:spacing w:lineRule="auto" w:line="360"/>
        <w:jc w:val="center"/>
        <w:rPr>
          <w:b/>
          <w:color w:val="000000"/>
          <w:kern w:val="0"/>
          <w:sz w:val="24"/>
          <w:szCs w:val="21"/>
        </w:rPr>
      </w:pPr>
      <w:r>
        <w:rPr>
          <w:b/>
          <w:color w:val="000000"/>
          <w:kern w:val="0"/>
          <w:sz w:val="24"/>
          <w:szCs w:val="21"/>
        </w:rPr>
        <w:t>截至</w:t>
      </w:r>
      <w:r>
        <w:rPr>
          <w:b/>
          <w:color w:val="000000"/>
          <w:kern w:val="0"/>
          <w:sz w:val="24"/>
          <w:szCs w:val="21"/>
        </w:rPr>
        <w:t>2024</w:t>
      </w:r>
      <w:r>
        <w:rPr>
          <w:b/>
          <w:color w:val="000000"/>
          <w:kern w:val="0"/>
          <w:sz w:val="24"/>
          <w:szCs w:val="21"/>
        </w:rPr>
        <w:t>年末预收账款账龄结构情况</w:t>
      </w:r>
    </w:p>
    <w:p>
      <w:pPr>
        <w:pStyle w:val="Normal"/>
        <w:jc w:val="right"/>
        <w:rPr/>
      </w:pPr>
      <w:r>
        <w:rPr/>
        <w:t>单位：万元</w:t>
      </w:r>
      <w:r>
        <w:rPr>
          <w:szCs w:val="21"/>
        </w:rPr>
        <w:t>，</w:t>
      </w:r>
      <w:r>
        <w:rPr>
          <w:szCs w:val="21"/>
        </w:rPr>
        <w:t>%</w:t>
      </w:r>
    </w:p>
    <w:tbl>
      <w:tblPr>
        <w:tblW w:w="10135" w:type="dxa"/>
        <w:jc w:val="center"/>
        <w:tblInd w:w="0" w:type="dxa"/>
        <w:tblLayout w:type="fixed"/>
        <w:tblCellMar>
          <w:top w:w="0" w:type="dxa"/>
          <w:left w:w="108" w:type="dxa"/>
          <w:bottom w:w="0" w:type="dxa"/>
          <w:right w:w="108" w:type="dxa"/>
        </w:tblCellMar>
      </w:tblPr>
      <w:tblGrid>
        <w:gridCol w:w="3045"/>
        <w:gridCol w:w="3054"/>
        <w:gridCol w:w="4036"/>
      </w:tblGrid>
      <w:tr>
        <w:trPr>
          <w:trHeight w:val="454"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账龄</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账面余额</w:t>
            </w:r>
          </w:p>
        </w:tc>
        <w:tc>
          <w:tcPr>
            <w:tcW w:w="40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比例</w:t>
            </w:r>
          </w:p>
        </w:tc>
      </w:tr>
      <w:tr>
        <w:trPr>
          <w:trHeight w:val="454"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1</w:t>
            </w:r>
            <w:r>
              <w:rPr>
                <w:color w:val="000000"/>
                <w:kern w:val="0"/>
                <w:szCs w:val="21"/>
              </w:rPr>
              <w:t>年以内（含</w:t>
            </w:r>
            <w:r>
              <w:rPr>
                <w:color w:val="000000"/>
                <w:kern w:val="0"/>
                <w:szCs w:val="21"/>
              </w:rPr>
              <w:t>1</w:t>
            </w:r>
            <w:r>
              <w:rPr>
                <w:color w:val="000000"/>
                <w:kern w:val="0"/>
                <w:szCs w:val="21"/>
              </w:rPr>
              <w:t>年）</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szCs w:val="21"/>
              </w:rPr>
              <w:t>100.35</w:t>
            </w:r>
          </w:p>
        </w:tc>
        <w:tc>
          <w:tcPr>
            <w:tcW w:w="40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szCs w:val="21"/>
              </w:rPr>
              <w:t>100</w:t>
            </w:r>
          </w:p>
        </w:tc>
      </w:tr>
      <w:tr>
        <w:trPr>
          <w:trHeight w:val="454"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1</w:t>
            </w:r>
            <w:r>
              <w:rPr>
                <w:color w:val="000000"/>
                <w:kern w:val="0"/>
                <w:szCs w:val="21"/>
              </w:rPr>
              <w:t>年以上</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szCs w:val="21"/>
              </w:rPr>
              <w:t>-</w:t>
            </w:r>
          </w:p>
        </w:tc>
        <w:tc>
          <w:tcPr>
            <w:tcW w:w="40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szCs w:val="21"/>
              </w:rPr>
              <w:t>-</w:t>
            </w:r>
          </w:p>
        </w:tc>
      </w:tr>
      <w:tr>
        <w:trPr>
          <w:trHeight w:val="454" w:hRule="atLeast"/>
        </w:trPr>
        <w:tc>
          <w:tcPr>
            <w:tcW w:w="304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合计</w:t>
            </w:r>
          </w:p>
        </w:tc>
        <w:tc>
          <w:tcPr>
            <w:tcW w:w="305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rPr>
            </w:pPr>
            <w:r>
              <w:rPr>
                <w:b/>
                <w:bCs/>
                <w:szCs w:val="21"/>
              </w:rPr>
              <w:t>100.35</w:t>
            </w:r>
          </w:p>
        </w:tc>
        <w:tc>
          <w:tcPr>
            <w:tcW w:w="403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rPr>
            </w:pPr>
            <w:r>
              <w:rPr>
                <w:b/>
                <w:color w:val="000000"/>
              </w:rPr>
              <w:t>100.00</w:t>
            </w:r>
          </w:p>
        </w:tc>
      </w:tr>
    </w:tbl>
    <w:p>
      <w:pPr>
        <w:pStyle w:val="Normal"/>
        <w:snapToGrid w:val="false"/>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7</w:t>
      </w:r>
      <w:r>
        <w:rPr>
          <w:rFonts w:ascii="宋体;汉仪书宋二KW" w:hAnsi="宋体;汉仪书宋二KW" w:cs="宋体;汉仪书宋二KW"/>
          <w:color w:val="000000"/>
          <w:szCs w:val="21"/>
        </w:rPr>
        <w:t>）预付账款：账龄、构成分析，前五大收款方及形成原因；</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autoSpaceDE w:val="false"/>
        <w:spacing w:lineRule="auto" w:line="360" w:before="156" w:after="0"/>
        <w:jc w:val="center"/>
        <w:rPr>
          <w:b/>
          <w:color w:val="000000"/>
          <w:sz w:val="24"/>
          <w:lang w:val="zh-CN"/>
        </w:rPr>
      </w:pPr>
      <w:r>
        <w:rPr>
          <w:b/>
          <w:color w:val="000000"/>
          <w:kern w:val="0"/>
          <w:sz w:val="24"/>
          <w:szCs w:val="21"/>
        </w:rPr>
        <w:t>2022-2024</w:t>
      </w:r>
      <w:r>
        <w:rPr>
          <w:b/>
          <w:color w:val="000000"/>
          <w:kern w:val="0"/>
          <w:sz w:val="24"/>
          <w:szCs w:val="21"/>
        </w:rPr>
        <w:t>年末公司预付款项的账龄结构及坏账计提情况</w:t>
      </w:r>
    </w:p>
    <w:p>
      <w:pPr>
        <w:pStyle w:val="Normal"/>
        <w:jc w:val="right"/>
        <w:rPr/>
      </w:pPr>
      <w:r>
        <w:rPr/>
        <w:t>单位：万元，</w:t>
      </w:r>
      <w:r>
        <w:rPr/>
        <w:t>%</w:t>
      </w:r>
    </w:p>
    <w:tbl>
      <w:tblPr>
        <w:tblW w:w="9577" w:type="dxa"/>
        <w:jc w:val="center"/>
        <w:tblInd w:w="0" w:type="dxa"/>
        <w:tblLayout w:type="fixed"/>
        <w:tblCellMar>
          <w:top w:w="0" w:type="dxa"/>
          <w:left w:w="108" w:type="dxa"/>
          <w:bottom w:w="0" w:type="dxa"/>
          <w:right w:w="108" w:type="dxa"/>
        </w:tblCellMar>
      </w:tblPr>
      <w:tblGrid>
        <w:gridCol w:w="1798"/>
        <w:gridCol w:w="1056"/>
        <w:gridCol w:w="848"/>
        <w:gridCol w:w="689"/>
        <w:gridCol w:w="1056"/>
        <w:gridCol w:w="848"/>
        <w:gridCol w:w="689"/>
        <w:gridCol w:w="1056"/>
        <w:gridCol w:w="848"/>
        <w:gridCol w:w="689"/>
      </w:tblGrid>
      <w:tr>
        <w:trPr>
          <w:tblHeader w:val="true"/>
          <w:trHeight w:val="454" w:hRule="atLeast"/>
        </w:trPr>
        <w:tc>
          <w:tcPr>
            <w:tcW w:w="179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账龄</w:t>
            </w:r>
          </w:p>
        </w:tc>
        <w:tc>
          <w:tcPr>
            <w:tcW w:w="259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2024</w:t>
            </w:r>
            <w:r>
              <w:rPr>
                <w:b/>
                <w:color w:val="000000"/>
                <w:kern w:val="0"/>
                <w:szCs w:val="21"/>
              </w:rPr>
              <w:t>年末</w:t>
            </w:r>
          </w:p>
        </w:tc>
        <w:tc>
          <w:tcPr>
            <w:tcW w:w="259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2023</w:t>
            </w:r>
            <w:r>
              <w:rPr>
                <w:b/>
                <w:color w:val="000000"/>
                <w:kern w:val="0"/>
                <w:szCs w:val="21"/>
              </w:rPr>
              <w:t>年末</w:t>
            </w:r>
          </w:p>
        </w:tc>
        <w:tc>
          <w:tcPr>
            <w:tcW w:w="259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2022</w:t>
            </w:r>
            <w:r>
              <w:rPr>
                <w:b/>
                <w:color w:val="000000"/>
                <w:kern w:val="0"/>
                <w:szCs w:val="21"/>
              </w:rPr>
              <w:t>年末</w:t>
            </w:r>
          </w:p>
        </w:tc>
      </w:tr>
      <w:tr>
        <w:trPr>
          <w:tblHeader w:val="true"/>
          <w:trHeight w:val="454" w:hRule="atLeast"/>
        </w:trPr>
        <w:tc>
          <w:tcPr>
            <w:tcW w:w="17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68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68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c>
          <w:tcPr>
            <w:tcW w:w="190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68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坏账准备</w:t>
            </w:r>
          </w:p>
        </w:tc>
      </w:tr>
      <w:tr>
        <w:trPr>
          <w:tblHeader w:val="true"/>
          <w:trHeight w:val="454" w:hRule="atLeast"/>
        </w:trPr>
        <w:tc>
          <w:tcPr>
            <w:tcW w:w="17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6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6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金额</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b/>
                <w:color w:val="000000"/>
                <w:szCs w:val="21"/>
              </w:rPr>
            </w:pPr>
            <w:r>
              <w:rPr>
                <w:b/>
                <w:color w:val="000000"/>
                <w:kern w:val="0"/>
                <w:szCs w:val="21"/>
              </w:rPr>
              <w:t>比例</w:t>
            </w:r>
          </w:p>
        </w:tc>
        <w:tc>
          <w:tcPr>
            <w:tcW w:w="68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b/>
                <w:color w:val="000000"/>
                <w:szCs w:val="21"/>
              </w:rPr>
            </w:pPr>
            <w:r>
              <w:rPr>
                <w:b/>
                <w:color w:val="000000"/>
                <w:szCs w:val="21"/>
              </w:rPr>
            </w:r>
          </w:p>
        </w:tc>
      </w:tr>
      <w:tr>
        <w:trPr>
          <w:trHeight w:val="454" w:hRule="atLeast"/>
        </w:trPr>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1</w:t>
            </w:r>
            <w:r>
              <w:rPr>
                <w:color w:val="000000"/>
                <w:kern w:val="0"/>
                <w:szCs w:val="21"/>
              </w:rPr>
              <w:t>年以内</w:t>
            </w:r>
            <w:r>
              <w:rPr>
                <w:color w:val="000000"/>
                <w:kern w:val="0"/>
                <w:szCs w:val="21"/>
              </w:rPr>
              <w:t>(</w:t>
            </w:r>
            <w:r>
              <w:rPr>
                <w:color w:val="000000"/>
                <w:kern w:val="0"/>
                <w:szCs w:val="21"/>
              </w:rPr>
              <w:t>含</w:t>
            </w:r>
            <w:r>
              <w:rPr>
                <w:color w:val="000000"/>
                <w:kern w:val="0"/>
                <w:szCs w:val="21"/>
              </w:rPr>
              <w:t>1</w:t>
            </w:r>
            <w:r>
              <w:rPr>
                <w:color w:val="000000"/>
                <w:kern w:val="0"/>
                <w:szCs w:val="21"/>
              </w:rPr>
              <w:t>年</w:t>
            </w:r>
            <w:r>
              <w:rPr>
                <w:color w:val="000000"/>
                <w:kern w:val="0"/>
                <w:szCs w:val="21"/>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6,520.16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color w:val="000000"/>
                <w:kern w:val="0"/>
                <w:szCs w:val="21"/>
                <w:lang w:bidi="ar"/>
              </w:rPr>
              <w:t>59.68</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pPr>
            <w:r>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15,008.04</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65.51</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 xml:space="preserve">13,969.49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rPr>
              <w:t xml:space="preserve"> </w:t>
            </w:r>
            <w:r>
              <w:rPr/>
              <w:t xml:space="preserve">74.05 </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rPr>
              <w:t>-</w:t>
            </w:r>
          </w:p>
        </w:tc>
      </w:tr>
      <w:tr>
        <w:trPr>
          <w:trHeight w:val="454" w:hRule="atLeast"/>
        </w:trPr>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1-2</w:t>
            </w:r>
            <w:r>
              <w:rPr>
                <w:color w:val="000000"/>
                <w:kern w:val="0"/>
                <w:szCs w:val="21"/>
              </w:rPr>
              <w:t>年</w:t>
            </w:r>
            <w:r>
              <w:rPr>
                <w:rFonts w:eastAsia="Times New Roman"/>
                <w:color w:val="000000"/>
                <w:kern w:val="0"/>
                <w:szCs w:val="21"/>
              </w:rPr>
              <w:t xml:space="preserve"> </w:t>
            </w:r>
            <w:r>
              <w:rPr>
                <w:color w:val="000000"/>
                <w:kern w:val="0"/>
                <w:szCs w:val="21"/>
              </w:rPr>
              <w:t>(</w:t>
            </w:r>
            <w:r>
              <w:rPr>
                <w:color w:val="000000"/>
                <w:kern w:val="0"/>
                <w:szCs w:val="21"/>
              </w:rPr>
              <w:t>含</w:t>
            </w:r>
            <w:r>
              <w:rPr>
                <w:color w:val="000000"/>
                <w:kern w:val="0"/>
                <w:szCs w:val="21"/>
              </w:rPr>
              <w:t>2</w:t>
            </w:r>
            <w:r>
              <w:rPr>
                <w:color w:val="000000"/>
                <w:kern w:val="0"/>
                <w:szCs w:val="21"/>
              </w:rPr>
              <w:t>年</w:t>
            </w:r>
            <w:r>
              <w:rPr>
                <w:color w:val="000000"/>
                <w:kern w:val="0"/>
                <w:szCs w:val="21"/>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1,261.74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color w:val="000000"/>
                <w:kern w:val="0"/>
                <w:szCs w:val="21"/>
                <w:lang w:bidi="ar"/>
              </w:rPr>
              <w:t>11.55</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pPr>
            <w:r>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3,884.23</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16.95</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 xml:space="preserve">421.88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rPr>
              <w:t xml:space="preserve"> </w:t>
            </w:r>
            <w:r>
              <w:rPr/>
              <w:t xml:space="preserve">2.24 </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rPr>
              <w:t>-</w:t>
            </w:r>
          </w:p>
        </w:tc>
      </w:tr>
      <w:tr>
        <w:trPr>
          <w:trHeight w:val="454" w:hRule="atLeast"/>
        </w:trPr>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2-3</w:t>
            </w:r>
            <w:r>
              <w:rPr>
                <w:color w:val="000000"/>
                <w:kern w:val="0"/>
                <w:szCs w:val="21"/>
              </w:rPr>
              <w:t>年</w:t>
            </w:r>
            <w:r>
              <w:rPr>
                <w:rFonts w:eastAsia="Times New Roman"/>
                <w:color w:val="000000"/>
                <w:kern w:val="0"/>
                <w:szCs w:val="21"/>
              </w:rPr>
              <w:t xml:space="preserve"> </w:t>
            </w:r>
            <w:r>
              <w:rPr>
                <w:color w:val="000000"/>
                <w:kern w:val="0"/>
                <w:szCs w:val="21"/>
              </w:rPr>
              <w:t>(</w:t>
            </w:r>
            <w:r>
              <w:rPr>
                <w:color w:val="000000"/>
                <w:kern w:val="0"/>
                <w:szCs w:val="21"/>
              </w:rPr>
              <w:t>含</w:t>
            </w:r>
            <w:r>
              <w:rPr>
                <w:color w:val="000000"/>
                <w:kern w:val="0"/>
                <w:szCs w:val="21"/>
              </w:rPr>
              <w:t>3</w:t>
            </w:r>
            <w:r>
              <w:rPr>
                <w:color w:val="000000"/>
                <w:kern w:val="0"/>
                <w:szCs w:val="21"/>
              </w:rPr>
              <w:t>年</w:t>
            </w:r>
            <w:r>
              <w:rPr>
                <w:color w:val="000000"/>
                <w:kern w:val="0"/>
                <w:szCs w:val="21"/>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958.11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color w:val="000000"/>
                <w:kern w:val="0"/>
                <w:szCs w:val="21"/>
                <w:lang w:bidi="ar"/>
              </w:rPr>
              <w:t>8</w:t>
            </w:r>
            <w:r>
              <w:rPr>
                <w:color w:val="000000"/>
                <w:kern w:val="0"/>
              </w:rPr>
              <w:t>.77</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pPr>
            <w:r>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406.07</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1.77</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 xml:space="preserve">1,347.26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rPr>
              <w:t xml:space="preserve"> </w:t>
            </w:r>
            <w:r>
              <w:rPr/>
              <w:t xml:space="preserve">7.14 </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rPr>
              <w:t>-</w:t>
            </w:r>
          </w:p>
        </w:tc>
      </w:tr>
      <w:tr>
        <w:trPr>
          <w:trHeight w:val="454" w:hRule="atLeast"/>
        </w:trPr>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rPr>
              <w:t>3</w:t>
            </w:r>
            <w:r>
              <w:rPr>
                <w:color w:val="000000"/>
                <w:kern w:val="0"/>
                <w:szCs w:val="21"/>
              </w:rPr>
              <w:t>年以上</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rFonts w:eastAsia="Times New Roman"/>
                <w:color w:val="000000"/>
                <w:kern w:val="0"/>
                <w:szCs w:val="21"/>
                <w:lang w:bidi="ar"/>
              </w:rPr>
              <w:t xml:space="preserve"> </w:t>
            </w:r>
            <w:r>
              <w:rPr>
                <w:color w:val="000000"/>
                <w:kern w:val="0"/>
                <w:szCs w:val="21"/>
                <w:lang w:bidi="ar"/>
              </w:rPr>
              <w:t xml:space="preserve">2,185.78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szCs w:val="21"/>
              </w:rPr>
            </w:pPr>
            <w:r>
              <w:rPr>
                <w:color w:val="000000"/>
                <w:kern w:val="0"/>
                <w:szCs w:val="21"/>
                <w:lang w:bidi="ar"/>
              </w:rPr>
              <w:t>20.01</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pPr>
            <w:r>
              <w:rPr/>
              <w:t>51.30</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3,613.87</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15.77</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51.30</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 xml:space="preserve">3,127.27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 xml:space="preserve">16.58 </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t xml:space="preserve">51.30 </w:t>
            </w:r>
          </w:p>
        </w:tc>
      </w:tr>
      <w:tr>
        <w:trPr>
          <w:trHeight w:val="454" w:hRule="atLeast"/>
        </w:trPr>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合计</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szCs w:val="21"/>
              </w:rPr>
            </w:pPr>
            <w:r>
              <w:rPr>
                <w:b/>
                <w:bCs/>
                <w:color w:val="000000"/>
                <w:kern w:val="0"/>
                <w:szCs w:val="21"/>
                <w:lang w:bidi="ar"/>
              </w:rPr>
              <w:t xml:space="preserve">10,925.80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szCs w:val="21"/>
              </w:rPr>
            </w:pPr>
            <w:r>
              <w:rPr>
                <w:b/>
                <w:color w:val="000000"/>
                <w:kern w:val="0"/>
              </w:rPr>
              <w:t>100.00</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rPr>
            </w:pPr>
            <w:r>
              <w:rPr>
                <w:b/>
                <w:bCs/>
              </w:rPr>
              <w:t>51.30</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szCs w:val="21"/>
              </w:rPr>
            </w:pPr>
            <w:r>
              <w:rPr>
                <w:b/>
                <w:bCs/>
              </w:rPr>
              <w:t>22,912.20</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szCs w:val="21"/>
              </w:rPr>
            </w:pPr>
            <w:r>
              <w:rPr>
                <w:b/>
                <w:bCs/>
              </w:rPr>
              <w:t>100.00</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szCs w:val="21"/>
              </w:rPr>
            </w:pPr>
            <w:r>
              <w:rPr>
                <w:b/>
                <w:bCs/>
              </w:rPr>
              <w:t>51.30</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szCs w:val="21"/>
              </w:rPr>
            </w:pPr>
            <w:r>
              <w:rPr>
                <w:b/>
                <w:bCs/>
              </w:rPr>
              <w:t>18,865.90</w:t>
            </w:r>
            <w:r>
              <w:rPr>
                <w:b/>
              </w:rPr>
              <w:t xml:space="preserve"> </w:t>
            </w:r>
          </w:p>
        </w:tc>
        <w:tc>
          <w:tcPr>
            <w:tcW w:w="84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szCs w:val="21"/>
              </w:rPr>
            </w:pPr>
            <w:r>
              <w:rPr>
                <w:b/>
                <w:bCs/>
              </w:rPr>
              <w:t>100.00</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szCs w:val="21"/>
              </w:rPr>
            </w:pPr>
            <w:r>
              <w:rPr>
                <w:b/>
                <w:bCs/>
              </w:rPr>
              <w:t>51.30</w:t>
            </w:r>
            <w:r>
              <w:rPr>
                <w:b/>
              </w:rPr>
              <w:t xml:space="preserve"> </w:t>
            </w:r>
          </w:p>
        </w:tc>
      </w:tr>
    </w:tbl>
    <w:p>
      <w:pPr>
        <w:pStyle w:val="Normal"/>
        <w:autoSpaceDE w:val="false"/>
        <w:spacing w:lineRule="auto" w:line="360" w:before="156" w:after="0"/>
        <w:jc w:val="center"/>
        <w:rPr>
          <w:b/>
          <w:color w:val="000000"/>
          <w:kern w:val="0"/>
          <w:sz w:val="24"/>
          <w:szCs w:val="21"/>
        </w:rPr>
      </w:pPr>
      <w:r>
        <w:rPr>
          <w:b/>
          <w:color w:val="000000"/>
          <w:kern w:val="0"/>
          <w:sz w:val="24"/>
          <w:szCs w:val="21"/>
        </w:rPr>
        <w:t>2024</w:t>
      </w:r>
      <w:r>
        <w:rPr>
          <w:b/>
          <w:color w:val="000000"/>
          <w:kern w:val="0"/>
          <w:sz w:val="24"/>
          <w:szCs w:val="21"/>
        </w:rPr>
        <w:t>年末公司预付款项的前五名情况</w:t>
      </w:r>
    </w:p>
    <w:p>
      <w:pPr>
        <w:pStyle w:val="Normal"/>
        <w:jc w:val="right"/>
        <w:rPr/>
      </w:pPr>
      <w:r>
        <w:rPr/>
        <w:t>单位：万元，</w:t>
      </w:r>
      <w:r>
        <w:rPr/>
        <w:t>%</w:t>
      </w:r>
    </w:p>
    <w:tbl>
      <w:tblPr>
        <w:tblW w:w="5200" w:type="pct"/>
        <w:jc w:val="center"/>
        <w:tblInd w:w="0" w:type="dxa"/>
        <w:tblLayout w:type="fixed"/>
        <w:tblCellMar>
          <w:top w:w="0" w:type="dxa"/>
          <w:left w:w="108" w:type="dxa"/>
          <w:bottom w:w="0" w:type="dxa"/>
          <w:right w:w="108" w:type="dxa"/>
        </w:tblCellMar>
      </w:tblPr>
      <w:tblGrid>
        <w:gridCol w:w="4675"/>
        <w:gridCol w:w="1275"/>
        <w:gridCol w:w="1100"/>
        <w:gridCol w:w="1588"/>
      </w:tblGrid>
      <w:tr>
        <w:trPr>
          <w:tblHeader w:val="true"/>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债务人名称</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账面余额</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比例</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szCs w:val="21"/>
              </w:rPr>
            </w:pPr>
            <w:r>
              <w:rPr>
                <w:b/>
                <w:color w:val="000000"/>
                <w:kern w:val="0"/>
                <w:szCs w:val="21"/>
              </w:rPr>
              <w:t>款项性质</w:t>
            </w:r>
          </w:p>
        </w:tc>
      </w:tr>
      <w:tr>
        <w:trPr>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上海威派格智慧水务股份有限公司</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rPr>
              <w:t xml:space="preserve"> </w:t>
            </w:r>
            <w:r>
              <w:rPr>
                <w:color w:val="000000"/>
                <w:kern w:val="0"/>
                <w:szCs w:val="21"/>
              </w:rPr>
              <w:t xml:space="preserve">507.43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rPr>
              <w:t>4.64</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szCs w:val="21"/>
              </w:rPr>
            </w:pPr>
            <w:r>
              <w:rPr>
                <w:color w:val="000000"/>
                <w:kern w:val="0"/>
                <w:szCs w:val="21"/>
                <w:lang w:bidi="ar"/>
              </w:rPr>
              <w:t>工程款</w:t>
            </w:r>
          </w:p>
        </w:tc>
      </w:tr>
      <w:tr>
        <w:trPr>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滨州水利发展有限公司</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rPr>
              <w:t xml:space="preserve"> </w:t>
            </w:r>
            <w:r>
              <w:rPr>
                <w:color w:val="000000"/>
                <w:kern w:val="0"/>
                <w:szCs w:val="21"/>
              </w:rPr>
              <w:t xml:space="preserve">396.82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rPr>
              <w:t>3.63</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szCs w:val="21"/>
              </w:rPr>
            </w:pPr>
            <w:r>
              <w:rPr>
                <w:color w:val="000000"/>
                <w:kern w:val="0"/>
                <w:szCs w:val="21"/>
                <w:lang w:bidi="ar"/>
              </w:rPr>
              <w:t>原水费</w:t>
            </w:r>
          </w:p>
        </w:tc>
      </w:tr>
      <w:tr>
        <w:trPr>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rPr>
              <w:t>栖霞市财政局</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rPr>
              <w:t xml:space="preserve"> </w:t>
            </w:r>
            <w:r>
              <w:rPr>
                <w:color w:val="000000"/>
                <w:kern w:val="0"/>
                <w:szCs w:val="21"/>
              </w:rPr>
              <w:t xml:space="preserve">684.12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rPr>
              <w:t>6.26</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szCs w:val="21"/>
              </w:rPr>
            </w:pPr>
            <w:r>
              <w:rPr>
                <w:color w:val="000000"/>
                <w:kern w:val="0"/>
                <w:szCs w:val="21"/>
                <w:lang w:bidi="ar"/>
              </w:rPr>
              <w:t>原水费</w:t>
            </w:r>
          </w:p>
        </w:tc>
      </w:tr>
      <w:tr>
        <w:trPr>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烟台鸣海市政工程有限公司</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rPr>
              <w:t xml:space="preserve"> </w:t>
            </w:r>
            <w:r>
              <w:rPr>
                <w:color w:val="000000"/>
                <w:kern w:val="0"/>
                <w:szCs w:val="21"/>
              </w:rPr>
              <w:t xml:space="preserve">446.63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rPr>
              <w:t>4.09</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szCs w:val="21"/>
              </w:rPr>
            </w:pPr>
            <w:r>
              <w:rPr>
                <w:color w:val="000000"/>
                <w:kern w:val="0"/>
                <w:szCs w:val="21"/>
                <w:lang w:bidi="ar"/>
              </w:rPr>
              <w:t>工程款</w:t>
            </w:r>
          </w:p>
        </w:tc>
      </w:tr>
      <w:tr>
        <w:trPr>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szCs w:val="21"/>
              </w:rPr>
            </w:pPr>
            <w:r>
              <w:rPr>
                <w:color w:val="000000"/>
                <w:kern w:val="0"/>
                <w:szCs w:val="21"/>
                <w:lang w:bidi="ar"/>
              </w:rPr>
              <w:t>潍坊水务投资集团</w:t>
            </w:r>
            <w:r>
              <w:rPr>
                <w:color w:val="000000"/>
                <w:kern w:val="0"/>
              </w:rPr>
              <w:t>有限公司</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rPr>
              <w:t xml:space="preserve"> </w:t>
            </w:r>
            <w:r>
              <w:rPr>
                <w:color w:val="000000"/>
                <w:kern w:val="0"/>
                <w:szCs w:val="21"/>
              </w:rPr>
              <w:t xml:space="preserve">405.69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rPr>
              <w:t>3.71</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szCs w:val="21"/>
              </w:rPr>
            </w:pPr>
            <w:r>
              <w:rPr>
                <w:color w:val="000000"/>
                <w:kern w:val="0"/>
                <w:szCs w:val="21"/>
                <w:lang w:bidi="ar"/>
              </w:rPr>
              <w:t>原水费</w:t>
            </w:r>
          </w:p>
        </w:tc>
      </w:tr>
      <w:tr>
        <w:trPr>
          <w:trHeight w:val="454" w:hRule="atLeast"/>
        </w:trPr>
        <w:tc>
          <w:tcPr>
            <w:tcW w:w="46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bCs/>
                <w:color w:val="000000"/>
                <w:szCs w:val="21"/>
              </w:rPr>
            </w:pPr>
            <w:r>
              <w:rPr>
                <w:b/>
                <w:color w:val="000000"/>
                <w:kern w:val="0"/>
              </w:rPr>
              <w:t>合计</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2,440.69 </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22.33</w:t>
            </w:r>
          </w:p>
        </w:tc>
        <w:tc>
          <w:tcPr>
            <w:tcW w:w="158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color w:val="000000"/>
                <w:szCs w:val="21"/>
              </w:rPr>
            </w:pPr>
            <w:r>
              <w:rPr>
                <w:b/>
                <w:bCs/>
                <w:color w:val="000000"/>
                <w:szCs w:val="21"/>
              </w:rPr>
              <w:t>-</w:t>
            </w:r>
          </w:p>
        </w:tc>
      </w:tr>
    </w:tbl>
    <w:p>
      <w:pPr>
        <w:pStyle w:val="Normal"/>
        <w:snapToGrid w:val="false"/>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w:t>
      </w:r>
      <w:r>
        <w:rPr>
          <w:rFonts w:cs="宋体;汉仪书宋二KW" w:ascii="宋体;汉仪书宋二KW" w:hAnsi="宋体;汉仪书宋二KW"/>
          <w:color w:val="000000"/>
          <w:szCs w:val="21"/>
        </w:rPr>
        <w:t>8</w:t>
      </w:r>
      <w:r>
        <w:rPr>
          <w:rFonts w:ascii="宋体;汉仪书宋二KW" w:hAnsi="宋体;汉仪书宋二KW" w:cs="宋体;汉仪书宋二KW"/>
          <w:color w:val="000000"/>
          <w:szCs w:val="21"/>
        </w:rPr>
        <w:t>）其他应付款：账龄、构成分析，前五大收款方及形成原因；</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公司的其他应付款主要由保证金及押金、往来款、预提费用、代收代付款以及借款等项目构成，工程质量保证金，非金融机构借款和代收款按准则规定计入其他应付款科目核算。</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年末，公司其他应付款余额较</w:t>
      </w:r>
      <w:r>
        <w:rPr>
          <w:rFonts w:eastAsia="宋体;汉仪书宋二KW" w:cs="Times New Roman" w:ascii="宋体;汉仪书宋二KW" w:hAnsi="宋体;汉仪书宋二KW"/>
          <w:color w:val="000000"/>
          <w:szCs w:val="21"/>
        </w:rPr>
        <w:t>2022</w:t>
      </w:r>
      <w:r>
        <w:rPr>
          <w:rFonts w:ascii="宋体;汉仪书宋二KW" w:hAnsi="宋体;汉仪书宋二KW" w:cs="Times New Roman" w:eastAsia="宋体;汉仪书宋二KW"/>
          <w:color w:val="000000"/>
          <w:szCs w:val="21"/>
        </w:rPr>
        <w:t>年末增加</w:t>
      </w:r>
      <w:r>
        <w:rPr>
          <w:rFonts w:eastAsia="宋体;汉仪书宋二KW" w:cs="Times New Roman" w:ascii="宋体;汉仪书宋二KW" w:hAnsi="宋体;汉仪书宋二KW"/>
          <w:color w:val="000000"/>
          <w:szCs w:val="21"/>
        </w:rPr>
        <w:t>19,924.80</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23.22%</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年末，公司其他应付款较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年末增加</w:t>
      </w:r>
      <w:r>
        <w:rPr>
          <w:rFonts w:eastAsia="宋体;汉仪书宋二KW" w:cs="Times New Roman" w:ascii="宋体;汉仪书宋二KW" w:hAnsi="宋体;汉仪书宋二KW"/>
          <w:color w:val="000000"/>
          <w:szCs w:val="21"/>
        </w:rPr>
        <w:t>1,935.21</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1.83%</w:t>
      </w:r>
      <w:r>
        <w:rPr>
          <w:rFonts w:ascii="宋体;汉仪书宋二KW" w:hAnsi="宋体;汉仪书宋二KW" w:cs="Times New Roman" w:eastAsia="宋体;汉仪书宋二KW"/>
          <w:color w:val="000000"/>
          <w:szCs w:val="21"/>
        </w:rPr>
        <w:t>，主要系代收代扣款和保证金及押金增加所致。</w:t>
      </w:r>
      <w:r>
        <w:rPr>
          <w:rFonts w:eastAsia="宋体;汉仪书宋二KW" w:cs="Times New Roman" w:ascii="宋体;汉仪书宋二KW" w:hAnsi="宋体;汉仪书宋二KW"/>
          <w:color w:val="000000"/>
          <w:szCs w:val="21"/>
        </w:rPr>
        <w:t>2025</w:t>
      </w:r>
      <w:r>
        <w:rPr>
          <w:rFonts w:ascii="宋体;汉仪书宋二KW" w:hAnsi="宋体;汉仪书宋二KW" w:cs="Times New Roman" w:eastAsia="宋体;汉仪书宋二KW"/>
          <w:color w:val="000000"/>
          <w:szCs w:val="21"/>
        </w:rPr>
        <w:t>年</w:t>
      </w:r>
      <w:r>
        <w:rPr>
          <w:rFonts w:eastAsia="宋体;汉仪书宋二KW" w:cs="Times New Roman" w:ascii="宋体;汉仪书宋二KW" w:hAnsi="宋体;汉仪书宋二KW"/>
          <w:color w:val="000000"/>
          <w:szCs w:val="21"/>
        </w:rPr>
        <w:t>3</w:t>
      </w:r>
      <w:r>
        <w:rPr>
          <w:rFonts w:ascii="宋体;汉仪书宋二KW" w:hAnsi="宋体;汉仪书宋二KW" w:cs="Times New Roman" w:eastAsia="宋体;汉仪书宋二KW"/>
          <w:color w:val="000000"/>
          <w:szCs w:val="21"/>
        </w:rPr>
        <w:t>月末，公司其他应付款余额较</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年末增加</w:t>
      </w:r>
      <w:r>
        <w:rPr>
          <w:rFonts w:eastAsia="宋体;汉仪书宋二KW" w:cs="Times New Roman" w:ascii="宋体;汉仪书宋二KW" w:hAnsi="宋体;汉仪书宋二KW"/>
          <w:color w:val="000000"/>
          <w:szCs w:val="21"/>
        </w:rPr>
        <w:t>20,179.32</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18.74%</w:t>
      </w:r>
      <w:r>
        <w:rPr>
          <w:rFonts w:ascii="宋体;汉仪书宋二KW" w:hAnsi="宋体;汉仪书宋二KW" w:cs="Times New Roman" w:eastAsia="宋体;汉仪书宋二KW"/>
          <w:color w:val="000000"/>
          <w:szCs w:val="21"/>
        </w:rPr>
        <w:t>。</w:t>
      </w:r>
    </w:p>
    <w:p>
      <w:pPr>
        <w:pStyle w:val="Normal"/>
        <w:autoSpaceDE w:val="false"/>
        <w:spacing w:lineRule="auto" w:line="360"/>
        <w:jc w:val="center"/>
        <w:rPr>
          <w:b/>
          <w:color w:val="000000"/>
          <w:kern w:val="0"/>
          <w:sz w:val="24"/>
          <w:szCs w:val="21"/>
        </w:rPr>
      </w:pPr>
      <w:r>
        <w:rPr>
          <w:b/>
          <w:color w:val="000000"/>
          <w:kern w:val="0"/>
          <w:sz w:val="24"/>
          <w:szCs w:val="21"/>
        </w:rPr>
        <w:t>2024</w:t>
      </w:r>
      <w:r>
        <w:rPr>
          <w:b/>
          <w:color w:val="000000"/>
          <w:kern w:val="0"/>
          <w:sz w:val="24"/>
          <w:szCs w:val="21"/>
        </w:rPr>
        <w:t>年末公司其他应付款项的账龄结构情况</w:t>
      </w:r>
    </w:p>
    <w:p>
      <w:pPr>
        <w:pStyle w:val="Normal"/>
        <w:jc w:val="right"/>
        <w:rPr/>
      </w:pPr>
      <w:r>
        <w:rPr/>
        <w:t>单位：万元、</w:t>
      </w:r>
      <w:r>
        <w:rPr/>
        <w:t>%</w:t>
      </w:r>
    </w:p>
    <w:tbl>
      <w:tblPr>
        <w:tblW w:w="8366" w:type="dxa"/>
        <w:jc w:val="center"/>
        <w:tblInd w:w="0" w:type="dxa"/>
        <w:tblLayout w:type="fixed"/>
        <w:tblCellMar>
          <w:top w:w="0" w:type="dxa"/>
          <w:left w:w="108" w:type="dxa"/>
          <w:bottom w:w="0" w:type="dxa"/>
          <w:right w:w="108" w:type="dxa"/>
        </w:tblCellMar>
      </w:tblPr>
      <w:tblGrid>
        <w:gridCol w:w="3395"/>
        <w:gridCol w:w="2885"/>
        <w:gridCol w:w="2086"/>
      </w:tblGrid>
      <w:tr>
        <w:trPr>
          <w:trHeight w:val="454" w:hRule="atLeast"/>
        </w:trPr>
        <w:tc>
          <w:tcPr>
            <w:tcW w:w="339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账龄</w:t>
            </w:r>
          </w:p>
        </w:tc>
        <w:tc>
          <w:tcPr>
            <w:tcW w:w="4971"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color w:val="000000"/>
                <w:kern w:val="0"/>
                <w:szCs w:val="21"/>
              </w:rPr>
            </w:pPr>
            <w:r>
              <w:rPr>
                <w:b/>
                <w:color w:val="000000"/>
                <w:kern w:val="0"/>
                <w:szCs w:val="21"/>
              </w:rPr>
              <w:t>2024</w:t>
            </w:r>
            <w:r>
              <w:rPr>
                <w:b/>
                <w:color w:val="000000"/>
                <w:kern w:val="0"/>
                <w:szCs w:val="21"/>
              </w:rPr>
              <w:t>年末</w:t>
            </w:r>
          </w:p>
        </w:tc>
      </w:tr>
      <w:tr>
        <w:trPr>
          <w:trHeight w:val="454" w:hRule="atLeast"/>
        </w:trPr>
        <w:tc>
          <w:tcPr>
            <w:tcW w:w="339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b/>
                <w:color w:val="000000"/>
                <w:kern w:val="0"/>
                <w:szCs w:val="21"/>
              </w:rPr>
            </w:pPr>
            <w:r>
              <w:rPr>
                <w:b/>
                <w:color w:val="000000"/>
                <w:kern w:val="0"/>
                <w:szCs w:val="21"/>
              </w:rPr>
            </w:r>
          </w:p>
        </w:tc>
        <w:tc>
          <w:tcPr>
            <w:tcW w:w="288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金额</w:t>
            </w:r>
          </w:p>
        </w:tc>
        <w:tc>
          <w:tcPr>
            <w:tcW w:w="20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比例</w:t>
            </w:r>
          </w:p>
        </w:tc>
      </w:tr>
      <w:tr>
        <w:trPr>
          <w:trHeight w:val="454" w:hRule="atLeast"/>
        </w:trPr>
        <w:tc>
          <w:tcPr>
            <w:tcW w:w="33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bottom"/>
              <w:rPr>
                <w:color w:val="000000"/>
                <w:kern w:val="0"/>
                <w:highlight w:val="yellow"/>
              </w:rPr>
            </w:pPr>
            <w:r>
              <w:rPr>
                <w:color w:val="000000"/>
                <w:kern w:val="0"/>
                <w:szCs w:val="21"/>
                <w:lang w:bidi="ar"/>
              </w:rPr>
              <w:t>1</w:t>
            </w:r>
            <w:r>
              <w:rPr>
                <w:color w:val="000000"/>
                <w:kern w:val="0"/>
                <w:szCs w:val="21"/>
                <w:lang w:bidi="ar"/>
              </w:rPr>
              <w:t>年以内（含</w:t>
            </w:r>
            <w:r>
              <w:rPr>
                <w:color w:val="000000"/>
                <w:kern w:val="0"/>
                <w:szCs w:val="21"/>
                <w:lang w:bidi="ar"/>
              </w:rPr>
              <w:t>1</w:t>
            </w:r>
            <w:r>
              <w:rPr>
                <w:color w:val="000000"/>
                <w:kern w:val="0"/>
                <w:szCs w:val="21"/>
                <w:lang w:bidi="ar"/>
              </w:rPr>
              <w:t>年）</w:t>
            </w:r>
          </w:p>
        </w:tc>
        <w:tc>
          <w:tcPr>
            <w:tcW w:w="288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rFonts w:eastAsia="Times New Roman"/>
                <w:color w:val="000000"/>
                <w:kern w:val="0"/>
                <w:szCs w:val="21"/>
                <w:lang w:bidi="ar"/>
              </w:rPr>
              <w:t xml:space="preserve"> </w:t>
            </w:r>
            <w:r>
              <w:rPr>
                <w:color w:val="000000"/>
                <w:kern w:val="0"/>
                <w:szCs w:val="21"/>
                <w:lang w:bidi="ar"/>
              </w:rPr>
              <w:t>54,352.51</w:t>
            </w:r>
            <w:r>
              <w:rPr>
                <w:color w:val="000000"/>
                <w:kern w:val="0"/>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color w:val="000000"/>
                <w:kern w:val="0"/>
                <w:szCs w:val="21"/>
                <w:lang w:bidi="ar"/>
              </w:rPr>
              <w:t>54.25</w:t>
            </w:r>
            <w:r>
              <w:rPr>
                <w:color w:val="000000"/>
                <w:kern w:val="0"/>
              </w:rPr>
              <w:t>%</w:t>
            </w:r>
          </w:p>
        </w:tc>
      </w:tr>
      <w:tr>
        <w:trPr>
          <w:trHeight w:val="454" w:hRule="atLeast"/>
        </w:trPr>
        <w:tc>
          <w:tcPr>
            <w:tcW w:w="33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bottom"/>
              <w:rPr>
                <w:color w:val="000000"/>
                <w:kern w:val="0"/>
                <w:highlight w:val="yellow"/>
              </w:rPr>
            </w:pPr>
            <w:r>
              <w:rPr>
                <w:color w:val="000000"/>
                <w:kern w:val="0"/>
                <w:szCs w:val="21"/>
                <w:lang w:bidi="ar"/>
              </w:rPr>
              <w:t>1-2</w:t>
            </w:r>
            <w:r>
              <w:rPr>
                <w:color w:val="000000"/>
                <w:kern w:val="0"/>
                <w:szCs w:val="21"/>
                <w:lang w:bidi="ar"/>
              </w:rPr>
              <w:t>年（含</w:t>
            </w:r>
            <w:r>
              <w:rPr>
                <w:color w:val="000000"/>
                <w:kern w:val="0"/>
                <w:szCs w:val="21"/>
                <w:lang w:bidi="ar"/>
              </w:rPr>
              <w:t>2</w:t>
            </w:r>
            <w:r>
              <w:rPr>
                <w:color w:val="000000"/>
                <w:kern w:val="0"/>
                <w:szCs w:val="21"/>
                <w:lang w:bidi="ar"/>
              </w:rPr>
              <w:t>年）</w:t>
            </w:r>
          </w:p>
        </w:tc>
        <w:tc>
          <w:tcPr>
            <w:tcW w:w="288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rFonts w:eastAsia="Times New Roman"/>
                <w:color w:val="000000"/>
                <w:kern w:val="0"/>
                <w:szCs w:val="21"/>
                <w:lang w:bidi="ar"/>
              </w:rPr>
              <w:t xml:space="preserve"> </w:t>
            </w:r>
            <w:r>
              <w:rPr>
                <w:color w:val="000000"/>
                <w:kern w:val="0"/>
                <w:szCs w:val="21"/>
                <w:lang w:bidi="ar"/>
              </w:rPr>
              <w:t>11,235</w:t>
            </w:r>
            <w:r>
              <w:rPr>
                <w:color w:val="000000"/>
                <w:kern w:val="0"/>
              </w:rPr>
              <w:t xml:space="preserve">.61 </w:t>
            </w:r>
          </w:p>
        </w:tc>
        <w:tc>
          <w:tcPr>
            <w:tcW w:w="20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color w:val="000000"/>
                <w:kern w:val="0"/>
                <w:szCs w:val="21"/>
                <w:lang w:bidi="ar"/>
              </w:rPr>
              <w:t>11.22</w:t>
            </w:r>
            <w:r>
              <w:rPr>
                <w:color w:val="000000"/>
                <w:kern w:val="0"/>
              </w:rPr>
              <w:t>%</w:t>
            </w:r>
          </w:p>
        </w:tc>
      </w:tr>
      <w:tr>
        <w:trPr>
          <w:trHeight w:val="454" w:hRule="atLeast"/>
        </w:trPr>
        <w:tc>
          <w:tcPr>
            <w:tcW w:w="33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bottom"/>
              <w:rPr>
                <w:color w:val="000000"/>
                <w:kern w:val="0"/>
                <w:highlight w:val="yellow"/>
              </w:rPr>
            </w:pPr>
            <w:r>
              <w:rPr>
                <w:color w:val="000000"/>
                <w:kern w:val="0"/>
                <w:szCs w:val="21"/>
                <w:lang w:bidi="ar"/>
              </w:rPr>
              <w:t>2-3</w:t>
            </w:r>
            <w:r>
              <w:rPr>
                <w:color w:val="000000"/>
                <w:kern w:val="0"/>
                <w:szCs w:val="21"/>
                <w:lang w:bidi="ar"/>
              </w:rPr>
              <w:t>年（含</w:t>
            </w:r>
            <w:r>
              <w:rPr>
                <w:color w:val="000000"/>
                <w:kern w:val="0"/>
                <w:szCs w:val="21"/>
                <w:lang w:bidi="ar"/>
              </w:rPr>
              <w:t>3</w:t>
            </w:r>
            <w:r>
              <w:rPr>
                <w:color w:val="000000"/>
                <w:kern w:val="0"/>
                <w:szCs w:val="21"/>
                <w:lang w:bidi="ar"/>
              </w:rPr>
              <w:t>年）</w:t>
            </w:r>
          </w:p>
        </w:tc>
        <w:tc>
          <w:tcPr>
            <w:tcW w:w="288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rFonts w:eastAsia="Times New Roman"/>
                <w:color w:val="000000"/>
                <w:kern w:val="0"/>
                <w:szCs w:val="21"/>
                <w:lang w:bidi="ar"/>
              </w:rPr>
              <w:t xml:space="preserve"> </w:t>
            </w:r>
            <w:r>
              <w:rPr>
                <w:color w:val="000000"/>
                <w:kern w:val="0"/>
                <w:szCs w:val="21"/>
                <w:lang w:bidi="ar"/>
              </w:rPr>
              <w:t>5,876.00</w:t>
            </w:r>
            <w:r>
              <w:rPr>
                <w:color w:val="000000"/>
                <w:kern w:val="0"/>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color w:val="000000"/>
                <w:kern w:val="0"/>
                <w:szCs w:val="21"/>
                <w:lang w:bidi="ar"/>
              </w:rPr>
              <w:t>5.87</w:t>
            </w:r>
            <w:r>
              <w:rPr>
                <w:color w:val="000000"/>
                <w:kern w:val="0"/>
              </w:rPr>
              <w:t>%</w:t>
            </w:r>
          </w:p>
        </w:tc>
      </w:tr>
      <w:tr>
        <w:trPr>
          <w:trHeight w:val="454" w:hRule="atLeast"/>
        </w:trPr>
        <w:tc>
          <w:tcPr>
            <w:tcW w:w="33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bottom"/>
              <w:rPr>
                <w:color w:val="000000"/>
                <w:kern w:val="0"/>
                <w:highlight w:val="yellow"/>
              </w:rPr>
            </w:pPr>
            <w:r>
              <w:rPr>
                <w:color w:val="000000"/>
                <w:kern w:val="0"/>
                <w:szCs w:val="21"/>
                <w:lang w:bidi="ar"/>
              </w:rPr>
              <w:t>3</w:t>
            </w:r>
            <w:r>
              <w:rPr>
                <w:color w:val="000000"/>
                <w:kern w:val="0"/>
                <w:szCs w:val="21"/>
                <w:lang w:bidi="ar"/>
              </w:rPr>
              <w:t>年以上</w:t>
            </w:r>
          </w:p>
        </w:tc>
        <w:tc>
          <w:tcPr>
            <w:tcW w:w="288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rFonts w:eastAsia="Times New Roman"/>
                <w:color w:val="000000"/>
                <w:kern w:val="0"/>
                <w:szCs w:val="21"/>
                <w:lang w:bidi="ar"/>
              </w:rPr>
              <w:t xml:space="preserve"> </w:t>
            </w:r>
            <w:r>
              <w:rPr>
                <w:color w:val="000000"/>
                <w:kern w:val="0"/>
                <w:szCs w:val="21"/>
                <w:lang w:bidi="ar"/>
              </w:rPr>
              <w:t>28,716.40</w:t>
            </w:r>
            <w:r>
              <w:rPr>
                <w:color w:val="000000"/>
                <w:kern w:val="0"/>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highlight w:val="yellow"/>
              </w:rPr>
            </w:pPr>
            <w:r>
              <w:rPr>
                <w:color w:val="000000"/>
                <w:kern w:val="0"/>
                <w:szCs w:val="21"/>
                <w:lang w:bidi="ar"/>
              </w:rPr>
              <w:t>28.66</w:t>
            </w:r>
            <w:r>
              <w:rPr>
                <w:color w:val="000000"/>
                <w:kern w:val="0"/>
              </w:rPr>
              <w:t>%</w:t>
            </w:r>
          </w:p>
        </w:tc>
      </w:tr>
      <w:tr>
        <w:trPr>
          <w:trHeight w:val="454" w:hRule="atLeast"/>
        </w:trPr>
        <w:tc>
          <w:tcPr>
            <w:tcW w:w="339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textAlignment w:val="bottom"/>
              <w:rPr>
                <w:b/>
                <w:color w:val="000000"/>
                <w:kern w:val="0"/>
                <w:highlight w:val="yellow"/>
              </w:rPr>
            </w:pPr>
            <w:r>
              <w:rPr>
                <w:b/>
                <w:bCs/>
                <w:color w:val="000000"/>
                <w:kern w:val="0"/>
                <w:szCs w:val="21"/>
                <w:lang w:bidi="ar"/>
              </w:rPr>
              <w:t>合计</w:t>
            </w:r>
          </w:p>
        </w:tc>
        <w:tc>
          <w:tcPr>
            <w:tcW w:w="288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b/>
                <w:highlight w:val="yellow"/>
              </w:rPr>
            </w:pPr>
            <w:r>
              <w:rPr>
                <w:rFonts w:eastAsia="Times New Roman"/>
                <w:b/>
                <w:bCs/>
                <w:color w:val="000000"/>
                <w:kern w:val="0"/>
                <w:szCs w:val="21"/>
                <w:lang w:bidi="ar"/>
              </w:rPr>
              <w:t xml:space="preserve"> </w:t>
            </w:r>
            <w:r>
              <w:rPr>
                <w:b/>
                <w:bCs/>
                <w:color w:val="000000"/>
                <w:kern w:val="0"/>
                <w:szCs w:val="21"/>
                <w:lang w:bidi="ar"/>
              </w:rPr>
              <w:t>100,180.52</w:t>
            </w:r>
            <w:r>
              <w:rPr>
                <w:b/>
                <w:color w:val="000000"/>
                <w:kern w:val="0"/>
              </w:rPr>
              <w:t xml:space="preserve"> </w:t>
            </w:r>
          </w:p>
        </w:tc>
        <w:tc>
          <w:tcPr>
            <w:tcW w:w="20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b/>
                <w:highlight w:val="yellow"/>
              </w:rPr>
            </w:pPr>
            <w:r>
              <w:rPr>
                <w:b/>
                <w:color w:val="000000"/>
                <w:kern w:val="0"/>
              </w:rPr>
              <w:t>100.00%</w:t>
            </w:r>
          </w:p>
        </w:tc>
      </w:tr>
    </w:tbl>
    <w:p>
      <w:pPr>
        <w:pStyle w:val="Normal"/>
        <w:autoSpaceDE w:val="false"/>
        <w:spacing w:lineRule="auto" w:line="360"/>
        <w:jc w:val="center"/>
        <w:rPr>
          <w:b/>
          <w:color w:val="000000"/>
          <w:sz w:val="24"/>
          <w:lang w:val="zh-CN"/>
        </w:rPr>
      </w:pPr>
      <w:r>
        <w:rPr>
          <w:b/>
          <w:color w:val="000000"/>
          <w:kern w:val="0"/>
          <w:sz w:val="24"/>
          <w:szCs w:val="21"/>
        </w:rPr>
        <w:t>截至</w:t>
      </w:r>
      <w:r>
        <w:rPr>
          <w:b/>
          <w:color w:val="000000"/>
          <w:kern w:val="0"/>
          <w:sz w:val="24"/>
          <w:szCs w:val="21"/>
        </w:rPr>
        <w:t>2024</w:t>
      </w:r>
      <w:r>
        <w:rPr>
          <w:b/>
          <w:color w:val="000000"/>
          <w:kern w:val="0"/>
          <w:sz w:val="24"/>
          <w:szCs w:val="21"/>
        </w:rPr>
        <w:t>年末账龄超过</w:t>
      </w:r>
      <w:r>
        <w:rPr>
          <w:b/>
          <w:color w:val="000000"/>
          <w:kern w:val="0"/>
          <w:sz w:val="24"/>
          <w:szCs w:val="21"/>
        </w:rPr>
        <w:t>1</w:t>
      </w:r>
      <w:r>
        <w:rPr>
          <w:b/>
          <w:color w:val="000000"/>
          <w:kern w:val="0"/>
          <w:sz w:val="24"/>
          <w:szCs w:val="21"/>
        </w:rPr>
        <w:t>年的重要其他应付款项情况</w:t>
      </w:r>
    </w:p>
    <w:p>
      <w:pPr>
        <w:pStyle w:val="Normal"/>
        <w:jc w:val="right"/>
        <w:rPr/>
      </w:pPr>
      <w:r>
        <w:rPr/>
        <w:t>单位：万元</w:t>
      </w:r>
    </w:p>
    <w:tbl>
      <w:tblPr>
        <w:tblW w:w="4950" w:type="pct"/>
        <w:jc w:val="center"/>
        <w:tblInd w:w="0" w:type="dxa"/>
        <w:tblLayout w:type="fixed"/>
        <w:tblCellMar>
          <w:top w:w="0" w:type="dxa"/>
          <w:left w:w="108" w:type="dxa"/>
          <w:bottom w:w="0" w:type="dxa"/>
          <w:right w:w="108" w:type="dxa"/>
        </w:tblCellMar>
      </w:tblPr>
      <w:tblGrid>
        <w:gridCol w:w="3038"/>
        <w:gridCol w:w="1508"/>
        <w:gridCol w:w="1534"/>
        <w:gridCol w:w="2142"/>
      </w:tblGrid>
      <w:tr>
        <w:trPr>
          <w:tblHeader w:val="true"/>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单位名称</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账龄</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未偿还原因</w:t>
            </w:r>
          </w:p>
        </w:tc>
      </w:tr>
      <w:tr>
        <w:trPr>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highlight w:val="yellow"/>
                <w:lang w:bidi="ar"/>
              </w:rPr>
            </w:pPr>
            <w:r>
              <w:rPr>
                <w:color w:val="000000"/>
                <w:kern w:val="0"/>
                <w:szCs w:val="21"/>
                <w:lang w:bidi="ar"/>
              </w:rPr>
              <w:t>射阳县城乡建设局</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highlight w:val="yellow"/>
              </w:rPr>
            </w:pPr>
            <w:r>
              <w:rPr>
                <w:color w:val="000000"/>
                <w:kern w:val="0"/>
                <w:szCs w:val="21"/>
                <w:lang w:bidi="ar"/>
              </w:rPr>
              <w:t>2,599.00</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highlight w:val="yellow"/>
              </w:rPr>
            </w:pPr>
            <w:r>
              <w:rPr>
                <w:color w:val="000000"/>
                <w:kern w:val="0"/>
                <w:szCs w:val="21"/>
                <w:lang w:bidi="ar"/>
              </w:rPr>
              <w:t>1-2</w:t>
            </w:r>
            <w:r>
              <w:rPr>
                <w:color w:val="000000"/>
                <w:kern w:val="0"/>
                <w:szCs w:val="21"/>
                <w:lang w:bidi="ar"/>
              </w:rPr>
              <w:t>年</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highlight w:val="yellow"/>
              </w:rPr>
            </w:pPr>
            <w:r>
              <w:rPr>
                <w:color w:val="000000"/>
                <w:kern w:val="0"/>
                <w:szCs w:val="21"/>
                <w:lang w:bidi="ar"/>
              </w:rPr>
              <w:t>未结算</w:t>
            </w:r>
          </w:p>
        </w:tc>
      </w:tr>
      <w:tr>
        <w:trPr>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highlight w:val="yellow"/>
                <w:lang w:bidi="ar"/>
              </w:rPr>
            </w:pPr>
            <w:r>
              <w:rPr>
                <w:color w:val="000000"/>
                <w:kern w:val="0"/>
                <w:szCs w:val="21"/>
                <w:lang w:bidi="ar"/>
              </w:rPr>
              <w:t>射阳代收污水处理费</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highlight w:val="yellow"/>
              </w:rPr>
            </w:pPr>
            <w:r>
              <w:rPr>
                <w:color w:val="000000"/>
                <w:kern w:val="0"/>
                <w:szCs w:val="21"/>
                <w:lang w:bidi="ar"/>
              </w:rPr>
              <w:t>2,312.37</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highlight w:val="yellow"/>
              </w:rPr>
            </w:pPr>
            <w:r>
              <w:rPr>
                <w:color w:val="000000"/>
                <w:kern w:val="0"/>
                <w:szCs w:val="21"/>
                <w:lang w:bidi="ar"/>
              </w:rPr>
              <w:t>3</w:t>
            </w:r>
            <w:r>
              <w:rPr>
                <w:color w:val="000000"/>
                <w:kern w:val="0"/>
                <w:szCs w:val="21"/>
                <w:lang w:bidi="ar"/>
              </w:rPr>
              <w:t>年以上</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highlight w:val="yellow"/>
              </w:rPr>
            </w:pPr>
            <w:r>
              <w:rPr>
                <w:color w:val="000000"/>
                <w:kern w:val="0"/>
                <w:szCs w:val="21"/>
                <w:lang w:bidi="ar"/>
              </w:rPr>
              <w:t>未结算</w:t>
            </w:r>
          </w:p>
        </w:tc>
      </w:tr>
      <w:tr>
        <w:trPr>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highlight w:val="yellow"/>
              </w:rPr>
            </w:pPr>
            <w:r>
              <w:rPr>
                <w:color w:val="000000"/>
                <w:kern w:val="0"/>
              </w:rPr>
              <w:t>青岛市城阳区财政局</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1,942.00</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highlight w:val="yellow"/>
              </w:rPr>
            </w:pPr>
            <w:r>
              <w:rPr>
                <w:color w:val="000000"/>
                <w:kern w:val="0"/>
                <w:szCs w:val="21"/>
                <w:lang w:bidi="ar"/>
              </w:rPr>
              <w:t>1-2</w:t>
            </w:r>
            <w:r>
              <w:rPr>
                <w:color w:val="000000"/>
                <w:kern w:val="0"/>
                <w:szCs w:val="21"/>
                <w:lang w:bidi="ar"/>
              </w:rPr>
              <w:t>年</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highlight w:val="yellow"/>
              </w:rPr>
            </w:pPr>
            <w:r>
              <w:rPr>
                <w:color w:val="000000"/>
                <w:kern w:val="0"/>
              </w:rPr>
              <w:t>未结算</w:t>
            </w:r>
          </w:p>
        </w:tc>
      </w:tr>
      <w:tr>
        <w:trPr>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highlight w:val="yellow"/>
              </w:rPr>
            </w:pPr>
            <w:r>
              <w:rPr>
                <w:color w:val="000000"/>
                <w:kern w:val="0"/>
                <w:szCs w:val="21"/>
                <w:lang w:bidi="ar"/>
              </w:rPr>
              <w:t>滨州</w:t>
            </w:r>
            <w:r>
              <w:rPr>
                <w:color w:val="000000"/>
                <w:kern w:val="0"/>
              </w:rPr>
              <w:t>市</w:t>
            </w:r>
            <w:r>
              <w:rPr>
                <w:color w:val="000000"/>
                <w:kern w:val="0"/>
                <w:szCs w:val="21"/>
                <w:lang w:bidi="ar"/>
              </w:rPr>
              <w:t>财金投资集团有限公司</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highlight w:val="yellow"/>
              </w:rPr>
            </w:pPr>
            <w:r>
              <w:rPr>
                <w:color w:val="000000"/>
                <w:kern w:val="0"/>
                <w:szCs w:val="21"/>
                <w:lang w:bidi="ar"/>
              </w:rPr>
              <w:t>1,181.39</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highlight w:val="yellow"/>
              </w:rPr>
            </w:pPr>
            <w:r>
              <w:rPr>
                <w:color w:val="000000"/>
                <w:kern w:val="0"/>
                <w:szCs w:val="21"/>
                <w:lang w:bidi="ar"/>
              </w:rPr>
              <w:t>5</w:t>
            </w:r>
            <w:r>
              <w:rPr>
                <w:color w:val="000000"/>
                <w:kern w:val="0"/>
                <w:szCs w:val="21"/>
                <w:lang w:bidi="ar"/>
              </w:rPr>
              <w:t>年以上</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highlight w:val="yellow"/>
              </w:rPr>
            </w:pPr>
            <w:r>
              <w:rPr>
                <w:color w:val="000000"/>
                <w:kern w:val="0"/>
              </w:rPr>
              <w:t>未结算</w:t>
            </w:r>
          </w:p>
        </w:tc>
      </w:tr>
      <w:tr>
        <w:trPr>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rPr>
            </w:pPr>
            <w:r>
              <w:rPr>
                <w:color w:val="000000"/>
                <w:kern w:val="0"/>
                <w:szCs w:val="21"/>
                <w:lang w:bidi="ar"/>
              </w:rPr>
              <w:t>滨州市引黄灌溉服务中心</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lang w:bidi="ar"/>
              </w:rPr>
            </w:pPr>
            <w:r>
              <w:rPr>
                <w:color w:val="000000"/>
                <w:kern w:val="0"/>
                <w:szCs w:val="21"/>
                <w:lang w:bidi="ar"/>
              </w:rPr>
              <w:t>790.38</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lang w:bidi="ar"/>
              </w:rPr>
            </w:pPr>
            <w:r>
              <w:rPr>
                <w:color w:val="000000"/>
                <w:kern w:val="0"/>
                <w:szCs w:val="21"/>
                <w:lang w:bidi="ar"/>
              </w:rPr>
              <w:t>5</w:t>
            </w:r>
            <w:r>
              <w:rPr>
                <w:color w:val="000000"/>
                <w:kern w:val="0"/>
                <w:szCs w:val="21"/>
                <w:lang w:bidi="ar"/>
              </w:rPr>
              <w:t>年以上</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rPr>
            </w:pPr>
            <w:r>
              <w:rPr>
                <w:color w:val="000000"/>
                <w:kern w:val="0"/>
              </w:rPr>
              <w:t>未结算</w:t>
            </w:r>
          </w:p>
        </w:tc>
      </w:tr>
      <w:tr>
        <w:trPr>
          <w:trHeight w:val="454" w:hRule="atLeast"/>
        </w:trPr>
        <w:tc>
          <w:tcPr>
            <w:tcW w:w="30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b/>
                <w:bCs/>
                <w:color w:val="000000"/>
                <w:kern w:val="0"/>
                <w:szCs w:val="21"/>
              </w:rPr>
              <w:t>合计</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color w:val="000000"/>
              </w:rPr>
            </w:pPr>
            <w:r>
              <w:rPr>
                <w:b/>
                <w:bCs/>
                <w:color w:val="000000"/>
                <w:kern w:val="0"/>
                <w:szCs w:val="21"/>
                <w:lang w:bidi="ar"/>
              </w:rPr>
              <w:t>8,825.13</w:t>
            </w:r>
          </w:p>
        </w:tc>
        <w:tc>
          <w:tcPr>
            <w:tcW w:w="15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w:t>
            </w:r>
          </w:p>
        </w:tc>
        <w:tc>
          <w:tcPr>
            <w:tcW w:w="214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color w:val="000000"/>
                <w:kern w:val="0"/>
                <w:szCs w:val="21"/>
              </w:rPr>
            </w:pPr>
            <w:r>
              <w:rPr>
                <w:color w:val="000000"/>
                <w:kern w:val="0"/>
                <w:szCs w:val="21"/>
              </w:rPr>
              <w:t>-</w:t>
            </w:r>
          </w:p>
        </w:tc>
      </w:tr>
    </w:tbl>
    <w:p>
      <w:pPr>
        <w:pStyle w:val="Normal"/>
        <w:autoSpaceDE w:val="false"/>
        <w:spacing w:lineRule="auto" w:line="360"/>
        <w:jc w:val="center"/>
        <w:rPr>
          <w:b/>
          <w:color w:val="000000"/>
          <w:sz w:val="24"/>
          <w:lang w:val="zh-CN"/>
        </w:rPr>
      </w:pPr>
      <w:r>
        <w:rPr>
          <w:b/>
          <w:color w:val="000000"/>
          <w:kern w:val="0"/>
          <w:sz w:val="24"/>
          <w:szCs w:val="21"/>
        </w:rPr>
        <w:t>截至</w:t>
      </w:r>
      <w:r>
        <w:rPr>
          <w:b/>
          <w:color w:val="000000"/>
          <w:kern w:val="0"/>
          <w:sz w:val="24"/>
          <w:szCs w:val="21"/>
        </w:rPr>
        <w:t>2024</w:t>
      </w:r>
      <w:r>
        <w:rPr>
          <w:b/>
          <w:color w:val="000000"/>
          <w:kern w:val="0"/>
          <w:sz w:val="24"/>
          <w:szCs w:val="21"/>
        </w:rPr>
        <w:t>年末公司其他应付款项前五名明细情况</w:t>
      </w:r>
    </w:p>
    <w:p>
      <w:pPr>
        <w:pStyle w:val="Normal"/>
        <w:jc w:val="right"/>
        <w:rPr/>
      </w:pPr>
      <w:r>
        <w:rPr/>
        <w:t>单位：万元，</w:t>
      </w:r>
      <w:r>
        <w:rPr/>
        <w:t>%</w:t>
      </w:r>
    </w:p>
    <w:tbl>
      <w:tblPr>
        <w:tblW w:w="4950" w:type="pct"/>
        <w:jc w:val="center"/>
        <w:tblInd w:w="0" w:type="dxa"/>
        <w:tblLayout w:type="fixed"/>
        <w:tblCellMar>
          <w:top w:w="0" w:type="dxa"/>
          <w:left w:w="108" w:type="dxa"/>
          <w:bottom w:w="0" w:type="dxa"/>
          <w:right w:w="108" w:type="dxa"/>
        </w:tblCellMar>
      </w:tblPr>
      <w:tblGrid>
        <w:gridCol w:w="3430"/>
        <w:gridCol w:w="1434"/>
        <w:gridCol w:w="1637"/>
        <w:gridCol w:w="1721"/>
      </w:tblGrid>
      <w:tr>
        <w:trPr>
          <w:trHeight w:val="454" w:hRule="atLeast"/>
        </w:trPr>
        <w:tc>
          <w:tcPr>
            <w:tcW w:w="343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名称</w:t>
            </w:r>
          </w:p>
        </w:tc>
        <w:tc>
          <w:tcPr>
            <w:tcW w:w="143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金额</w:t>
            </w:r>
          </w:p>
        </w:tc>
        <w:tc>
          <w:tcPr>
            <w:tcW w:w="1637" w:type="dxa"/>
            <w:tcBorders>
              <w:top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占其他应付款项比例</w:t>
            </w:r>
          </w:p>
        </w:tc>
        <w:tc>
          <w:tcPr>
            <w:tcW w:w="172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color w:val="000000"/>
                <w:kern w:val="0"/>
                <w:szCs w:val="21"/>
              </w:rPr>
            </w:pPr>
            <w:r>
              <w:rPr>
                <w:b/>
                <w:color w:val="000000"/>
                <w:kern w:val="0"/>
                <w:szCs w:val="21"/>
              </w:rPr>
              <w:t>款项性质</w:t>
            </w:r>
          </w:p>
        </w:tc>
      </w:tr>
      <w:tr>
        <w:trPr>
          <w:trHeight w:val="454" w:hRule="atLeast"/>
        </w:trPr>
        <w:tc>
          <w:tcPr>
            <w:tcW w:w="343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烟台财政局</w:t>
            </w:r>
          </w:p>
        </w:tc>
        <w:tc>
          <w:tcPr>
            <w:tcW w:w="1434"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8,811.95 </w:t>
            </w:r>
          </w:p>
        </w:tc>
        <w:tc>
          <w:tcPr>
            <w:tcW w:w="1637" w:type="dxa"/>
            <w:tcBorders>
              <w:top w:val="single" w:sz="4" w:space="0" w:color="000000"/>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color w:val="000000"/>
                <w:kern w:val="0"/>
                <w:szCs w:val="21"/>
                <w:lang w:bidi="ar"/>
              </w:rPr>
              <w:t>8.80</w:t>
            </w:r>
          </w:p>
        </w:tc>
        <w:tc>
          <w:tcPr>
            <w:tcW w:w="1721" w:type="dxa"/>
            <w:tcBorders>
              <w:top w:val="single" w:sz="4" w:space="0" w:color="000000"/>
              <w:bottom w:val="single" w:sz="4" w:space="0" w:color="000000"/>
              <w:right w:val="single" w:sz="4" w:space="0" w:color="000000"/>
            </w:tcBorders>
            <w:vAlign w:val="center"/>
          </w:tcPr>
          <w:p>
            <w:pPr>
              <w:pStyle w:val="Normal"/>
              <w:widowControl/>
              <w:jc w:val="center"/>
              <w:textAlignment w:val="bottom"/>
              <w:rPr>
                <w:color w:val="000000"/>
                <w:highlight w:val="yellow"/>
              </w:rPr>
            </w:pPr>
            <w:r>
              <w:rPr>
                <w:color w:val="000000"/>
                <w:kern w:val="0"/>
                <w:szCs w:val="21"/>
                <w:lang w:bidi="ar"/>
              </w:rPr>
              <w:t>代收款项</w:t>
            </w:r>
          </w:p>
        </w:tc>
      </w:tr>
      <w:tr>
        <w:trPr>
          <w:trHeight w:val="454" w:hRule="atLeast"/>
        </w:trPr>
        <w:tc>
          <w:tcPr>
            <w:tcW w:w="3430" w:type="dxa"/>
            <w:tcBorders>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青岛市城阳区财政局</w:t>
            </w:r>
          </w:p>
        </w:tc>
        <w:tc>
          <w:tcPr>
            <w:tcW w:w="1434"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8,073.14 </w:t>
            </w:r>
          </w:p>
        </w:tc>
        <w:tc>
          <w:tcPr>
            <w:tcW w:w="1637"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color w:val="000000"/>
                <w:kern w:val="0"/>
                <w:szCs w:val="21"/>
                <w:lang w:bidi="ar"/>
              </w:rPr>
              <w:t>8.06</w:t>
            </w:r>
          </w:p>
        </w:tc>
        <w:tc>
          <w:tcPr>
            <w:tcW w:w="1721" w:type="dxa"/>
            <w:tcBorders>
              <w:bottom w:val="single" w:sz="4" w:space="0" w:color="000000"/>
              <w:right w:val="single" w:sz="4" w:space="0" w:color="000000"/>
            </w:tcBorders>
            <w:vAlign w:val="center"/>
          </w:tcPr>
          <w:p>
            <w:pPr>
              <w:pStyle w:val="Normal"/>
              <w:widowControl/>
              <w:jc w:val="center"/>
              <w:textAlignment w:val="bottom"/>
              <w:rPr>
                <w:color w:val="000000"/>
                <w:highlight w:val="yellow"/>
              </w:rPr>
            </w:pPr>
            <w:r>
              <w:rPr>
                <w:color w:val="000000"/>
                <w:kern w:val="0"/>
                <w:szCs w:val="21"/>
                <w:lang w:bidi="ar"/>
              </w:rPr>
              <w:t>代收代扣款</w:t>
            </w:r>
          </w:p>
        </w:tc>
      </w:tr>
      <w:tr>
        <w:trPr>
          <w:trHeight w:val="454" w:hRule="atLeast"/>
        </w:trPr>
        <w:tc>
          <w:tcPr>
            <w:tcW w:w="3430" w:type="dxa"/>
            <w:tcBorders>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金寨城投公司（国开行专项基金）</w:t>
            </w:r>
          </w:p>
        </w:tc>
        <w:tc>
          <w:tcPr>
            <w:tcW w:w="1434"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3,000.00 </w:t>
            </w:r>
          </w:p>
        </w:tc>
        <w:tc>
          <w:tcPr>
            <w:tcW w:w="1637"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color w:val="000000"/>
                <w:kern w:val="0"/>
                <w:szCs w:val="21"/>
                <w:lang w:bidi="ar"/>
              </w:rPr>
              <w:t>2.99</w:t>
            </w:r>
          </w:p>
        </w:tc>
        <w:tc>
          <w:tcPr>
            <w:tcW w:w="1721" w:type="dxa"/>
            <w:tcBorders>
              <w:bottom w:val="single" w:sz="4" w:space="0" w:color="000000"/>
              <w:right w:val="single" w:sz="4" w:space="0" w:color="000000"/>
            </w:tcBorders>
            <w:vAlign w:val="center"/>
          </w:tcPr>
          <w:p>
            <w:pPr>
              <w:pStyle w:val="Normal"/>
              <w:widowControl/>
              <w:jc w:val="center"/>
              <w:textAlignment w:val="bottom"/>
              <w:rPr>
                <w:color w:val="000000"/>
                <w:highlight w:val="yellow"/>
              </w:rPr>
            </w:pPr>
            <w:r>
              <w:rPr>
                <w:color w:val="000000"/>
                <w:kern w:val="0"/>
                <w:szCs w:val="21"/>
                <w:lang w:bidi="ar"/>
              </w:rPr>
              <w:t>往来款</w:t>
            </w:r>
          </w:p>
        </w:tc>
      </w:tr>
      <w:tr>
        <w:trPr>
          <w:trHeight w:val="454" w:hRule="atLeast"/>
        </w:trPr>
        <w:tc>
          <w:tcPr>
            <w:tcW w:w="3430" w:type="dxa"/>
            <w:tcBorders>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兰溪市财政局</w:t>
            </w:r>
          </w:p>
        </w:tc>
        <w:tc>
          <w:tcPr>
            <w:tcW w:w="1434"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2,906.83 </w:t>
            </w:r>
          </w:p>
        </w:tc>
        <w:tc>
          <w:tcPr>
            <w:tcW w:w="1637"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color w:val="000000"/>
                <w:kern w:val="0"/>
                <w:szCs w:val="21"/>
                <w:lang w:bidi="ar"/>
              </w:rPr>
              <w:t>2.90</w:t>
            </w:r>
          </w:p>
        </w:tc>
        <w:tc>
          <w:tcPr>
            <w:tcW w:w="1721" w:type="dxa"/>
            <w:tcBorders>
              <w:bottom w:val="single" w:sz="4" w:space="0" w:color="000000"/>
              <w:right w:val="single" w:sz="4" w:space="0" w:color="000000"/>
            </w:tcBorders>
            <w:vAlign w:val="center"/>
          </w:tcPr>
          <w:p>
            <w:pPr>
              <w:pStyle w:val="Normal"/>
              <w:widowControl/>
              <w:jc w:val="center"/>
              <w:textAlignment w:val="bottom"/>
              <w:rPr>
                <w:color w:val="000000"/>
                <w:highlight w:val="yellow"/>
              </w:rPr>
            </w:pPr>
            <w:r>
              <w:rPr>
                <w:color w:val="000000"/>
                <w:kern w:val="0"/>
                <w:szCs w:val="21"/>
                <w:lang w:bidi="ar"/>
              </w:rPr>
              <w:t>应付暂收款</w:t>
            </w:r>
          </w:p>
        </w:tc>
      </w:tr>
      <w:tr>
        <w:trPr>
          <w:trHeight w:val="454" w:hRule="atLeast"/>
        </w:trPr>
        <w:tc>
          <w:tcPr>
            <w:tcW w:w="3430" w:type="dxa"/>
            <w:tcBorders>
              <w:left w:val="single" w:sz="4" w:space="0" w:color="000000"/>
              <w:bottom w:val="single" w:sz="4" w:space="0" w:color="000000"/>
              <w:right w:val="single" w:sz="4" w:space="0" w:color="000000"/>
            </w:tcBorders>
            <w:vAlign w:val="center"/>
          </w:tcPr>
          <w:p>
            <w:pPr>
              <w:pStyle w:val="Normal"/>
              <w:widowControl/>
              <w:jc w:val="center"/>
              <w:textAlignment w:val="bottom"/>
              <w:rPr>
                <w:color w:val="000000"/>
                <w:kern w:val="0"/>
                <w:highlight w:val="yellow"/>
              </w:rPr>
            </w:pPr>
            <w:r>
              <w:rPr>
                <w:color w:val="000000"/>
                <w:kern w:val="0"/>
                <w:szCs w:val="21"/>
                <w:lang w:bidi="ar"/>
              </w:rPr>
              <w:t>射阳县城乡建设局</w:t>
            </w:r>
          </w:p>
        </w:tc>
        <w:tc>
          <w:tcPr>
            <w:tcW w:w="1434"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rFonts w:eastAsia="Times New Roman"/>
                <w:color w:val="000000"/>
                <w:kern w:val="0"/>
                <w:szCs w:val="21"/>
                <w:lang w:bidi="ar"/>
              </w:rPr>
              <w:t xml:space="preserve"> </w:t>
            </w:r>
            <w:r>
              <w:rPr>
                <w:color w:val="000000"/>
                <w:kern w:val="0"/>
                <w:szCs w:val="21"/>
                <w:lang w:bidi="ar"/>
              </w:rPr>
              <w:t xml:space="preserve">2,599.00 </w:t>
            </w:r>
          </w:p>
        </w:tc>
        <w:tc>
          <w:tcPr>
            <w:tcW w:w="1637" w:type="dxa"/>
            <w:tcBorders>
              <w:bottom w:val="single" w:sz="4" w:space="0" w:color="000000"/>
              <w:right w:val="single" w:sz="4" w:space="0" w:color="000000"/>
            </w:tcBorders>
            <w:vAlign w:val="center"/>
          </w:tcPr>
          <w:p>
            <w:pPr>
              <w:pStyle w:val="Normal"/>
              <w:widowControl/>
              <w:jc w:val="right"/>
              <w:textAlignment w:val="bottom"/>
              <w:rPr>
                <w:color w:val="000000"/>
                <w:kern w:val="0"/>
                <w:highlight w:val="yellow"/>
              </w:rPr>
            </w:pPr>
            <w:r>
              <w:rPr>
                <w:color w:val="000000"/>
                <w:kern w:val="0"/>
                <w:szCs w:val="21"/>
                <w:lang w:bidi="ar"/>
              </w:rPr>
              <w:t>2.59</w:t>
            </w:r>
          </w:p>
        </w:tc>
        <w:tc>
          <w:tcPr>
            <w:tcW w:w="1721" w:type="dxa"/>
            <w:tcBorders>
              <w:bottom w:val="single" w:sz="4" w:space="0" w:color="000000"/>
              <w:right w:val="single" w:sz="4" w:space="0" w:color="000000"/>
            </w:tcBorders>
            <w:vAlign w:val="center"/>
          </w:tcPr>
          <w:p>
            <w:pPr>
              <w:pStyle w:val="Normal"/>
              <w:widowControl/>
              <w:jc w:val="center"/>
              <w:textAlignment w:val="bottom"/>
              <w:rPr>
                <w:color w:val="000000"/>
                <w:highlight w:val="yellow"/>
              </w:rPr>
            </w:pPr>
            <w:r>
              <w:rPr>
                <w:color w:val="000000"/>
                <w:kern w:val="0"/>
                <w:szCs w:val="21"/>
                <w:lang w:bidi="ar"/>
              </w:rPr>
              <w:t>代收水费</w:t>
            </w:r>
          </w:p>
        </w:tc>
      </w:tr>
      <w:tr>
        <w:trPr>
          <w:trHeight w:val="454" w:hRule="atLeast"/>
        </w:trPr>
        <w:tc>
          <w:tcPr>
            <w:tcW w:w="3430"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highlight w:val="yellow"/>
              </w:rPr>
            </w:pPr>
            <w:r>
              <w:rPr>
                <w:b/>
                <w:color w:val="000000"/>
                <w:kern w:val="0"/>
                <w:szCs w:val="21"/>
                <w:lang w:bidi="ar"/>
              </w:rPr>
              <w:t>合计</w:t>
            </w:r>
          </w:p>
        </w:tc>
        <w:tc>
          <w:tcPr>
            <w:tcW w:w="1434" w:type="dxa"/>
            <w:tcBorders>
              <w:top w:val="single" w:sz="4" w:space="0" w:color="000000"/>
              <w:bottom w:val="single" w:sz="4" w:space="0" w:color="000000"/>
              <w:right w:val="single" w:sz="4" w:space="0" w:color="000000"/>
            </w:tcBorders>
            <w:vAlign w:val="center"/>
          </w:tcPr>
          <w:p>
            <w:pPr>
              <w:pStyle w:val="Normal"/>
              <w:widowControl/>
              <w:jc w:val="right"/>
              <w:textAlignment w:val="bottom"/>
              <w:rPr>
                <w:b/>
                <w:color w:val="000000"/>
                <w:kern w:val="0"/>
                <w:highlight w:val="yellow"/>
              </w:rPr>
            </w:pPr>
            <w:r>
              <w:rPr>
                <w:rFonts w:eastAsia="Times New Roman"/>
                <w:b/>
                <w:bCs/>
                <w:color w:val="000000"/>
                <w:kern w:val="0"/>
                <w:szCs w:val="21"/>
                <w:lang w:bidi="ar"/>
              </w:rPr>
              <w:t xml:space="preserve"> </w:t>
            </w:r>
            <w:r>
              <w:rPr>
                <w:b/>
                <w:bCs/>
                <w:color w:val="000000"/>
                <w:kern w:val="0"/>
                <w:szCs w:val="21"/>
                <w:lang w:bidi="ar"/>
              </w:rPr>
              <w:t xml:space="preserve">25,390.92 </w:t>
            </w:r>
          </w:p>
        </w:tc>
        <w:tc>
          <w:tcPr>
            <w:tcW w:w="1637" w:type="dxa"/>
            <w:tcBorders>
              <w:top w:val="single" w:sz="4" w:space="0" w:color="000000"/>
              <w:bottom w:val="single" w:sz="4" w:space="0" w:color="000000"/>
              <w:right w:val="single" w:sz="4" w:space="0" w:color="000000"/>
            </w:tcBorders>
            <w:vAlign w:val="center"/>
          </w:tcPr>
          <w:p>
            <w:pPr>
              <w:pStyle w:val="Normal"/>
              <w:widowControl/>
              <w:jc w:val="right"/>
              <w:textAlignment w:val="bottom"/>
              <w:rPr>
                <w:b/>
                <w:color w:val="000000"/>
                <w:kern w:val="0"/>
                <w:highlight w:val="yellow"/>
              </w:rPr>
            </w:pPr>
            <w:r>
              <w:rPr>
                <w:b/>
                <w:bCs/>
                <w:color w:val="000000"/>
                <w:kern w:val="0"/>
                <w:szCs w:val="21"/>
                <w:lang w:bidi="ar"/>
              </w:rPr>
              <w:t>25.35</w:t>
            </w:r>
          </w:p>
        </w:tc>
        <w:tc>
          <w:tcPr>
            <w:tcW w:w="1721" w:type="dxa"/>
            <w:tcBorders>
              <w:top w:val="single" w:sz="4" w:space="0" w:color="000000"/>
              <w:bottom w:val="single" w:sz="4" w:space="0" w:color="000000"/>
              <w:right w:val="single" w:sz="4" w:space="0" w:color="000000"/>
            </w:tcBorders>
            <w:vAlign w:val="center"/>
          </w:tcPr>
          <w:p>
            <w:pPr>
              <w:pStyle w:val="Normal"/>
              <w:widowControl/>
              <w:jc w:val="center"/>
              <w:rPr>
                <w:b/>
                <w:bCs/>
                <w:color w:val="000000"/>
                <w:kern w:val="0"/>
                <w:highlight w:val="yellow"/>
              </w:rPr>
            </w:pPr>
            <w:r>
              <w:rPr>
                <w:b/>
                <w:bCs/>
                <w:color w:val="000000"/>
                <w:kern w:val="0"/>
                <w:szCs w:val="21"/>
              </w:rPr>
              <w:t>-</w:t>
            </w:r>
          </w:p>
        </w:tc>
      </w:tr>
    </w:tbl>
    <w:p>
      <w:pPr>
        <w:pStyle w:val="Normal"/>
        <w:snapToGrid w:val="false"/>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r>
    </w:p>
    <w:p>
      <w:pPr>
        <w:pStyle w:val="Normal"/>
        <w:numPr>
          <w:ilvl w:val="0"/>
          <w:numId w:val="6"/>
        </w:numPr>
        <w:snapToGrid w:val="false"/>
        <w:spacing w:lineRule="exact" w:line="480"/>
        <w:ind w:firstLine="420" w:left="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刚性负债：合计数</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短期借款</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应付票据</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一年内到期非流动负债</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其他流动负债（如为短期融资券）</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长期借款</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应付债券</w:t>
      </w:r>
      <w:r>
        <w:rPr>
          <w:rFonts w:cs="宋体;汉仪书宋二KW" w:ascii="宋体;汉仪书宋二KW" w:hAnsi="宋体;汉仪书宋二KW"/>
          <w:color w:val="000000"/>
          <w:szCs w:val="21"/>
        </w:rPr>
        <w:t>+</w:t>
      </w:r>
      <w:r>
        <w:rPr>
          <w:rFonts w:ascii="宋体;汉仪书宋二KW" w:hAnsi="宋体;汉仪书宋二KW" w:cs="宋体;汉仪书宋二KW"/>
          <w:color w:val="000000"/>
          <w:szCs w:val="21"/>
        </w:rPr>
        <w:t>长期应付款（如为融资租赁款）。分析刚性负债结构，短期和长期刚性负债占比，直接融资和银行融资占比。分析长短期借款中信用、保证、抵质押方式分别的占比。</w:t>
      </w:r>
    </w:p>
    <w:p>
      <w:pPr>
        <w:pStyle w:val="Normal"/>
        <w:numPr>
          <w:ilvl w:val="0"/>
          <w:numId w:val="0"/>
        </w:numPr>
        <w:snapToGrid w:val="false"/>
        <w:spacing w:lineRule="exact" w:line="480"/>
        <w:ind w:firstLine="630" w:left="0" w:right="0"/>
        <w:rPr>
          <w:rFonts w:ascii="宋体;汉仪书宋二KW" w:hAnsi="宋体;汉仪书宋二KW" w:eastAsia="宋体;汉仪书宋二KW" w:cs="Times New Roman"/>
          <w:color w:val="000000"/>
          <w:szCs w:val="21"/>
        </w:rPr>
      </w:pPr>
    </w:p>
    <w:p>
      <w:pPr>
        <w:pStyle w:val="Normal"/>
        <w:autoSpaceDE w:val="false"/>
        <w:spacing w:lineRule="auto" w:line="360"/>
        <w:jc w:val="center"/>
        <w:rPr>
          <w:b/>
          <w:color w:val="000000"/>
          <w:kern w:val="0"/>
          <w:sz w:val="24"/>
          <w:szCs w:val="21"/>
        </w:rPr>
      </w:pPr>
      <w:r>
        <w:rPr>
          <w:b/>
          <w:color w:val="000000"/>
          <w:kern w:val="0"/>
          <w:sz w:val="24"/>
          <w:szCs w:val="21"/>
        </w:rPr>
        <w:t>近三年及一期末公司负债结构情况</w:t>
      </w:r>
    </w:p>
    <w:p>
      <w:pPr>
        <w:pStyle w:val="Normal"/>
        <w:jc w:val="right"/>
        <w:rPr/>
      </w:pPr>
      <w:r>
        <w:rPr/>
        <w:t>单位：万元，</w:t>
      </w:r>
      <w:r>
        <w:rPr/>
        <w:t>%</w:t>
      </w:r>
    </w:p>
    <w:tbl>
      <w:tblPr>
        <w:tblW w:w="11140" w:type="dxa"/>
        <w:jc w:val="center"/>
        <w:tblInd w:w="0" w:type="dxa"/>
        <w:tblLayout w:type="fixed"/>
        <w:tblCellMar>
          <w:top w:w="0" w:type="dxa"/>
          <w:left w:w="108" w:type="dxa"/>
          <w:bottom w:w="0" w:type="dxa"/>
          <w:right w:w="108" w:type="dxa"/>
        </w:tblCellMar>
      </w:tblPr>
      <w:tblGrid>
        <w:gridCol w:w="1465"/>
        <w:gridCol w:w="1322"/>
        <w:gridCol w:w="1056"/>
        <w:gridCol w:w="1386"/>
        <w:gridCol w:w="1056"/>
        <w:gridCol w:w="1401"/>
        <w:gridCol w:w="1069"/>
        <w:gridCol w:w="1422"/>
        <w:gridCol w:w="963"/>
      </w:tblGrid>
      <w:tr>
        <w:trPr>
          <w:tblHeader w:val="true"/>
          <w:trHeight w:val="454" w:hRule="atLeast"/>
        </w:trPr>
        <w:tc>
          <w:tcPr>
            <w:tcW w:w="14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负债项目</w:t>
            </w:r>
          </w:p>
        </w:tc>
        <w:tc>
          <w:tcPr>
            <w:tcW w:w="2378"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highlight w:val="yellow"/>
              </w:rPr>
            </w:pPr>
            <w:r>
              <w:rPr>
                <w:b/>
                <w:color w:val="000000"/>
                <w:kern w:val="0"/>
                <w:szCs w:val="21"/>
              </w:rPr>
              <w:t>2025</w:t>
            </w:r>
            <w:r>
              <w:rPr>
                <w:b/>
                <w:color w:val="000000"/>
                <w:kern w:val="0"/>
                <w:szCs w:val="21"/>
              </w:rPr>
              <w:t>年</w:t>
            </w:r>
            <w:r>
              <w:rPr>
                <w:b/>
                <w:color w:val="000000"/>
                <w:kern w:val="0"/>
                <w:szCs w:val="21"/>
              </w:rPr>
              <w:t>3</w:t>
            </w:r>
            <w:r>
              <w:rPr>
                <w:b/>
                <w:color w:val="000000"/>
                <w:kern w:val="0"/>
                <w:szCs w:val="21"/>
              </w:rPr>
              <w:t>月末</w:t>
            </w:r>
          </w:p>
        </w:tc>
        <w:tc>
          <w:tcPr>
            <w:tcW w:w="244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2024</w:t>
            </w:r>
            <w:r>
              <w:rPr>
                <w:b/>
                <w:color w:val="000000"/>
                <w:kern w:val="0"/>
                <w:szCs w:val="21"/>
              </w:rPr>
              <w:t>年末</w:t>
            </w:r>
          </w:p>
        </w:tc>
        <w:tc>
          <w:tcPr>
            <w:tcW w:w="247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2023</w:t>
            </w:r>
            <w:r>
              <w:rPr>
                <w:b/>
                <w:color w:val="000000"/>
                <w:kern w:val="0"/>
                <w:szCs w:val="21"/>
              </w:rPr>
              <w:t>年末</w:t>
            </w:r>
          </w:p>
        </w:tc>
        <w:tc>
          <w:tcPr>
            <w:tcW w:w="238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2022</w:t>
            </w:r>
            <w:r>
              <w:rPr>
                <w:b/>
                <w:color w:val="000000"/>
                <w:kern w:val="0"/>
                <w:szCs w:val="21"/>
              </w:rPr>
              <w:t>年末</w:t>
            </w:r>
          </w:p>
        </w:tc>
      </w:tr>
      <w:tr>
        <w:trPr>
          <w:tblHeader w:val="true"/>
          <w:trHeight w:val="454" w:hRule="atLeast"/>
        </w:trPr>
        <w:tc>
          <w:tcPr>
            <w:tcW w:w="14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b/>
                <w:bCs/>
                <w:color w:val="000000"/>
                <w:kern w:val="0"/>
                <w:szCs w:val="21"/>
              </w:rPr>
            </w:pPr>
            <w:r>
              <w:rPr>
                <w:b/>
                <w:bCs/>
                <w:color w:val="000000"/>
                <w:kern w:val="0"/>
                <w:szCs w:val="21"/>
              </w:rPr>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占比</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占比</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占比</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金额</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b/>
                <w:bCs/>
                <w:color w:val="000000"/>
                <w:kern w:val="0"/>
                <w:szCs w:val="21"/>
              </w:rPr>
              <w:t>占比</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b/>
                <w:bCs/>
                <w:color w:val="000000"/>
                <w:kern w:val="0"/>
                <w:szCs w:val="21"/>
              </w:rPr>
            </w:pPr>
            <w:r>
              <w:rPr>
                <w:b/>
                <w:bCs/>
                <w:color w:val="000000"/>
                <w:kern w:val="0"/>
                <w:szCs w:val="21"/>
              </w:rPr>
              <w:t>流动负债：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kern w:val="0"/>
                <w:szCs w:val="21"/>
              </w:rPr>
            </w:pPr>
            <w:r>
              <w:rPr>
                <w:rFonts w:eastAsia="Times New Roman"/>
                <w:b/>
                <w:bCs/>
                <w:color w:val="000000"/>
                <w:kern w:val="0"/>
                <w:szCs w:val="21"/>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kern w:val="0"/>
                <w:szCs w:val="21"/>
              </w:rPr>
            </w:pPr>
            <w:r>
              <w:rPr>
                <w:rFonts w:eastAsia="Times New Roman"/>
                <w:b/>
                <w:bCs/>
                <w:color w:val="000000"/>
                <w:kern w:val="0"/>
                <w:szCs w:val="21"/>
              </w:rPr>
              <w:t xml:space="preserve"> </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kern w:val="0"/>
                <w:szCs w:val="21"/>
              </w:rPr>
            </w:pPr>
            <w:r>
              <w:rPr>
                <w:rFonts w:eastAsia="Times New Roman"/>
                <w:b/>
                <w:bCs/>
                <w:color w:val="000000"/>
                <w:kern w:val="0"/>
                <w:szCs w:val="21"/>
              </w:rPr>
              <w:t xml:space="preserve"> </w:t>
            </w:r>
          </w:p>
        </w:tc>
        <w:tc>
          <w:tcPr>
            <w:tcW w:w="1056" w:type="dxa"/>
            <w:tcBorders>
              <w:top w:val="single" w:sz="4" w:space="0" w:color="000000"/>
              <w:left w:val="single" w:sz="4" w:space="0" w:color="000000"/>
              <w:bottom w:val="single" w:sz="4" w:space="0" w:color="000000"/>
              <w:right w:val="single" w:sz="4" w:space="0" w:color="000000"/>
            </w:tcBorders>
            <w:vAlign w:val="center"/>
          </w:tcPr>
          <w:p>
            <w:pPr>
              <w:pStyle w:val="Normal"/>
              <w:rPr>
                <w:b/>
                <w:bCs/>
                <w:color w:val="000000"/>
                <w:kern w:val="0"/>
                <w:szCs w:val="21"/>
              </w:rPr>
            </w:pPr>
            <w:r>
              <w:rPr>
                <w:rFonts w:eastAsia="Times New Roman"/>
                <w:b/>
                <w:bCs/>
                <w:color w:val="000000"/>
                <w:kern w:val="0"/>
                <w:szCs w:val="21"/>
              </w:rPr>
              <w:t xml:space="preserve"> </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rFonts w:eastAsia="Times New Roman"/>
                <w:b/>
                <w:bCs/>
                <w:color w:val="000000"/>
                <w:kern w:val="0"/>
                <w:szCs w:val="21"/>
              </w:rPr>
              <w:t xml:space="preserve"> </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rFonts w:eastAsia="Times New Roman"/>
                <w:b/>
                <w:bCs/>
                <w:color w:val="000000"/>
                <w:kern w:val="0"/>
                <w:szCs w:val="21"/>
              </w:rPr>
              <w:t xml:space="preserve"> </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rFonts w:eastAsia="Times New Roman"/>
                <w:b/>
                <w:bCs/>
                <w:color w:val="000000"/>
                <w:kern w:val="0"/>
                <w:szCs w:val="21"/>
              </w:rP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b/>
                <w:bCs/>
                <w:color w:val="000000"/>
                <w:kern w:val="0"/>
                <w:szCs w:val="21"/>
              </w:rPr>
            </w:pPr>
            <w:r>
              <w:rPr>
                <w:rFonts w:eastAsia="Times New Roman"/>
                <w:b/>
                <w:bCs/>
                <w:color w:val="000000"/>
                <w:kern w:val="0"/>
                <w:szCs w:val="21"/>
              </w:rPr>
              <w:t xml:space="preserve">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kern w:val="0"/>
                <w:szCs w:val="21"/>
              </w:rPr>
            </w:pPr>
            <w:r>
              <w:rPr>
                <w:color w:val="000000"/>
                <w:szCs w:val="21"/>
              </w:rPr>
              <w:t>短期借款</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 w:val="22"/>
                <w:szCs w:val="22"/>
                <w:lang w:bidi="ar"/>
              </w:rPr>
              <w:t xml:space="preserve">304,488.34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lang w:bidi="ar"/>
              </w:rPr>
            </w:pPr>
            <w:r>
              <w:rPr>
                <w:color w:val="000000"/>
                <w:kern w:val="0"/>
                <w:sz w:val="22"/>
                <w:szCs w:val="22"/>
                <w:lang w:bidi="ar"/>
              </w:rPr>
              <w:t>13.37</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374,312.47</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16.45</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rPr>
              <w:t>207,138.91</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10.04</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136,763.71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7.10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kern w:val="0"/>
                <w:szCs w:val="21"/>
              </w:rPr>
            </w:pPr>
            <w:r>
              <w:rPr>
                <w:color w:val="000000"/>
                <w:szCs w:val="21"/>
              </w:rPr>
              <w:t>应付票据及应付账款</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rPr>
              <w:t>275,</w:t>
            </w:r>
            <w:r>
              <w:rPr>
                <w:color w:val="000000"/>
                <w:kern w:val="0"/>
                <w:szCs w:val="21"/>
                <w:lang w:bidi="ar"/>
              </w:rPr>
              <w:t xml:space="preserve">169.65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12.</w:t>
            </w:r>
            <w:r>
              <w:rPr>
                <w:color w:val="000000"/>
                <w:kern w:val="0"/>
                <w:szCs w:val="21"/>
                <w:lang w:bidi="ar"/>
              </w:rPr>
              <w:t>09</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321,893.24</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14.14</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284,887.72</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13.81</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212,983.58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11.06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kern w:val="0"/>
                <w:szCs w:val="21"/>
              </w:rPr>
            </w:pPr>
            <w:r>
              <w:rPr>
                <w:color w:val="000000"/>
                <w:szCs w:val="21"/>
              </w:rPr>
              <w:t>预收款项</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198.57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0.</w:t>
            </w:r>
            <w:r>
              <w:rPr>
                <w:color w:val="000000"/>
                <w:kern w:val="0"/>
                <w:szCs w:val="21"/>
                <w:lang w:bidi="ar"/>
              </w:rPr>
              <w:t>01</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100.35</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0.</w:t>
            </w:r>
            <w:r>
              <w:rPr>
                <w:color w:val="000000"/>
                <w:kern w:val="0"/>
                <w:sz w:val="22"/>
                <w:szCs w:val="22"/>
                <w:lang w:bidi="ar"/>
              </w:rPr>
              <w:t>00</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256.28</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0.01</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rPr>
              <w:t>3,</w:t>
            </w:r>
            <w:r>
              <w:rPr>
                <w:color w:val="000000"/>
                <w:szCs w:val="21"/>
              </w:rPr>
              <w:t xml:space="preserve">169.90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0.16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szCs w:val="21"/>
              </w:rPr>
            </w:pPr>
            <w:r>
              <w:rPr>
                <w:color w:val="000000"/>
                <w:szCs w:val="21"/>
              </w:rPr>
              <w:t>合同负债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szCs w:val="21"/>
                <w:lang w:bidi="ar"/>
              </w:rPr>
              <w:t xml:space="preserve">336,970.89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szCs w:val="21"/>
                <w:lang w:bidi="ar"/>
              </w:rPr>
              <w:t>14.80</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331,830.03</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14.58</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391,950.64</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19.00</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407,842.06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21.17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kern w:val="0"/>
                <w:szCs w:val="21"/>
              </w:rPr>
            </w:pPr>
            <w:r>
              <w:rPr>
                <w:color w:val="000000"/>
                <w:szCs w:val="21"/>
              </w:rPr>
              <w:t>应付职工薪酬</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rPr>
              <w:t>10,</w:t>
            </w:r>
            <w:r>
              <w:rPr>
                <w:color w:val="000000"/>
                <w:kern w:val="0"/>
                <w:szCs w:val="21"/>
                <w:lang w:bidi="ar"/>
              </w:rPr>
              <w:t xml:space="preserve">570.01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0.</w:t>
            </w:r>
            <w:r>
              <w:rPr>
                <w:color w:val="000000"/>
                <w:kern w:val="0"/>
                <w:szCs w:val="21"/>
                <w:lang w:bidi="ar"/>
              </w:rPr>
              <w:t>46</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9,659.14</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0.42</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8,663.31</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0.42</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10,791.69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0.56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kern w:val="0"/>
                <w:szCs w:val="21"/>
              </w:rPr>
            </w:pPr>
            <w:r>
              <w:rPr>
                <w:color w:val="000000"/>
                <w:szCs w:val="21"/>
              </w:rPr>
              <w:t>应交税费</w:t>
            </w:r>
          </w:p>
        </w:tc>
        <w:tc>
          <w:tcPr>
            <w:tcW w:w="13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20,877.28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0.</w:t>
            </w:r>
            <w:r>
              <w:rPr>
                <w:color w:val="000000"/>
                <w:kern w:val="0"/>
                <w:szCs w:val="21"/>
                <w:lang w:bidi="ar"/>
              </w:rPr>
              <w:t>92</w:t>
            </w:r>
          </w:p>
        </w:tc>
        <w:tc>
          <w:tcPr>
            <w:tcW w:w="138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24,135.98</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1.06</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21,878.45</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1.06</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18,459.79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0.96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rPr>
                <w:color w:val="000000"/>
                <w:kern w:val="0"/>
                <w:szCs w:val="21"/>
              </w:rPr>
            </w:pPr>
            <w:r>
              <w:rPr>
                <w:color w:val="000000"/>
                <w:szCs w:val="21"/>
              </w:rPr>
              <w:t>其他应付款</w:t>
            </w:r>
          </w:p>
        </w:tc>
        <w:tc>
          <w:tcPr>
            <w:tcW w:w="13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127,860.80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szCs w:val="21"/>
                <w:lang w:bidi="ar"/>
              </w:rPr>
              <w:t>5.62</w:t>
            </w:r>
          </w:p>
        </w:tc>
        <w:tc>
          <w:tcPr>
            <w:tcW w:w="138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107,681.48</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4.73</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105,746.27</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5.13</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85,821.47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4.46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一年内到期的非流动负债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94,983.46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szCs w:val="21"/>
                <w:lang w:bidi="ar"/>
              </w:rPr>
              <w:t>4.17</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143,195.15</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6.29</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right"/>
              <w:rPr>
                <w:color w:val="000000"/>
                <w:szCs w:val="21"/>
              </w:rPr>
            </w:pPr>
            <w:r>
              <w:rPr>
                <w:color w:val="000000"/>
                <w:szCs w:val="21"/>
                <w:lang w:bidi="ar"/>
              </w:rPr>
              <w:t>113,559.45</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5.50</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rPr>
              <w:t xml:space="preserve">90,798.97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4.71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其他流动负债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66,294.78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2.</w:t>
            </w:r>
            <w:r>
              <w:rPr>
                <w:color w:val="000000"/>
                <w:kern w:val="0"/>
                <w:szCs w:val="21"/>
                <w:lang w:bidi="ar"/>
              </w:rPr>
              <w:t>91</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6,278.05</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0.28</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right"/>
              <w:rPr>
                <w:color w:val="000000"/>
                <w:szCs w:val="21"/>
              </w:rPr>
            </w:pPr>
            <w:r>
              <w:rPr>
                <w:color w:val="000000"/>
                <w:szCs w:val="21"/>
                <w:lang w:bidi="ar"/>
              </w:rPr>
              <w:t>64,572.94</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3.13</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rPr>
              <w:t>64,764.</w:t>
            </w:r>
            <w:r>
              <w:rPr>
                <w:color w:val="000000"/>
              </w:rPr>
              <w:t>46</w:t>
            </w:r>
            <w:r>
              <w:rPr>
                <w:color w:val="000000"/>
                <w:szCs w:val="21"/>
              </w:rP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3.36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b/>
                <w:bCs/>
                <w:color w:val="000000"/>
                <w:szCs w:val="21"/>
              </w:rPr>
              <w:t>流动负债合计</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kern w:val="0"/>
                <w:szCs w:val="21"/>
              </w:rPr>
            </w:pPr>
            <w:r>
              <w:rPr>
                <w:b/>
                <w:color w:val="000000"/>
                <w:kern w:val="0"/>
              </w:rPr>
              <w:t>1,</w:t>
            </w:r>
            <w:r>
              <w:rPr>
                <w:b/>
                <w:bCs/>
                <w:color w:val="000000"/>
                <w:kern w:val="0"/>
                <w:szCs w:val="21"/>
                <w:lang w:bidi="ar"/>
              </w:rPr>
              <w:t xml:space="preserve">237,413.78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b/>
                <w:bCs/>
                <w:szCs w:val="21"/>
                <w:lang w:bidi="ar"/>
              </w:rPr>
            </w:pPr>
            <w:r>
              <w:rPr>
                <w:b/>
                <w:bCs/>
                <w:color w:val="000000"/>
                <w:kern w:val="0"/>
                <w:szCs w:val="21"/>
                <w:lang w:bidi="ar"/>
              </w:rPr>
              <w:t>54.35</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color w:val="000000"/>
                <w:kern w:val="0"/>
                <w:sz w:val="22"/>
              </w:rPr>
              <w:t>1,</w:t>
            </w:r>
            <w:r>
              <w:rPr>
                <w:b/>
                <w:bCs/>
                <w:color w:val="000000"/>
                <w:kern w:val="0"/>
                <w:sz w:val="22"/>
                <w:szCs w:val="22"/>
                <w:lang w:bidi="ar"/>
              </w:rPr>
              <w:t>319,085.89</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b/>
                <w:bCs/>
                <w:color w:val="000000"/>
                <w:szCs w:val="21"/>
              </w:rPr>
            </w:pPr>
            <w:r>
              <w:rPr>
                <w:b/>
                <w:bCs/>
                <w:color w:val="000000"/>
                <w:kern w:val="0"/>
                <w:sz w:val="22"/>
                <w:szCs w:val="22"/>
                <w:lang w:bidi="ar"/>
              </w:rPr>
              <w:t>57.96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right"/>
              <w:rPr>
                <w:b/>
                <w:bCs/>
                <w:color w:val="000000"/>
                <w:szCs w:val="21"/>
              </w:rPr>
            </w:pPr>
            <w:r>
              <w:rPr>
                <w:b/>
                <w:bCs/>
                <w:color w:val="000000"/>
                <w:szCs w:val="21"/>
                <w:lang w:bidi="ar"/>
              </w:rPr>
              <w:t>1,198,653.96</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szCs w:val="21"/>
                <w:lang w:bidi="ar"/>
              </w:rPr>
              <w:t>58.11</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color w:val="000000"/>
              </w:rPr>
              <w:t>1,</w:t>
            </w:r>
            <w:r>
              <w:rPr>
                <w:b/>
                <w:bCs/>
                <w:color w:val="000000"/>
                <w:szCs w:val="21"/>
              </w:rPr>
              <w:t xml:space="preserve">031,395.62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rPr>
              <w:t xml:space="preserve">53.54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b/>
                <w:bCs/>
                <w:color w:val="000000"/>
                <w:kern w:val="0"/>
                <w:szCs w:val="21"/>
              </w:rPr>
            </w:pPr>
            <w:r>
              <w:rPr>
                <w:b/>
                <w:bCs/>
                <w:color w:val="000000"/>
                <w:szCs w:val="21"/>
              </w:rPr>
              <w:t>非流动负债：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right"/>
              <w:rPr>
                <w:b/>
                <w:bCs/>
                <w:color w:val="000000"/>
                <w:kern w:val="0"/>
                <w:szCs w:val="21"/>
              </w:rPr>
            </w:pPr>
            <w:r>
              <w:rPr>
                <w:b/>
                <w:bCs/>
                <w:color w:val="000000"/>
                <w:kern w:val="0"/>
                <w:szCs w:val="21"/>
              </w:rPr>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b/>
                <w:bCs/>
                <w:color w:val="000000"/>
                <w:kern w:val="0"/>
                <w:szCs w:val="21"/>
                <w:lang w:bidi="ar"/>
              </w:rPr>
            </w:pPr>
            <w:r>
              <w:rPr>
                <w:b/>
                <w:bCs/>
                <w:color w:val="000000"/>
                <w:kern w:val="0"/>
                <w:szCs w:val="21"/>
                <w:lang w:bidi="ar"/>
              </w:rPr>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right"/>
              <w:rPr>
                <w:color w:val="000000"/>
                <w:szCs w:val="21"/>
                <w:lang w:bidi="ar"/>
              </w:rPr>
            </w:pPr>
            <w:r>
              <w:rPr>
                <w:color w:val="000000"/>
                <w:szCs w:val="21"/>
                <w:lang w:bidi="ar"/>
              </w:rPr>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rPr>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rFonts w:eastAsia="Times New Roman"/>
                <w:color w:val="000000"/>
                <w:szCs w:val="21"/>
              </w:rPr>
              <w:t xml:space="preserve"> </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rFonts w:eastAsia="Times New Roman"/>
                <w:color w:val="000000"/>
                <w:szCs w:val="21"/>
                <w:lang w:bidi="ar"/>
              </w:rPr>
              <w:t xml:space="preserve"> </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rFonts w:eastAsia="Times New Roman"/>
                <w:color w:val="000000"/>
                <w:szCs w:val="21"/>
              </w:rPr>
              <w:t xml:space="preserve">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rFonts w:eastAsia="Times New Roman"/>
                <w:color w:val="000000"/>
                <w:szCs w:val="21"/>
              </w:rPr>
              <w:t xml:space="preserve">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b/>
                <w:bCs/>
                <w:color w:val="000000"/>
                <w:kern w:val="0"/>
                <w:szCs w:val="21"/>
              </w:rPr>
            </w:pPr>
            <w:r>
              <w:rPr>
                <w:color w:val="000000"/>
                <w:szCs w:val="21"/>
              </w:rPr>
              <w:t>长期借款</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645,266.86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szCs w:val="21"/>
                <w:lang w:bidi="ar"/>
              </w:rPr>
              <w:t>28.34</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556,536.18</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24.46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right"/>
              <w:rPr>
                <w:color w:val="000000"/>
                <w:szCs w:val="21"/>
              </w:rPr>
            </w:pPr>
            <w:r>
              <w:rPr>
                <w:color w:val="000000"/>
                <w:szCs w:val="21"/>
                <w:lang w:bidi="ar"/>
              </w:rPr>
              <w:t>435,828.66</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21.13</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rPr>
              <w:t xml:space="preserve">391,611.80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20.33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应付债券</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rPr>
              <w:t>122,</w:t>
            </w:r>
            <w:r>
              <w:rPr>
                <w:color w:val="000000"/>
                <w:kern w:val="0"/>
                <w:szCs w:val="21"/>
                <w:lang w:bidi="ar"/>
              </w:rPr>
              <w:t xml:space="preserve">009.81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5.</w:t>
            </w:r>
            <w:r>
              <w:rPr>
                <w:color w:val="000000"/>
                <w:kern w:val="0"/>
                <w:szCs w:val="21"/>
                <w:lang w:bidi="ar"/>
              </w:rPr>
              <w:t>36</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121,235.56</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5.</w:t>
            </w:r>
            <w:r>
              <w:rPr>
                <w:color w:val="000000"/>
                <w:kern w:val="0"/>
                <w:sz w:val="22"/>
                <w:szCs w:val="22"/>
                <w:lang w:bidi="ar"/>
              </w:rPr>
              <w:t>33</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114,665.08</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5.56</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168,571.72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8.75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szCs w:val="21"/>
              </w:rPr>
            </w:pPr>
            <w:r>
              <w:rPr>
                <w:color w:val="000000"/>
                <w:szCs w:val="21"/>
              </w:rPr>
              <w:t>租赁负债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rFonts w:eastAsia="Times New Roman"/>
                <w:color w:val="000000"/>
                <w:kern w:val="0"/>
                <w:szCs w:val="21"/>
                <w:lang w:bidi="ar"/>
              </w:rPr>
              <w:t xml:space="preserve"> </w:t>
            </w:r>
            <w:r>
              <w:rPr>
                <w:color w:val="000000"/>
                <w:kern w:val="0"/>
              </w:rPr>
              <w:t>1,</w:t>
            </w:r>
            <w:r>
              <w:rPr>
                <w:color w:val="000000"/>
                <w:kern w:val="0"/>
                <w:szCs w:val="21"/>
                <w:lang w:bidi="ar"/>
              </w:rPr>
              <w:t xml:space="preserve">902.88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0.</w:t>
            </w:r>
            <w:r>
              <w:rPr>
                <w:color w:val="000000"/>
                <w:kern w:val="0"/>
                <w:szCs w:val="21"/>
                <w:lang w:bidi="ar"/>
              </w:rPr>
              <w:t>08</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1,739.12</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0.</w:t>
            </w:r>
            <w:r>
              <w:rPr>
                <w:color w:val="000000"/>
                <w:kern w:val="0"/>
                <w:sz w:val="22"/>
                <w:szCs w:val="22"/>
                <w:lang w:bidi="ar"/>
              </w:rPr>
              <w:t>08</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2,259.34</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0.11</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451.20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0.02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长期应付款</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95,422.71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szCs w:val="21"/>
                <w:lang w:bidi="ar"/>
              </w:rPr>
              <w:t>4.19</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101,665.87</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4.47</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144,657.98</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7.01</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187,447.62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9.73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预计负债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261.83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0.</w:t>
            </w:r>
            <w:r>
              <w:rPr>
                <w:color w:val="000000"/>
                <w:kern w:val="0"/>
                <w:szCs w:val="21"/>
                <w:lang w:bidi="ar"/>
              </w:rPr>
              <w:t>01</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852.21</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0.</w:t>
            </w:r>
            <w:r>
              <w:rPr>
                <w:color w:val="000000"/>
                <w:kern w:val="0"/>
                <w:sz w:val="22"/>
                <w:szCs w:val="22"/>
                <w:lang w:bidi="ar"/>
              </w:rPr>
              <w:t>04</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341.48</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0.02</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284.43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0.01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递延收益</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161,696.01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7.</w:t>
            </w:r>
            <w:r>
              <w:rPr>
                <w:color w:val="000000"/>
                <w:kern w:val="0"/>
                <w:szCs w:val="21"/>
                <w:lang w:bidi="ar"/>
              </w:rPr>
              <w:t>10</w:t>
            </w:r>
          </w:p>
        </w:tc>
        <w:tc>
          <w:tcPr>
            <w:tcW w:w="138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szCs w:val="22"/>
                <w:lang w:bidi="ar"/>
              </w:rPr>
              <w:t>162,591.24</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7.</w:t>
            </w:r>
            <w:r>
              <w:rPr>
                <w:color w:val="000000"/>
                <w:kern w:val="0"/>
                <w:sz w:val="22"/>
                <w:szCs w:val="22"/>
                <w:lang w:bidi="ar"/>
              </w:rPr>
              <w:t>14</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157,578.66</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7.64</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139,392.92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7.24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color w:val="000000"/>
                <w:szCs w:val="21"/>
              </w:rPr>
              <w:t>递延所得税负债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rPr>
              <w:t>12,</w:t>
            </w:r>
            <w:r>
              <w:rPr>
                <w:color w:val="000000"/>
                <w:kern w:val="0"/>
                <w:szCs w:val="21"/>
                <w:lang w:bidi="ar"/>
              </w:rPr>
              <w:t xml:space="preserve">710.16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rPr>
              <w:t>0.</w:t>
            </w:r>
            <w:r>
              <w:rPr>
                <w:color w:val="000000"/>
                <w:kern w:val="0"/>
                <w:szCs w:val="21"/>
                <w:lang w:bidi="ar"/>
              </w:rPr>
              <w:t>56</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 w:val="22"/>
                <w:szCs w:val="22"/>
                <w:lang w:bidi="ar"/>
              </w:rPr>
              <w:t>12,021.89</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szCs w:val="21"/>
              </w:rPr>
            </w:pPr>
            <w:r>
              <w:rPr>
                <w:color w:val="000000"/>
                <w:kern w:val="0"/>
                <w:sz w:val="22"/>
              </w:rPr>
              <w:t>0.</w:t>
            </w:r>
            <w:r>
              <w:rPr>
                <w:color w:val="000000"/>
                <w:kern w:val="0"/>
                <w:sz w:val="22"/>
                <w:szCs w:val="22"/>
                <w:lang w:bidi="ar"/>
              </w:rPr>
              <w:t>53</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rPr>
            </w:pPr>
            <w:r>
              <w:rPr>
                <w:color w:val="000000"/>
                <w:szCs w:val="21"/>
                <w:lang w:bidi="ar"/>
              </w:rPr>
              <w:t>8,879.94</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szCs w:val="21"/>
                <w:lang w:bidi="ar"/>
              </w:rPr>
              <w:t>0.43</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 xml:space="preserve">7,150.50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rPr>
            </w:pPr>
            <w:r>
              <w:rPr>
                <w:color w:val="000000"/>
              </w:rPr>
              <w:t xml:space="preserve">0.37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szCs w:val="21"/>
              </w:rPr>
            </w:pPr>
            <w:r>
              <w:rPr>
                <w:color w:val="000000"/>
                <w:szCs w:val="21"/>
              </w:rPr>
              <w:t>其他非流动负债</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rFonts w:eastAsia="Times New Roman"/>
                <w:color w:val="000000"/>
                <w:kern w:val="0"/>
                <w:szCs w:val="21"/>
                <w:lang w:bidi="ar"/>
              </w:rPr>
              <w:t xml:space="preserve"> </w:t>
            </w:r>
            <w:r>
              <w:rPr>
                <w:color w:val="000000"/>
                <w:kern w:val="0"/>
                <w:szCs w:val="21"/>
                <w:lang w:bidi="ar"/>
              </w:rPr>
              <w:t xml:space="preserve">194.21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szCs w:val="21"/>
                <w:lang w:bidi="ar"/>
              </w:rPr>
            </w:pPr>
            <w:r>
              <w:rPr>
                <w:color w:val="000000"/>
                <w:kern w:val="0"/>
                <w:szCs w:val="21"/>
                <w:lang w:bidi="ar"/>
              </w:rPr>
              <w:t>0.01</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 w:val="22"/>
                <w:szCs w:val="22"/>
                <w:lang w:bidi="ar"/>
              </w:rPr>
            </w:pPr>
            <w:r>
              <w:rPr>
                <w:color w:val="000000"/>
                <w:kern w:val="0"/>
                <w:sz w:val="22"/>
                <w:szCs w:val="22"/>
                <w:lang w:bidi="ar"/>
              </w:rPr>
              <w:t>-</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color w:val="000000"/>
                <w:kern w:val="0"/>
                <w:sz w:val="22"/>
                <w:szCs w:val="22"/>
                <w:lang w:bidi="ar"/>
              </w:rPr>
            </w:pPr>
            <w:r>
              <w:rPr>
                <w:color w:val="000000"/>
                <w:kern w:val="0"/>
                <w:sz w:val="22"/>
                <w:szCs w:val="22"/>
                <w:lang w:bidi="ar"/>
              </w:rPr>
              <w:t>-</w:t>
            </w:r>
          </w:p>
        </w:tc>
        <w:tc>
          <w:tcPr>
            <w:tcW w:w="1401"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snapToGrid w:val="false"/>
              <w:jc w:val="right"/>
              <w:rPr>
                <w:color w:val="000000"/>
                <w:szCs w:val="21"/>
                <w:lang w:bidi="ar"/>
              </w:rPr>
            </w:pPr>
            <w:r>
              <w:rPr>
                <w:color w:val="000000"/>
                <w:szCs w:val="21"/>
                <w:lang w:bidi="ar"/>
              </w:rPr>
              <w:t>-</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szCs w:val="21"/>
                <w:lang w:bidi="ar"/>
              </w:rPr>
            </w:pPr>
            <w:r>
              <w:rPr>
                <w:color w:val="000000"/>
                <w:szCs w:val="21"/>
                <w:lang w:bidi="ar"/>
              </w:rPr>
              <w:t>-</w:t>
            </w:r>
          </w:p>
        </w:tc>
        <w:tc>
          <w:tcPr>
            <w:tcW w:w="142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rPr>
                <w:color w:val="000000"/>
                <w:szCs w:val="21"/>
              </w:rPr>
            </w:pPr>
            <w:r>
              <w:rPr>
                <w:color w:val="000000"/>
                <w:szCs w:val="21"/>
              </w:rPr>
              <w:t>-</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color w:val="000000"/>
              </w:rPr>
            </w:pPr>
            <w:r>
              <w:rPr>
                <w:color w:val="000000"/>
              </w:rPr>
              <w:t>-</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b/>
                <w:bCs/>
                <w:color w:val="000000"/>
                <w:szCs w:val="21"/>
              </w:rPr>
              <w:t>非流动负债合计</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kern w:val="0"/>
                <w:szCs w:val="21"/>
              </w:rPr>
            </w:pPr>
            <w:r>
              <w:rPr>
                <w:b/>
                <w:bCs/>
                <w:color w:val="000000"/>
                <w:kern w:val="0"/>
                <w:szCs w:val="21"/>
                <w:lang w:bidi="ar"/>
              </w:rPr>
              <w:t xml:space="preserve">1,039,464.48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b/>
                <w:bCs/>
                <w:szCs w:val="21"/>
                <w:lang w:bidi="ar"/>
              </w:rPr>
            </w:pPr>
            <w:r>
              <w:rPr>
                <w:b/>
                <w:bCs/>
                <w:color w:val="000000"/>
                <w:kern w:val="0"/>
                <w:szCs w:val="21"/>
                <w:lang w:bidi="ar"/>
              </w:rPr>
              <w:t>45.65</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bCs/>
                <w:color w:val="000000"/>
                <w:kern w:val="0"/>
                <w:sz w:val="22"/>
                <w:szCs w:val="22"/>
                <w:lang w:bidi="ar"/>
              </w:rPr>
              <w:t>956,642.09</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b/>
                <w:bCs/>
                <w:color w:val="000000"/>
                <w:szCs w:val="21"/>
              </w:rPr>
            </w:pPr>
            <w:r>
              <w:rPr>
                <w:b/>
                <w:bCs/>
                <w:color w:val="000000"/>
                <w:kern w:val="0"/>
                <w:sz w:val="22"/>
                <w:szCs w:val="22"/>
                <w:lang w:bidi="ar"/>
              </w:rPr>
              <w:t>42.04</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szCs w:val="21"/>
              </w:rPr>
              <w:t>864,211.13</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szCs w:val="21"/>
                <w:lang w:bidi="ar"/>
              </w:rPr>
              <w:t>41.89</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szCs w:val="21"/>
              </w:rPr>
              <w:t>894,910.18</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rPr>
              <w:t xml:space="preserve">46.46 </w:t>
            </w:r>
          </w:p>
        </w:tc>
      </w:tr>
      <w:tr>
        <w:trPr>
          <w:trHeight w:val="454" w:hRule="atLeast"/>
        </w:trPr>
        <w:tc>
          <w:tcPr>
            <w:tcW w:w="1465" w:type="dxa"/>
            <w:tcBorders>
              <w:top w:val="single" w:sz="4" w:space="0" w:color="000000"/>
              <w:left w:val="single" w:sz="4" w:space="0" w:color="000000"/>
              <w:bottom w:val="single" w:sz="4" w:space="0" w:color="000000"/>
              <w:right w:val="single" w:sz="4" w:space="0" w:color="000000"/>
            </w:tcBorders>
            <w:vAlign w:val="center"/>
          </w:tcPr>
          <w:p>
            <w:pPr>
              <w:pStyle w:val="Normal"/>
              <w:widowControl/>
              <w:rPr>
                <w:color w:val="000000"/>
                <w:kern w:val="0"/>
                <w:szCs w:val="21"/>
              </w:rPr>
            </w:pPr>
            <w:r>
              <w:rPr>
                <w:b/>
                <w:bCs/>
                <w:color w:val="000000"/>
                <w:szCs w:val="21"/>
              </w:rPr>
              <w:t>负债合计</w:t>
            </w:r>
          </w:p>
        </w:tc>
        <w:tc>
          <w:tcPr>
            <w:tcW w:w="13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kern w:val="0"/>
                <w:szCs w:val="21"/>
              </w:rPr>
            </w:pPr>
            <w:r>
              <w:rPr>
                <w:b/>
                <w:color w:val="000000"/>
                <w:kern w:val="0"/>
              </w:rPr>
              <w:t>2,</w:t>
            </w:r>
            <w:r>
              <w:rPr>
                <w:b/>
                <w:bCs/>
                <w:color w:val="000000"/>
                <w:kern w:val="0"/>
                <w:szCs w:val="21"/>
                <w:lang w:bidi="ar"/>
              </w:rPr>
              <w:t xml:space="preserve">276,878.25 </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b/>
                <w:bCs/>
                <w:szCs w:val="21"/>
                <w:lang w:bidi="ar"/>
              </w:rPr>
            </w:pPr>
            <w:r>
              <w:rPr>
                <w:b/>
                <w:color w:val="000000"/>
                <w:kern w:val="0"/>
              </w:rPr>
              <w:t>100.00</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b/>
                <w:bCs/>
                <w:color w:val="000000"/>
                <w:szCs w:val="21"/>
              </w:rPr>
            </w:pPr>
            <w:r>
              <w:rPr>
                <w:b/>
                <w:color w:val="000000"/>
                <w:kern w:val="0"/>
                <w:sz w:val="22"/>
              </w:rPr>
              <w:t>2,</w:t>
            </w:r>
            <w:r>
              <w:rPr>
                <w:b/>
                <w:bCs/>
                <w:color w:val="000000"/>
                <w:kern w:val="0"/>
                <w:sz w:val="22"/>
                <w:szCs w:val="22"/>
                <w:lang w:bidi="ar"/>
              </w:rPr>
              <w:t>275,727.98</w:t>
            </w:r>
          </w:p>
        </w:tc>
        <w:tc>
          <w:tcPr>
            <w:tcW w:w="1056"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widowControl/>
              <w:jc w:val="right"/>
              <w:textAlignment w:val="center"/>
              <w:rPr>
                <w:b/>
                <w:bCs/>
                <w:color w:val="000000"/>
                <w:szCs w:val="21"/>
              </w:rPr>
            </w:pPr>
            <w:r>
              <w:rPr>
                <w:b/>
                <w:color w:val="000000"/>
                <w:kern w:val="0"/>
                <w:sz w:val="22"/>
              </w:rPr>
              <w:t>100.00</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szCs w:val="21"/>
                <w:lang w:bidi="ar"/>
              </w:rPr>
              <w:t>2,062,865.09</w:t>
            </w:r>
          </w:p>
        </w:tc>
        <w:tc>
          <w:tcPr>
            <w:tcW w:w="106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bCs/>
                <w:color w:val="000000"/>
                <w:szCs w:val="21"/>
                <w:lang w:bidi="ar"/>
              </w:rPr>
              <w:t>100.00</w:t>
            </w:r>
          </w:p>
        </w:tc>
        <w:tc>
          <w:tcPr>
            <w:tcW w:w="142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color w:val="000000"/>
              </w:rPr>
              <w:t>1,</w:t>
            </w:r>
            <w:r>
              <w:rPr>
                <w:b/>
                <w:bCs/>
                <w:color w:val="000000"/>
                <w:szCs w:val="21"/>
              </w:rPr>
              <w:t xml:space="preserve">926,305.80 </w:t>
            </w:r>
          </w:p>
        </w:tc>
        <w:tc>
          <w:tcPr>
            <w:tcW w:w="96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b/>
                <w:bCs/>
                <w:color w:val="000000"/>
                <w:szCs w:val="21"/>
              </w:rPr>
            </w:pPr>
            <w:r>
              <w:rPr>
                <w:b/>
                <w:color w:val="000000"/>
              </w:rPr>
              <w:t>100.00</w:t>
            </w:r>
            <w:r>
              <w:rPr>
                <w:b/>
                <w:bCs/>
                <w:color w:val="000000"/>
              </w:rPr>
              <w:t xml:space="preserve"> </w:t>
            </w:r>
          </w:p>
        </w:tc>
      </w:tr>
    </w:tbl>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近三年及一期末，公司资产负债率分别为</w:t>
      </w:r>
      <w:r>
        <w:rPr>
          <w:rFonts w:eastAsia="宋体;汉仪书宋二KW" w:cs="Times New Roman" w:ascii="宋体;汉仪书宋二KW" w:hAnsi="宋体;汉仪书宋二KW"/>
          <w:color w:val="000000"/>
          <w:szCs w:val="21"/>
        </w:rPr>
        <w:t>71.43%</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72.39%</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71.07%</w:t>
      </w:r>
      <w:r>
        <w:rPr>
          <w:rFonts w:ascii="宋体;汉仪书宋二KW" w:hAnsi="宋体;汉仪书宋二KW" w:cs="Times New Roman" w:eastAsia="宋体;汉仪书宋二KW"/>
          <w:color w:val="000000"/>
          <w:szCs w:val="21"/>
        </w:rPr>
        <w:t>及</w:t>
      </w:r>
      <w:r>
        <w:rPr>
          <w:rFonts w:eastAsia="宋体;汉仪书宋二KW" w:cs="Times New Roman" w:ascii="宋体;汉仪书宋二KW" w:hAnsi="宋体;汉仪书宋二KW"/>
          <w:color w:val="000000"/>
          <w:szCs w:val="21"/>
        </w:rPr>
        <w:t>68.31%</w:t>
      </w:r>
      <w:r>
        <w:rPr>
          <w:rFonts w:ascii="宋体;汉仪书宋二KW" w:hAnsi="宋体;汉仪书宋二KW" w:cs="Times New Roman" w:eastAsia="宋体;汉仪书宋二KW"/>
          <w:color w:val="000000"/>
          <w:szCs w:val="21"/>
        </w:rPr>
        <w:t>，呈持续上升趋势。公司的流动比率分别为</w:t>
      </w:r>
      <w:r>
        <w:rPr>
          <w:rFonts w:eastAsia="宋体;汉仪书宋二KW" w:cs="Times New Roman" w:ascii="宋体;汉仪书宋二KW" w:hAnsi="宋体;汉仪书宋二KW"/>
          <w:color w:val="000000"/>
          <w:szCs w:val="21"/>
        </w:rPr>
        <w:t>0.79</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0.65</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0.69</w:t>
      </w:r>
      <w:r>
        <w:rPr>
          <w:rFonts w:ascii="宋体;汉仪书宋二KW" w:hAnsi="宋体;汉仪书宋二KW" w:cs="Times New Roman" w:eastAsia="宋体;汉仪书宋二KW"/>
          <w:color w:val="000000"/>
          <w:szCs w:val="21"/>
        </w:rPr>
        <w:t>和</w:t>
      </w:r>
      <w:r>
        <w:rPr>
          <w:rFonts w:eastAsia="宋体;汉仪书宋二KW" w:cs="Times New Roman" w:ascii="宋体;汉仪书宋二KW" w:hAnsi="宋体;汉仪书宋二KW"/>
          <w:color w:val="000000"/>
          <w:szCs w:val="21"/>
        </w:rPr>
        <w:t>0.65</w:t>
      </w:r>
      <w:r>
        <w:rPr>
          <w:rFonts w:ascii="宋体;汉仪书宋二KW" w:hAnsi="宋体;汉仪书宋二KW" w:cs="Times New Roman" w:eastAsia="宋体;汉仪书宋二KW"/>
          <w:color w:val="000000"/>
          <w:szCs w:val="21"/>
        </w:rPr>
        <w:t>，速动比率分别为</w:t>
      </w:r>
      <w:r>
        <w:rPr>
          <w:rFonts w:eastAsia="宋体;汉仪书宋二KW" w:cs="Times New Roman" w:ascii="宋体;汉仪书宋二KW" w:hAnsi="宋体;汉仪书宋二KW"/>
          <w:color w:val="000000"/>
          <w:szCs w:val="21"/>
        </w:rPr>
        <w:t>0.63</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0.51</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0.59</w:t>
      </w:r>
      <w:r>
        <w:rPr>
          <w:rFonts w:ascii="宋体;汉仪书宋二KW" w:hAnsi="宋体;汉仪书宋二KW" w:cs="Times New Roman" w:eastAsia="宋体;汉仪书宋二KW"/>
          <w:color w:val="000000"/>
          <w:szCs w:val="21"/>
        </w:rPr>
        <w:t>和</w:t>
      </w:r>
      <w:r>
        <w:rPr>
          <w:rFonts w:eastAsia="宋体;汉仪书宋二KW" w:cs="Times New Roman" w:ascii="宋体;汉仪书宋二KW" w:hAnsi="宋体;汉仪书宋二KW"/>
          <w:color w:val="000000"/>
          <w:szCs w:val="21"/>
        </w:rPr>
        <w:t>0.54</w:t>
      </w:r>
      <w:r>
        <w:rPr>
          <w:rFonts w:ascii="宋体;汉仪书宋二KW" w:hAnsi="宋体;汉仪书宋二KW" w:cs="Times New Roman" w:eastAsia="宋体;汉仪书宋二KW"/>
          <w:color w:val="000000"/>
          <w:szCs w:val="21"/>
        </w:rPr>
        <w:t>，均呈波动趋势。</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numPr>
          <w:ilvl w:val="0"/>
          <w:numId w:val="0"/>
        </w:numPr>
        <w:snapToGrid w:val="false"/>
        <w:spacing w:lineRule="exact" w:line="480"/>
        <w:ind w:firstLine="420" w:right="0"/>
        <w:outlineLvl w:val="2"/>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2.</w:t>
      </w:r>
      <w:r>
        <w:rPr>
          <w:rFonts w:ascii="宋体;汉仪书宋二KW" w:hAnsi="宋体;汉仪书宋二KW" w:cs="宋体;汉仪书宋二KW"/>
          <w:color w:val="000000"/>
          <w:szCs w:val="21"/>
        </w:rPr>
        <w:t>关联交易（选择性）</w:t>
      </w: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如关联方往来在其他应收款、其他应付款等科目中占比超过</w:t>
      </w:r>
      <w:r>
        <w:rPr>
          <w:rFonts w:cs="宋体;汉仪书宋二KW" w:ascii="宋体;汉仪书宋二KW" w:hAnsi="宋体;汉仪书宋二KW"/>
          <w:color w:val="000000"/>
          <w:szCs w:val="21"/>
        </w:rPr>
        <w:t>50%</w:t>
      </w:r>
      <w:r>
        <w:rPr>
          <w:rFonts w:ascii="宋体;汉仪书宋二KW" w:hAnsi="宋体;汉仪书宋二KW" w:cs="宋体;汉仪书宋二KW"/>
          <w:color w:val="000000"/>
          <w:szCs w:val="21"/>
        </w:rPr>
        <w:t>，须对关联方资金净占用情况进行说明。</w:t>
      </w:r>
    </w:p>
    <w:p>
      <w:pPr>
        <w:pStyle w:val="Normal"/>
        <w:numPr>
          <w:ilvl w:val="0"/>
          <w:numId w:val="0"/>
        </w:numPr>
        <w:snapToGrid w:val="false"/>
        <w:spacing w:lineRule="exact" w:line="480"/>
        <w:ind w:firstLine="420" w:right="0"/>
        <w:outlineLvl w:val="2"/>
        <w:rPr>
          <w:rFonts w:ascii="宋体;汉仪书宋二KW" w:hAnsi="宋体;汉仪书宋二KW" w:eastAsia="宋体;汉仪书宋二KW" w:cs="宋体;汉仪书宋二KW"/>
          <w:color w:val="000000"/>
          <w:szCs w:val="21"/>
          <w:lang w:eastAsia="zh-CN"/>
        </w:rPr>
      </w:pPr>
      <w:r>
        <w:rPr>
          <w:rFonts w:ascii="宋体;汉仪书宋二KW" w:hAnsi="宋体;汉仪书宋二KW" w:cs="宋体;汉仪书宋二KW"/>
          <w:color w:val="000000"/>
          <w:szCs w:val="21"/>
          <w:lang w:eastAsia="zh-CN"/>
        </w:rPr>
        <w:t>不涉及。</w:t>
      </w:r>
    </w:p>
    <w:p>
      <w:pPr>
        <w:pStyle w:val="Normal"/>
        <w:numPr>
          <w:ilvl w:val="0"/>
          <w:numId w:val="0"/>
        </w:numPr>
        <w:snapToGrid w:val="false"/>
        <w:spacing w:lineRule="exact" w:line="480"/>
        <w:ind w:firstLine="420" w:right="0"/>
        <w:outlineLvl w:val="2"/>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3.</w:t>
      </w:r>
      <w:r>
        <w:rPr>
          <w:rFonts w:ascii="宋体;汉仪书宋二KW" w:hAnsi="宋体;汉仪书宋二KW" w:cs="宋体;汉仪书宋二KW"/>
          <w:color w:val="000000"/>
          <w:szCs w:val="21"/>
        </w:rPr>
        <w:t>收入盈利</w:t>
      </w:r>
    </w:p>
    <w:p>
      <w:pPr>
        <w:pStyle w:val="Normal"/>
        <w:autoSpaceDE w:val="false"/>
        <w:snapToGrid w:val="false"/>
        <w:spacing w:lineRule="auto" w:line="360" w:before="93" w:after="93"/>
        <w:ind w:firstLine="480" w:right="0"/>
        <w:rPr>
          <w:rFonts w:ascii="Times New Roman" w:hAnsi="Times New Roman" w:eastAsia="宋体;汉仪书宋二KW" w:cs="Times New Roman"/>
          <w:color w:val="000000"/>
          <w:kern w:val="0"/>
          <w:sz w:val="24"/>
          <w:szCs w:val="24"/>
        </w:rPr>
      </w:pPr>
    </w:p>
    <w:p>
      <w:pPr>
        <w:pStyle w:val="Normal"/>
        <w:autoSpaceDE w:val="false"/>
        <w:spacing w:lineRule="auto" w:line="360"/>
        <w:jc w:val="center"/>
        <w:rPr>
          <w:rFonts w:ascii="Times New Roman" w:hAnsi="Times New Roman" w:eastAsia="宋体;汉仪书宋二KW" w:cs="Times New Roman"/>
          <w:b/>
          <w:color w:val="000000"/>
          <w:kern w:val="0"/>
          <w:sz w:val="24"/>
          <w:szCs w:val="21"/>
        </w:rPr>
      </w:pPr>
      <w:r>
        <w:rPr>
          <w:rFonts w:ascii="Times New Roman" w:hAnsi="Times New Roman" w:cs="Times New Roman" w:eastAsia="宋体;汉仪书宋二KW"/>
          <w:b/>
          <w:color w:val="000000"/>
          <w:kern w:val="0"/>
          <w:sz w:val="24"/>
          <w:szCs w:val="21"/>
        </w:rPr>
        <w:t>近三年及一期公司盈利情况</w:t>
      </w:r>
    </w:p>
    <w:p>
      <w:pPr>
        <w:pStyle w:val="Normal"/>
        <w:jc w:val="right"/>
        <w:rPr>
          <w:rFonts w:ascii="Times New Roman" w:hAnsi="Times New Roman" w:eastAsia="宋体;汉仪书宋二KW" w:cs="Times New Roman"/>
          <w:szCs w:val="24"/>
        </w:rPr>
      </w:pPr>
      <w:r>
        <w:rPr>
          <w:rFonts w:ascii="Times New Roman" w:hAnsi="Times New Roman" w:cs="Times New Roman" w:eastAsia="宋体;汉仪书宋二KW"/>
          <w:szCs w:val="24"/>
        </w:rPr>
        <w:t>单位：万元，</w:t>
      </w:r>
      <w:r>
        <w:rPr>
          <w:rFonts w:eastAsia="宋体;汉仪书宋二KW" w:cs="Times New Roman"/>
          <w:szCs w:val="24"/>
        </w:rPr>
        <w:t>%</w:t>
      </w:r>
    </w:p>
    <w:tbl>
      <w:tblPr>
        <w:tblW w:w="5000" w:type="pct"/>
        <w:jc w:val="center"/>
        <w:tblInd w:w="0" w:type="dxa"/>
        <w:tblLayout w:type="fixed"/>
        <w:tblCellMar>
          <w:top w:w="0" w:type="dxa"/>
          <w:left w:w="108" w:type="dxa"/>
          <w:bottom w:w="0" w:type="dxa"/>
          <w:right w:w="108" w:type="dxa"/>
        </w:tblCellMar>
      </w:tblPr>
      <w:tblGrid>
        <w:gridCol w:w="2609"/>
        <w:gridCol w:w="1776"/>
        <w:gridCol w:w="1307"/>
        <w:gridCol w:w="1307"/>
        <w:gridCol w:w="1307"/>
      </w:tblGrid>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b/>
                <w:color w:val="000000"/>
                <w:szCs w:val="21"/>
                <w:lang w:val="zh-CN"/>
              </w:rPr>
            </w:pPr>
            <w:r>
              <w:rPr>
                <w:rFonts w:ascii="Times New Roman" w:hAnsi="Times New Roman" w:cs="Times New Roman" w:eastAsia="宋体;汉仪书宋二KW"/>
                <w:b/>
                <w:color w:val="000000"/>
                <w:szCs w:val="21"/>
                <w:lang w:val="zh-CN"/>
              </w:rPr>
              <w:t>项目</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b/>
                <w:color w:val="000000"/>
                <w:szCs w:val="21"/>
              </w:rPr>
            </w:pPr>
            <w:r>
              <w:rPr>
                <w:rFonts w:eastAsia="宋体;汉仪书宋二KW" w:cs="Times New Roman"/>
                <w:b/>
                <w:color w:val="000000"/>
                <w:szCs w:val="21"/>
              </w:rPr>
              <w:t>2025</w:t>
            </w:r>
            <w:r>
              <w:rPr>
                <w:rFonts w:ascii="Times New Roman" w:hAnsi="Times New Roman" w:cs="Times New Roman" w:eastAsia="宋体;汉仪书宋二KW"/>
                <w:b/>
                <w:color w:val="000000"/>
                <w:szCs w:val="21"/>
              </w:rPr>
              <w:t>年</w:t>
            </w:r>
            <w:r>
              <w:rPr>
                <w:rFonts w:eastAsia="宋体;汉仪书宋二KW" w:cs="Times New Roman"/>
                <w:b/>
                <w:color w:val="000000"/>
                <w:szCs w:val="21"/>
              </w:rPr>
              <w:t>1-3</w:t>
            </w:r>
            <w:r>
              <w:rPr>
                <w:rFonts w:ascii="Times New Roman" w:hAnsi="Times New Roman" w:cs="Times New Roman" w:eastAsia="宋体;汉仪书宋二KW"/>
                <w:b/>
                <w:color w:val="000000"/>
                <w:szCs w:val="21"/>
              </w:rPr>
              <w:t>月</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b/>
                <w:color w:val="000000"/>
                <w:szCs w:val="21"/>
                <w:lang w:val="zh-CN"/>
              </w:rPr>
            </w:pPr>
            <w:r>
              <w:rPr>
                <w:rFonts w:eastAsia="宋体;汉仪书宋二KW" w:cs="Times New Roman"/>
                <w:b/>
                <w:color w:val="000000"/>
                <w:szCs w:val="21"/>
                <w:lang w:val="zh-CN"/>
              </w:rPr>
              <w:t>202</w:t>
            </w:r>
            <w:r>
              <w:rPr>
                <w:rFonts w:eastAsia="宋体;汉仪书宋二KW" w:cs="Times New Roman"/>
                <w:b/>
                <w:color w:val="000000"/>
                <w:szCs w:val="21"/>
              </w:rPr>
              <w:t>4</w:t>
            </w:r>
            <w:r>
              <w:rPr>
                <w:rFonts w:ascii="Times New Roman" w:hAnsi="Times New Roman" w:cs="Times New Roman" w:eastAsia="宋体;汉仪书宋二KW"/>
                <w:b/>
                <w:color w:val="000000"/>
                <w:szCs w:val="21"/>
                <w:lang w:val="zh-CN"/>
              </w:rPr>
              <w:t>年度</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b/>
                <w:color w:val="000000"/>
                <w:szCs w:val="21"/>
                <w:lang w:val="zh-CN"/>
              </w:rPr>
            </w:pPr>
            <w:r>
              <w:rPr>
                <w:rFonts w:eastAsia="宋体;汉仪书宋二KW" w:cs="Times New Roman"/>
                <w:b/>
                <w:color w:val="000000"/>
                <w:szCs w:val="24"/>
                <w:lang w:val="zh-CN"/>
              </w:rPr>
              <w:t>202</w:t>
            </w:r>
            <w:r>
              <w:rPr>
                <w:rFonts w:eastAsia="宋体;汉仪书宋二KW" w:cs="Times New Roman"/>
                <w:b/>
                <w:color w:val="000000"/>
                <w:szCs w:val="24"/>
              </w:rPr>
              <w:t>3</w:t>
            </w:r>
            <w:r>
              <w:rPr>
                <w:rFonts w:ascii="Times New Roman" w:hAnsi="Times New Roman" w:cs="Times New Roman" w:eastAsia="宋体;汉仪书宋二KW"/>
                <w:b/>
                <w:color w:val="000000"/>
                <w:szCs w:val="24"/>
                <w:lang w:val="zh-CN"/>
              </w:rPr>
              <w:t>年度</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b/>
                <w:color w:val="000000"/>
                <w:szCs w:val="21"/>
                <w:lang w:val="zh-CN"/>
              </w:rPr>
            </w:pPr>
            <w:r>
              <w:rPr>
                <w:rFonts w:eastAsia="宋体;汉仪书宋二KW" w:cs="Times New Roman"/>
                <w:b/>
                <w:color w:val="000000"/>
                <w:szCs w:val="21"/>
                <w:lang w:val="zh-CN"/>
              </w:rPr>
              <w:t>202</w:t>
            </w:r>
            <w:r>
              <w:rPr>
                <w:rFonts w:eastAsia="宋体;汉仪书宋二KW" w:cs="Times New Roman"/>
                <w:b/>
                <w:color w:val="000000"/>
                <w:szCs w:val="24"/>
              </w:rPr>
              <w:t>2</w:t>
            </w:r>
            <w:r>
              <w:rPr>
                <w:rFonts w:ascii="Times New Roman" w:hAnsi="Times New Roman" w:cs="Times New Roman" w:eastAsia="宋体;汉仪书宋二KW"/>
                <w:b/>
                <w:color w:val="000000"/>
                <w:szCs w:val="21"/>
                <w:lang w:val="zh-CN"/>
              </w:rPr>
              <w:t>年度</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营业收入</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 xml:space="preserve">175,663.84 </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1"/>
                <w:lang w:bidi="ar"/>
              </w:rPr>
              <w:t>803,336.87</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lang w:bidi="ar"/>
              </w:rPr>
              <w:t>735,243.98</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rPr>
              <w:t xml:space="preserve">651,211.21 </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营业成本</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 xml:space="preserve">121,868.83 </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1"/>
                <w:lang w:bidi="ar"/>
              </w:rPr>
              <w:t>560,067.04</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lang w:bidi="ar"/>
              </w:rPr>
              <w:t>524,706.77</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rPr>
              <w:t>453,187.64</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投资收益</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4"/>
              </w:rPr>
              <w:t>2,</w:t>
            </w:r>
            <w:r>
              <w:rPr>
                <w:rFonts w:eastAsia="宋体;汉仪书宋二KW" w:cs="Times New Roman"/>
                <w:color w:val="000000"/>
                <w:kern w:val="0"/>
                <w:szCs w:val="21"/>
                <w:lang w:bidi="ar"/>
              </w:rPr>
              <w:t xml:space="preserve">348.25 </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1"/>
                <w:lang w:bidi="ar"/>
              </w:rPr>
              <w:t>3,110.04</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lang w:bidi="ar"/>
              </w:rPr>
              <w:t>8,385.79</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4"/>
              </w:rPr>
              <w:t>1,</w:t>
            </w:r>
            <w:r>
              <w:rPr>
                <w:rFonts w:eastAsia="宋体;汉仪书宋二KW" w:cs="Times New Roman"/>
                <w:color w:val="000000"/>
                <w:szCs w:val="21"/>
              </w:rPr>
              <w:t>333.57</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利润总额</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 xml:space="preserve">13,359.08 </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1"/>
                <w:lang w:bidi="ar"/>
              </w:rPr>
              <w:t>76,925.84</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lang w:bidi="ar"/>
              </w:rPr>
              <w:t>64,095.32</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52,100.64</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净利润</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ascii="Times New Roman" w:hAnsi="Times New Roman" w:cs="Times New Roman" w:eastAsia="Times New Roman"/>
                <w:color w:val="000000"/>
                <w:kern w:val="0"/>
                <w:szCs w:val="21"/>
                <w:lang w:bidi="ar"/>
              </w:rPr>
              <w:t xml:space="preserve"> </w:t>
            </w:r>
            <w:r>
              <w:rPr>
                <w:rFonts w:eastAsia="宋体;汉仪书宋二KW" w:cs="Times New Roman"/>
                <w:color w:val="000000"/>
                <w:kern w:val="0"/>
                <w:szCs w:val="21"/>
                <w:lang w:bidi="ar"/>
              </w:rPr>
              <w:t xml:space="preserve">8,667.36 </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kern w:val="0"/>
                <w:szCs w:val="21"/>
                <w:lang w:bidi="ar"/>
              </w:rPr>
              <w:t>47,903.03</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lang w:bidi="ar"/>
              </w:rPr>
              <w:t>42,335.87</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kern w:val="0"/>
                <w:szCs w:val="21"/>
              </w:rPr>
            </w:pPr>
            <w:r>
              <w:rPr>
                <w:rFonts w:eastAsia="宋体;汉仪书宋二KW" w:cs="Times New Roman"/>
                <w:color w:val="000000"/>
                <w:szCs w:val="21"/>
              </w:rPr>
              <w:t>34,581.08</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毛利率</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30.62</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lang w:bidi="ar"/>
              </w:rPr>
              <w:t>30.28</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szCs w:val="21"/>
              </w:rPr>
            </w:pPr>
            <w:r>
              <w:rPr>
                <w:rFonts w:eastAsia="宋体;汉仪书宋二KW" w:cs="Times New Roman"/>
                <w:color w:val="000000"/>
                <w:szCs w:val="21"/>
                <w:lang w:bidi="ar"/>
              </w:rPr>
              <w:t>28.64</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szCs w:val="21"/>
              </w:rPr>
            </w:pPr>
            <w:r>
              <w:rPr>
                <w:rFonts w:eastAsia="宋体;汉仪书宋二KW" w:cs="Times New Roman"/>
                <w:color w:val="000000"/>
                <w:szCs w:val="21"/>
              </w:rPr>
              <w:t xml:space="preserve">30.41 </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净资产收益率</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0.87</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lang w:val="zh-CN"/>
              </w:rPr>
            </w:pPr>
            <w:r>
              <w:rPr>
                <w:rFonts w:eastAsia="宋体;汉仪书宋二KW" w:cs="Times New Roman"/>
                <w:color w:val="000000"/>
                <w:szCs w:val="21"/>
              </w:rPr>
              <w:t>5.59</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lang w:val="zh-CN"/>
              </w:rPr>
            </w:pPr>
            <w:r>
              <w:rPr>
                <w:rFonts w:eastAsia="宋体;汉仪书宋二KW" w:cs="Times New Roman"/>
                <w:color w:val="000000"/>
                <w:szCs w:val="21"/>
              </w:rPr>
              <w:t>5.44</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lang w:val="zh-CN"/>
              </w:rPr>
            </w:pPr>
            <w:r>
              <w:rPr>
                <w:rFonts w:eastAsia="宋体;汉仪书宋二KW" w:cs="Times New Roman"/>
                <w:color w:val="000000"/>
                <w:szCs w:val="21"/>
              </w:rPr>
              <w:t>4.52</w:t>
            </w:r>
          </w:p>
        </w:tc>
      </w:tr>
      <w:tr>
        <w:trPr>
          <w:trHeight w:val="454" w:hRule="atLeast"/>
        </w:trPr>
        <w:tc>
          <w:tcPr>
            <w:tcW w:w="260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Times New Roman" w:hAnsi="Times New Roman" w:eastAsia="宋体;汉仪书宋二KW" w:cs="Times New Roman"/>
                <w:color w:val="000000"/>
                <w:szCs w:val="21"/>
                <w:lang w:val="zh-CN"/>
              </w:rPr>
            </w:pPr>
            <w:r>
              <w:rPr>
                <w:rFonts w:ascii="Times New Roman" w:hAnsi="Times New Roman" w:cs="Times New Roman" w:eastAsia="宋体;汉仪书宋二KW"/>
                <w:color w:val="000000"/>
                <w:szCs w:val="21"/>
                <w:lang w:val="zh-CN"/>
              </w:rPr>
              <w:t>平均总资产回报率</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rPr>
            </w:pPr>
            <w:r>
              <w:rPr>
                <w:rFonts w:eastAsia="宋体;汉仪书宋二KW" w:cs="Times New Roman"/>
                <w:color w:val="000000"/>
                <w:szCs w:val="21"/>
              </w:rPr>
              <w:t>0.68</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lang w:val="zh-CN"/>
              </w:rPr>
            </w:pPr>
            <w:r>
              <w:rPr>
                <w:rFonts w:eastAsia="宋体;汉仪书宋二KW" w:cs="Times New Roman"/>
                <w:color w:val="000000"/>
                <w:szCs w:val="21"/>
              </w:rPr>
              <w:t>3.77</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lang w:val="zh-CN"/>
              </w:rPr>
            </w:pPr>
            <w:r>
              <w:rPr>
                <w:rFonts w:eastAsia="宋体;汉仪书宋二KW" w:cs="Times New Roman"/>
                <w:color w:val="000000"/>
                <w:szCs w:val="21"/>
              </w:rPr>
              <w:t>3.51</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rFonts w:ascii="Times New Roman" w:hAnsi="Times New Roman" w:eastAsia="宋体;汉仪书宋二KW" w:cs="Times New Roman"/>
                <w:color w:val="000000"/>
                <w:szCs w:val="21"/>
                <w:lang w:val="zh-CN"/>
              </w:rPr>
            </w:pPr>
            <w:r>
              <w:rPr>
                <w:rFonts w:eastAsia="宋体;汉仪书宋二KW" w:cs="Times New Roman"/>
                <w:color w:val="000000"/>
                <w:szCs w:val="21"/>
              </w:rPr>
              <w:t>3.40</w:t>
            </w:r>
          </w:p>
        </w:tc>
      </w:tr>
    </w:tbl>
    <w:p>
      <w:pPr>
        <w:pStyle w:val="Normal"/>
        <w:autoSpaceDE w:val="false"/>
        <w:spacing w:lineRule="auto" w:line="288"/>
        <w:ind w:firstLine="1" w:left="141" w:right="139"/>
        <w:rPr>
          <w:rFonts w:ascii="Times New Roman" w:hAnsi="Times New Roman" w:eastAsia="宋体;汉仪书宋二KW" w:cs="Times New Roman"/>
          <w:kern w:val="0"/>
          <w:szCs w:val="21"/>
        </w:rPr>
      </w:pPr>
      <w:r>
        <w:rPr>
          <w:rFonts w:ascii="Times New Roman" w:hAnsi="Times New Roman" w:cs="Times New Roman" w:eastAsia="宋体;汉仪书宋二KW"/>
          <w:kern w:val="0"/>
          <w:szCs w:val="21"/>
        </w:rPr>
        <w:t>注：</w:t>
      </w:r>
      <w:r>
        <w:rPr>
          <w:rFonts w:eastAsia="宋体;汉仪书宋二KW" w:cs="Times New Roman"/>
          <w:kern w:val="0"/>
          <w:szCs w:val="21"/>
        </w:rPr>
        <w:t>2025</w:t>
      </w:r>
      <w:r>
        <w:rPr>
          <w:rFonts w:ascii="Times New Roman" w:hAnsi="Times New Roman" w:cs="Times New Roman" w:eastAsia="宋体;汉仪书宋二KW"/>
          <w:kern w:val="0"/>
          <w:szCs w:val="21"/>
        </w:rPr>
        <w:t>年</w:t>
      </w:r>
      <w:r>
        <w:rPr>
          <w:rFonts w:eastAsia="宋体;汉仪书宋二KW" w:cs="Times New Roman"/>
          <w:kern w:val="0"/>
          <w:szCs w:val="21"/>
        </w:rPr>
        <w:t>1-3</w:t>
      </w:r>
      <w:r>
        <w:rPr>
          <w:rFonts w:ascii="Times New Roman" w:hAnsi="Times New Roman" w:cs="Times New Roman" w:eastAsia="宋体;汉仪书宋二KW"/>
          <w:kern w:val="0"/>
          <w:szCs w:val="21"/>
        </w:rPr>
        <w:t>月净资产收益率、平均总资产回报率未经过年化处理。</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1</w:t>
      </w:r>
      <w:r>
        <w:rPr>
          <w:rFonts w:ascii="宋体;汉仪书宋二KW" w:hAnsi="宋体;汉仪书宋二KW" w:cs="Times New Roman" w:eastAsia="宋体;汉仪书宋二KW"/>
          <w:color w:val="000000"/>
          <w:szCs w:val="21"/>
        </w:rPr>
        <w:t>）</w:t>
      </w:r>
      <w:bookmarkStart w:id="2" w:name="_Hlk123758068"/>
      <w:r>
        <w:rPr>
          <w:rFonts w:ascii="宋体;汉仪书宋二KW" w:hAnsi="宋体;汉仪书宋二KW" w:cs="Times New Roman" w:eastAsia="宋体;汉仪书宋二KW"/>
          <w:color w:val="000000"/>
          <w:szCs w:val="21"/>
        </w:rPr>
        <w:t>营业收入</w:t>
      </w:r>
      <w:bookmarkEnd w:id="2"/>
      <w:r>
        <w:rPr>
          <w:rFonts w:ascii="宋体;汉仪书宋二KW" w:hAnsi="宋体;汉仪书宋二KW" w:cs="Times New Roman" w:eastAsia="宋体;汉仪书宋二KW"/>
          <w:color w:val="000000"/>
          <w:szCs w:val="21"/>
        </w:rPr>
        <w:t>及利润情况</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此外，近年来公司持续开拓水利工程市场，不断加大建筑工程业务投入力度，建筑工程业务收入持续增长。</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2</w:t>
      </w:r>
      <w:r>
        <w:rPr>
          <w:rFonts w:ascii="宋体;汉仪书宋二KW" w:hAnsi="宋体;汉仪书宋二KW" w:cs="Times New Roman" w:eastAsia="宋体;汉仪书宋二KW"/>
          <w:color w:val="000000"/>
          <w:szCs w:val="21"/>
        </w:rPr>
        <w:t>）营业成本</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3</w:t>
      </w:r>
      <w:r>
        <w:rPr>
          <w:rFonts w:ascii="宋体;汉仪书宋二KW" w:hAnsi="宋体;汉仪书宋二KW" w:cs="Times New Roman" w:eastAsia="宋体;汉仪书宋二KW"/>
          <w:color w:val="000000"/>
          <w:szCs w:val="21"/>
        </w:rPr>
        <w:t>）研发费用</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4</w:t>
      </w:r>
      <w:r>
        <w:rPr>
          <w:rFonts w:ascii="宋体;汉仪书宋二KW" w:hAnsi="宋体;汉仪书宋二KW" w:cs="Times New Roman" w:eastAsia="宋体;汉仪书宋二KW"/>
          <w:color w:val="000000"/>
          <w:szCs w:val="21"/>
        </w:rPr>
        <w:t>）投资收益</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近三年及一期，公司的投资收益分别为</w:t>
      </w:r>
      <w:r>
        <w:rPr>
          <w:rFonts w:eastAsia="宋体;汉仪书宋二KW" w:cs="Times New Roman" w:ascii="宋体;汉仪书宋二KW" w:hAnsi="宋体;汉仪书宋二KW"/>
          <w:color w:val="000000"/>
          <w:szCs w:val="21"/>
        </w:rPr>
        <w:t>1,333.57</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8,385.79</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3,110.04</w:t>
      </w:r>
      <w:r>
        <w:rPr>
          <w:rFonts w:ascii="宋体;汉仪书宋二KW" w:hAnsi="宋体;汉仪书宋二KW" w:cs="Times New Roman" w:eastAsia="宋体;汉仪书宋二KW"/>
          <w:color w:val="000000"/>
          <w:szCs w:val="21"/>
        </w:rPr>
        <w:t>万元和</w:t>
      </w:r>
      <w:r>
        <w:rPr>
          <w:rFonts w:eastAsia="宋体;汉仪书宋二KW" w:cs="Times New Roman" w:ascii="宋体;汉仪书宋二KW" w:hAnsi="宋体;汉仪书宋二KW"/>
          <w:color w:val="000000"/>
          <w:szCs w:val="21"/>
        </w:rPr>
        <w:t>2,348.25</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年度公司的投资收益较</w:t>
      </w:r>
      <w:r>
        <w:rPr>
          <w:rFonts w:eastAsia="宋体;汉仪书宋二KW" w:cs="Times New Roman" w:ascii="宋体;汉仪书宋二KW" w:hAnsi="宋体;汉仪书宋二KW"/>
          <w:color w:val="000000"/>
          <w:szCs w:val="21"/>
        </w:rPr>
        <w:t>2022</w:t>
      </w:r>
      <w:r>
        <w:rPr>
          <w:rFonts w:ascii="宋体;汉仪书宋二KW" w:hAnsi="宋体;汉仪书宋二KW" w:cs="Times New Roman" w:eastAsia="宋体;汉仪书宋二KW"/>
          <w:color w:val="000000"/>
          <w:szCs w:val="21"/>
        </w:rPr>
        <w:t>年度上升</w:t>
      </w:r>
      <w:r>
        <w:rPr>
          <w:rFonts w:eastAsia="宋体;汉仪书宋二KW" w:cs="Times New Roman" w:ascii="宋体;汉仪书宋二KW" w:hAnsi="宋体;汉仪书宋二KW"/>
          <w:color w:val="000000"/>
          <w:szCs w:val="21"/>
        </w:rPr>
        <w:t>7,052.22</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528.82%</w:t>
      </w:r>
      <w:r>
        <w:rPr>
          <w:rFonts w:ascii="宋体;汉仪书宋二KW" w:hAnsi="宋体;汉仪书宋二KW" w:cs="Times New Roman" w:eastAsia="宋体;汉仪书宋二KW"/>
          <w:color w:val="000000"/>
          <w:szCs w:val="21"/>
        </w:rPr>
        <w:t>，主要系子公司权益法长期股权投资增加，以及处置子公司股权收益增加所致。</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年度公司的投资收益较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年度下降</w:t>
      </w:r>
      <w:r>
        <w:rPr>
          <w:rFonts w:eastAsia="宋体;汉仪书宋二KW" w:cs="Times New Roman" w:ascii="宋体;汉仪书宋二KW" w:hAnsi="宋体;汉仪书宋二KW"/>
          <w:color w:val="000000"/>
          <w:szCs w:val="21"/>
        </w:rPr>
        <w:t>5,275.75</w:t>
      </w:r>
      <w:r>
        <w:rPr>
          <w:rFonts w:ascii="宋体;汉仪书宋二KW" w:hAnsi="宋体;汉仪书宋二KW" w:cs="Times New Roman" w:eastAsia="宋体;汉仪书宋二KW"/>
          <w:color w:val="000000"/>
          <w:szCs w:val="21"/>
        </w:rPr>
        <w:t>万元，降幅为</w:t>
      </w:r>
      <w:r>
        <w:rPr>
          <w:rFonts w:eastAsia="宋体;汉仪书宋二KW" w:cs="Times New Roman" w:ascii="宋体;汉仪书宋二KW" w:hAnsi="宋体;汉仪书宋二KW"/>
          <w:color w:val="000000"/>
          <w:szCs w:val="21"/>
        </w:rPr>
        <w:t>62.91%</w:t>
      </w:r>
      <w:r>
        <w:rPr>
          <w:rFonts w:ascii="宋体;汉仪书宋二KW" w:hAnsi="宋体;汉仪书宋二KW" w:cs="Times New Roman" w:eastAsia="宋体;汉仪书宋二KW"/>
          <w:color w:val="000000"/>
          <w:szCs w:val="21"/>
        </w:rPr>
        <w:t>，主要系权益法及成本法核算的长期股权投资收益下滑所致。</w:t>
      </w:r>
      <w:r>
        <w:rPr>
          <w:rFonts w:eastAsia="宋体;汉仪书宋二KW" w:cs="Times New Roman" w:ascii="宋体;汉仪书宋二KW" w:hAnsi="宋体;汉仪书宋二KW"/>
          <w:color w:val="000000"/>
          <w:szCs w:val="21"/>
        </w:rPr>
        <w:t>2025</w:t>
      </w:r>
      <w:r>
        <w:rPr>
          <w:rFonts w:ascii="宋体;汉仪书宋二KW" w:hAnsi="宋体;汉仪书宋二KW" w:cs="Times New Roman" w:eastAsia="宋体;汉仪书宋二KW"/>
          <w:color w:val="000000"/>
          <w:szCs w:val="21"/>
        </w:rPr>
        <w:t>年</w:t>
      </w:r>
      <w:r>
        <w:rPr>
          <w:rFonts w:eastAsia="宋体;汉仪书宋二KW" w:cs="Times New Roman" w:ascii="宋体;汉仪书宋二KW" w:hAnsi="宋体;汉仪书宋二KW"/>
          <w:color w:val="000000"/>
          <w:szCs w:val="21"/>
        </w:rPr>
        <w:t>1-3</w:t>
      </w:r>
      <w:r>
        <w:rPr>
          <w:rFonts w:ascii="宋体;汉仪书宋二KW" w:hAnsi="宋体;汉仪书宋二KW" w:cs="Times New Roman" w:eastAsia="宋体;汉仪书宋二KW"/>
          <w:color w:val="000000"/>
          <w:szCs w:val="21"/>
        </w:rPr>
        <w:t>月公司的投资收益为</w:t>
      </w:r>
      <w:r>
        <w:rPr>
          <w:rFonts w:eastAsia="宋体;汉仪书宋二KW" w:cs="Times New Roman" w:ascii="宋体;汉仪书宋二KW" w:hAnsi="宋体;汉仪书宋二KW"/>
          <w:color w:val="000000"/>
          <w:szCs w:val="21"/>
        </w:rPr>
        <w:t>2,652.60</w:t>
      </w:r>
      <w:r>
        <w:rPr>
          <w:rFonts w:ascii="宋体;汉仪书宋二KW" w:hAnsi="宋体;汉仪书宋二KW" w:cs="Times New Roman" w:eastAsia="宋体;汉仪书宋二KW"/>
          <w:color w:val="000000"/>
          <w:szCs w:val="21"/>
        </w:rPr>
        <w:t>万元，同比增幅较高，主要系所投资联营企业业绩利润同比增加所致。</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公司将投资收益定位于辅助公司利润增长的手段，长期来看，公司将以水务主业为发力点，推动公司可持续发展。水务行业的前景乐观，公司作为国有控股水务企业，股东背景雄厚，在水务行业的竞争中占据一定的先发优势；随着公司全国性战略布局的完成、水处理能力的提高，同时受益于未来水价的渐进式上涨，公司未来收入和盈利能力将持续、稳步提升。</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5</w:t>
      </w:r>
      <w:r>
        <w:rPr>
          <w:rFonts w:ascii="宋体;汉仪书宋二KW" w:hAnsi="宋体;汉仪书宋二KW" w:cs="Times New Roman" w:eastAsia="宋体;汉仪书宋二KW"/>
          <w:color w:val="000000"/>
          <w:szCs w:val="21"/>
        </w:rPr>
        <w:t>）利润总额和净利润情况</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近三年及一期，公司的利润总额分别为</w:t>
      </w:r>
      <w:r>
        <w:rPr>
          <w:rFonts w:eastAsia="宋体;汉仪书宋二KW" w:cs="Times New Roman" w:ascii="宋体;汉仪书宋二KW" w:hAnsi="宋体;汉仪书宋二KW"/>
          <w:color w:val="000000"/>
          <w:szCs w:val="21"/>
        </w:rPr>
        <w:t>52,100.64</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64,095.32</w:t>
      </w:r>
      <w:r>
        <w:rPr>
          <w:rFonts w:ascii="宋体;汉仪书宋二KW" w:hAnsi="宋体;汉仪书宋二KW" w:cs="Times New Roman" w:eastAsia="宋体;汉仪书宋二KW"/>
          <w:color w:val="000000"/>
          <w:szCs w:val="21"/>
        </w:rPr>
        <w:t>万元和</w:t>
      </w:r>
      <w:r>
        <w:rPr>
          <w:rFonts w:eastAsia="宋体;汉仪书宋二KW" w:cs="Times New Roman" w:ascii="宋体;汉仪书宋二KW" w:hAnsi="宋体;汉仪书宋二KW"/>
          <w:color w:val="000000"/>
          <w:szCs w:val="21"/>
        </w:rPr>
        <w:t>76,925.84</w:t>
      </w:r>
      <w:r>
        <w:rPr>
          <w:rFonts w:ascii="宋体;汉仪书宋二KW" w:hAnsi="宋体;汉仪书宋二KW" w:cs="Times New Roman" w:eastAsia="宋体;汉仪书宋二KW"/>
          <w:color w:val="000000"/>
          <w:szCs w:val="21"/>
        </w:rPr>
        <w:t>万元和</w:t>
      </w:r>
      <w:r>
        <w:rPr>
          <w:rFonts w:eastAsia="宋体;汉仪书宋二KW" w:cs="Times New Roman" w:ascii="宋体;汉仪书宋二KW" w:hAnsi="宋体;汉仪书宋二KW"/>
          <w:color w:val="000000"/>
          <w:szCs w:val="21"/>
        </w:rPr>
        <w:t>13,359.08</w:t>
      </w:r>
      <w:r>
        <w:rPr>
          <w:rFonts w:ascii="宋体;汉仪书宋二KW" w:hAnsi="宋体;汉仪书宋二KW" w:cs="Times New Roman" w:eastAsia="宋体;汉仪书宋二KW"/>
          <w:color w:val="000000"/>
          <w:szCs w:val="21"/>
        </w:rPr>
        <w:t>万元，净利润分别为</w:t>
      </w:r>
      <w:r>
        <w:rPr>
          <w:rFonts w:eastAsia="宋体;汉仪书宋二KW" w:cs="Times New Roman" w:ascii="宋体;汉仪书宋二KW" w:hAnsi="宋体;汉仪书宋二KW"/>
          <w:color w:val="000000"/>
          <w:szCs w:val="21"/>
        </w:rPr>
        <w:t>34,581.08</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42,335.87</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47,903.03</w:t>
      </w:r>
      <w:r>
        <w:rPr>
          <w:rFonts w:ascii="宋体;汉仪书宋二KW" w:hAnsi="宋体;汉仪书宋二KW" w:cs="Times New Roman" w:eastAsia="宋体;汉仪书宋二KW"/>
          <w:color w:val="000000"/>
          <w:szCs w:val="21"/>
        </w:rPr>
        <w:t>万元和</w:t>
      </w:r>
      <w:r>
        <w:rPr>
          <w:rFonts w:eastAsia="宋体;汉仪书宋二KW" w:cs="Times New Roman" w:ascii="宋体;汉仪书宋二KW" w:hAnsi="宋体;汉仪书宋二KW"/>
          <w:color w:val="000000"/>
          <w:szCs w:val="21"/>
        </w:rPr>
        <w:t>8,667.36</w:t>
      </w:r>
      <w:r>
        <w:rPr>
          <w:rFonts w:ascii="宋体;汉仪书宋二KW" w:hAnsi="宋体;汉仪书宋二KW" w:cs="Times New Roman" w:eastAsia="宋体;汉仪书宋二KW"/>
          <w:color w:val="000000"/>
          <w:szCs w:val="21"/>
        </w:rPr>
        <w:t>万元。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年公司利润总额较</w:t>
      </w:r>
      <w:r>
        <w:rPr>
          <w:rFonts w:eastAsia="宋体;汉仪书宋二KW" w:cs="Times New Roman" w:ascii="宋体;汉仪书宋二KW" w:hAnsi="宋体;汉仪书宋二KW"/>
          <w:color w:val="000000"/>
          <w:szCs w:val="21"/>
        </w:rPr>
        <w:t>2022</w:t>
      </w:r>
      <w:r>
        <w:rPr>
          <w:rFonts w:ascii="宋体;汉仪书宋二KW" w:hAnsi="宋体;汉仪书宋二KW" w:cs="Times New Roman" w:eastAsia="宋体;汉仪书宋二KW"/>
          <w:color w:val="000000"/>
          <w:szCs w:val="21"/>
        </w:rPr>
        <w:t>年增加</w:t>
      </w:r>
      <w:r>
        <w:rPr>
          <w:rFonts w:eastAsia="宋体;汉仪书宋二KW" w:cs="Times New Roman" w:ascii="宋体;汉仪书宋二KW" w:hAnsi="宋体;汉仪书宋二KW"/>
          <w:color w:val="000000"/>
          <w:szCs w:val="21"/>
        </w:rPr>
        <w:t>11,994.68</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23.02%</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年公司的利润总额较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年同期增加了</w:t>
      </w:r>
      <w:r>
        <w:rPr>
          <w:rFonts w:eastAsia="宋体;汉仪书宋二KW" w:cs="Times New Roman" w:ascii="宋体;汉仪书宋二KW" w:hAnsi="宋体;汉仪书宋二KW"/>
          <w:color w:val="000000"/>
          <w:szCs w:val="21"/>
        </w:rPr>
        <w:t>12,830.52</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20.02%</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年公司净利润较</w:t>
      </w:r>
      <w:r>
        <w:rPr>
          <w:rFonts w:eastAsia="宋体;汉仪书宋二KW" w:cs="Times New Roman" w:ascii="宋体;汉仪书宋二KW" w:hAnsi="宋体;汉仪书宋二KW"/>
          <w:color w:val="000000"/>
          <w:szCs w:val="21"/>
        </w:rPr>
        <w:t>2022</w:t>
      </w:r>
      <w:r>
        <w:rPr>
          <w:rFonts w:ascii="宋体;汉仪书宋二KW" w:hAnsi="宋体;汉仪书宋二KW" w:cs="Times New Roman" w:eastAsia="宋体;汉仪书宋二KW"/>
          <w:color w:val="000000"/>
          <w:szCs w:val="21"/>
        </w:rPr>
        <w:t>年增加</w:t>
      </w:r>
      <w:r>
        <w:rPr>
          <w:rFonts w:eastAsia="宋体;汉仪书宋二KW" w:cs="Times New Roman" w:ascii="宋体;汉仪书宋二KW" w:hAnsi="宋体;汉仪书宋二KW"/>
          <w:color w:val="000000"/>
          <w:szCs w:val="21"/>
        </w:rPr>
        <w:t>7,754.79</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22.42%</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年公司净利润较</w:t>
      </w:r>
      <w:r>
        <w:rPr>
          <w:rFonts w:eastAsia="宋体;汉仪书宋二KW" w:cs="Times New Roman" w:ascii="宋体;汉仪书宋二KW" w:hAnsi="宋体;汉仪书宋二KW"/>
          <w:color w:val="000000"/>
          <w:szCs w:val="21"/>
        </w:rPr>
        <w:t>2023</w:t>
      </w:r>
      <w:r>
        <w:rPr>
          <w:rFonts w:ascii="宋体;汉仪书宋二KW" w:hAnsi="宋体;汉仪书宋二KW" w:cs="Times New Roman" w:eastAsia="宋体;汉仪书宋二KW"/>
          <w:color w:val="000000"/>
          <w:szCs w:val="21"/>
        </w:rPr>
        <w:t>年增加</w:t>
      </w:r>
      <w:r>
        <w:rPr>
          <w:rFonts w:eastAsia="宋体;汉仪书宋二KW" w:cs="Times New Roman" w:ascii="宋体;汉仪书宋二KW" w:hAnsi="宋体;汉仪书宋二KW"/>
          <w:color w:val="000000"/>
          <w:szCs w:val="21"/>
        </w:rPr>
        <w:t>5,567.16</w:t>
      </w:r>
      <w:r>
        <w:rPr>
          <w:rFonts w:ascii="宋体;汉仪书宋二KW" w:hAnsi="宋体;汉仪书宋二KW" w:cs="Times New Roman" w:eastAsia="宋体;汉仪书宋二KW"/>
          <w:color w:val="000000"/>
          <w:szCs w:val="21"/>
        </w:rPr>
        <w:t>万元，增幅为</w:t>
      </w:r>
      <w:r>
        <w:rPr>
          <w:rFonts w:eastAsia="宋体;汉仪书宋二KW" w:cs="Times New Roman" w:ascii="宋体;汉仪书宋二KW" w:hAnsi="宋体;汉仪书宋二KW"/>
          <w:color w:val="000000"/>
          <w:szCs w:val="21"/>
        </w:rPr>
        <w:t>13.15%</w:t>
      </w:r>
      <w:r>
        <w:rPr>
          <w:rFonts w:ascii="宋体;汉仪书宋二KW" w:hAnsi="宋体;汉仪书宋二KW" w:cs="Times New Roman" w:eastAsia="宋体;汉仪书宋二KW"/>
          <w:color w:val="000000"/>
          <w:szCs w:val="21"/>
        </w:rPr>
        <w:t>。</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6</w:t>
      </w:r>
      <w:r>
        <w:rPr>
          <w:rFonts w:ascii="宋体;汉仪书宋二KW" w:hAnsi="宋体;汉仪书宋二KW" w:cs="Times New Roman" w:eastAsia="宋体;汉仪书宋二KW"/>
          <w:color w:val="000000"/>
          <w:szCs w:val="21"/>
        </w:rPr>
        <w:t>）</w:t>
      </w:r>
      <w:bookmarkStart w:id="6" w:name="_Hlk123758239"/>
      <w:r>
        <w:rPr>
          <w:rFonts w:ascii="宋体;汉仪书宋二KW" w:hAnsi="宋体;汉仪书宋二KW" w:cs="Times New Roman" w:eastAsia="宋体;汉仪书宋二KW"/>
          <w:color w:val="000000"/>
          <w:szCs w:val="21"/>
        </w:rPr>
        <w:t>毛利率、净资产收益率和平均总资产回报率情况</w:t>
      </w:r>
      <w:bookmarkEnd w:id="6"/>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eastAsia="宋体;汉仪书宋二KW" w:cs="Times New Roman" w:ascii="宋体;汉仪书宋二KW" w:hAnsi="宋体;汉仪书宋二KW"/>
          <w:color w:val="000000"/>
          <w:szCs w:val="21"/>
        </w:rPr>
        <w:t>2022</w:t>
      </w:r>
      <w:r>
        <w:rPr>
          <w:rFonts w:ascii="宋体;汉仪书宋二KW" w:hAnsi="宋体;汉仪书宋二KW" w:cs="Times New Roman" w:eastAsia="宋体;汉仪书宋二KW"/>
          <w:color w:val="000000"/>
          <w:szCs w:val="21"/>
        </w:rPr>
        <w:t>年</w:t>
      </w:r>
      <w:r>
        <w:rPr>
          <w:rFonts w:eastAsia="宋体;汉仪书宋二KW" w:cs="Times New Roman" w:ascii="宋体;汉仪书宋二KW" w:hAnsi="宋体;汉仪书宋二KW"/>
          <w:color w:val="000000"/>
          <w:szCs w:val="21"/>
        </w:rPr>
        <w:t>-2024</w:t>
      </w:r>
      <w:r>
        <w:rPr>
          <w:rFonts w:ascii="宋体;汉仪书宋二KW" w:hAnsi="宋体;汉仪书宋二KW" w:cs="Times New Roman" w:eastAsia="宋体;汉仪书宋二KW"/>
          <w:color w:val="000000"/>
          <w:szCs w:val="21"/>
        </w:rPr>
        <w:t>年及</w:t>
      </w:r>
      <w:r>
        <w:rPr>
          <w:rFonts w:eastAsia="宋体;汉仪书宋二KW" w:cs="Times New Roman" w:ascii="宋体;汉仪书宋二KW" w:hAnsi="宋体;汉仪书宋二KW"/>
          <w:color w:val="000000"/>
          <w:szCs w:val="21"/>
        </w:rPr>
        <w:t>2025</w:t>
      </w:r>
      <w:r>
        <w:rPr>
          <w:rFonts w:ascii="宋体;汉仪书宋二KW" w:hAnsi="宋体;汉仪书宋二KW" w:cs="Times New Roman" w:eastAsia="宋体;汉仪书宋二KW"/>
          <w:color w:val="000000"/>
          <w:szCs w:val="21"/>
        </w:rPr>
        <w:t>年</w:t>
      </w:r>
      <w:r>
        <w:rPr>
          <w:rFonts w:eastAsia="宋体;汉仪书宋二KW" w:cs="Times New Roman" w:ascii="宋体;汉仪书宋二KW" w:hAnsi="宋体;汉仪书宋二KW"/>
          <w:color w:val="000000"/>
          <w:szCs w:val="21"/>
        </w:rPr>
        <w:t>1-3</w:t>
      </w:r>
      <w:r>
        <w:rPr>
          <w:rFonts w:ascii="宋体;汉仪书宋二KW" w:hAnsi="宋体;汉仪书宋二KW" w:cs="Times New Roman" w:eastAsia="宋体;汉仪书宋二KW"/>
          <w:color w:val="000000"/>
          <w:szCs w:val="21"/>
        </w:rPr>
        <w:t>月，公司净资产收益率分别为</w:t>
      </w:r>
      <w:r>
        <w:rPr>
          <w:rFonts w:eastAsia="宋体;汉仪书宋二KW" w:cs="Times New Roman" w:ascii="宋体;汉仪书宋二KW" w:hAnsi="宋体;汉仪书宋二KW"/>
          <w:color w:val="000000"/>
          <w:szCs w:val="21"/>
        </w:rPr>
        <w:t>4.52%</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5.44%</w:t>
      </w:r>
      <w:r>
        <w:rPr>
          <w:rFonts w:ascii="宋体;汉仪书宋二KW" w:hAnsi="宋体;汉仪书宋二KW" w:cs="Times New Roman" w:eastAsia="宋体;汉仪书宋二KW"/>
          <w:color w:val="000000"/>
          <w:szCs w:val="21"/>
        </w:rPr>
        <w:t>和</w:t>
      </w:r>
      <w:r>
        <w:rPr>
          <w:rFonts w:eastAsia="宋体;汉仪书宋二KW" w:cs="Times New Roman" w:ascii="宋体;汉仪书宋二KW" w:hAnsi="宋体;汉仪书宋二KW"/>
          <w:color w:val="000000"/>
          <w:szCs w:val="21"/>
        </w:rPr>
        <w:t>5.59%</w:t>
      </w:r>
      <w:r>
        <w:rPr>
          <w:rFonts w:ascii="宋体;汉仪书宋二KW" w:hAnsi="宋体;汉仪书宋二KW" w:cs="Times New Roman" w:eastAsia="宋体;汉仪书宋二KW"/>
          <w:color w:val="000000"/>
          <w:szCs w:val="21"/>
        </w:rPr>
        <w:t>和</w:t>
      </w:r>
      <w:r>
        <w:rPr>
          <w:rFonts w:eastAsia="宋体;汉仪书宋二KW" w:cs="Times New Roman" w:ascii="宋体;汉仪书宋二KW" w:hAnsi="宋体;汉仪书宋二KW"/>
          <w:color w:val="000000"/>
          <w:szCs w:val="21"/>
        </w:rPr>
        <w:t>0.87</w:t>
      </w:r>
      <w:r>
        <w:rPr>
          <w:rFonts w:ascii="宋体;汉仪书宋二KW" w:hAnsi="宋体;汉仪书宋二KW" w:cs="Times New Roman" w:eastAsia="宋体;汉仪书宋二KW"/>
          <w:color w:val="000000"/>
          <w:szCs w:val="21"/>
        </w:rPr>
        <w:t>，平均总资产回报率分别为</w:t>
      </w:r>
      <w:r>
        <w:rPr>
          <w:rFonts w:eastAsia="宋体;汉仪书宋二KW" w:cs="Times New Roman" w:ascii="宋体;汉仪书宋二KW" w:hAnsi="宋体;汉仪书宋二KW"/>
          <w:color w:val="000000"/>
          <w:szCs w:val="21"/>
        </w:rPr>
        <w:t>3.40%</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3.51%</w:t>
      </w: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3.77%</w:t>
      </w:r>
      <w:r>
        <w:rPr>
          <w:rFonts w:ascii="宋体;汉仪书宋二KW" w:hAnsi="宋体;汉仪书宋二KW" w:cs="Times New Roman" w:eastAsia="宋体;汉仪书宋二KW"/>
          <w:color w:val="000000"/>
          <w:szCs w:val="21"/>
        </w:rPr>
        <w:t>和</w:t>
      </w:r>
      <w:r>
        <w:rPr>
          <w:rFonts w:eastAsia="宋体;汉仪书宋二KW" w:cs="Times New Roman" w:ascii="宋体;汉仪书宋二KW" w:hAnsi="宋体;汉仪书宋二KW"/>
          <w:color w:val="000000"/>
          <w:szCs w:val="21"/>
        </w:rPr>
        <w:t>0.68%</w:t>
      </w:r>
      <w:r>
        <w:rPr>
          <w:rFonts w:ascii="宋体;汉仪书宋二KW" w:hAnsi="宋体;汉仪书宋二KW" w:cs="Times New Roman" w:eastAsia="宋体;汉仪书宋二KW"/>
          <w:color w:val="000000"/>
          <w:szCs w:val="21"/>
        </w:rPr>
        <w:t>，整体而言公司盈利能力良好且较为稳定。</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r>
        <w:rPr>
          <w:rFonts w:ascii="宋体;汉仪书宋二KW" w:hAnsi="宋体;汉仪书宋二KW" w:cs="Times New Roman" w:eastAsia="宋体;汉仪书宋二KW"/>
          <w:color w:val="000000"/>
          <w:szCs w:val="21"/>
        </w:rPr>
        <w:t>（</w:t>
      </w:r>
      <w:r>
        <w:rPr>
          <w:rFonts w:eastAsia="宋体;汉仪书宋二KW" w:cs="Times New Roman" w:ascii="宋体;汉仪书宋二KW" w:hAnsi="宋体;汉仪书宋二KW"/>
          <w:color w:val="000000"/>
          <w:szCs w:val="21"/>
        </w:rPr>
        <w:t>7</w:t>
      </w:r>
      <w:r>
        <w:rPr>
          <w:rFonts w:ascii="宋体;汉仪书宋二KW" w:hAnsi="宋体;汉仪书宋二KW" w:cs="Times New Roman" w:eastAsia="宋体;汉仪书宋二KW"/>
          <w:color w:val="000000"/>
          <w:szCs w:val="21"/>
        </w:rPr>
        <w:t>）最近三年平均可分配利润情况</w:t>
      </w:r>
    </w:p>
    <w:p>
      <w:pPr>
        <w:pStyle w:val="Normal"/>
        <w:snapToGrid w:val="false"/>
        <w:spacing w:lineRule="exact" w:line="480"/>
        <w:ind w:firstLine="420" w:right="0"/>
        <w:rPr>
          <w:rFonts w:ascii="宋体;汉仪书宋二KW" w:hAnsi="宋体;汉仪书宋二KW" w:eastAsia="宋体;汉仪书宋二KW" w:cs="Times New Roman"/>
          <w:color w:val="000000"/>
          <w:szCs w:val="21"/>
        </w:rPr>
      </w:pPr>
    </w:p>
    <w:p>
      <w:pPr>
        <w:pStyle w:val="Normal"/>
        <w:snapToGrid w:val="false"/>
        <w:spacing w:lineRule="exact" w:line="480"/>
        <w:ind w:firstLine="420" w:right="0"/>
        <w:rPr>
          <w:rFonts w:ascii="宋体;汉仪书宋二KW" w:hAnsi="宋体;汉仪书宋二KW" w:cs="宋体;汉仪书宋二KW"/>
          <w:color w:val="000000"/>
          <w:szCs w:val="21"/>
        </w:rPr>
      </w:pPr>
      <w:r>
        <w:rPr>
          <w:rFonts w:ascii="宋体;汉仪书宋二KW" w:hAnsi="宋体;汉仪书宋二KW" w:cs="宋体;汉仪书宋二KW" w:eastAsia="宋体;汉仪书宋二KW"/>
          <w:color w:val="000000"/>
          <w:szCs w:val="21"/>
        </w:rPr>
        <w:t xml:space="preserve"> </w:t>
      </w:r>
    </w:p>
    <w:p>
      <w:pPr>
        <w:pStyle w:val="Normal"/>
        <w:numPr>
          <w:ilvl w:val="0"/>
          <w:numId w:val="0"/>
        </w:numPr>
        <w:snapToGrid w:val="false"/>
        <w:spacing w:lineRule="exact" w:line="480"/>
        <w:ind w:firstLine="420" w:right="0"/>
        <w:outlineLvl w:val="2"/>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4.</w:t>
      </w:r>
      <w:r>
        <w:rPr>
          <w:rFonts w:ascii="宋体;汉仪书宋二KW" w:hAnsi="宋体;汉仪书宋二KW" w:cs="宋体;汉仪书宋二KW"/>
          <w:color w:val="000000"/>
          <w:szCs w:val="21"/>
        </w:rPr>
        <w:t>现金流</w:t>
      </w:r>
    </w:p>
    <w:p>
      <w:pPr>
        <w:pStyle w:val="Normal"/>
        <w:autoSpaceDE w:val="false"/>
        <w:snapToGrid w:val="false"/>
        <w:spacing w:lineRule="auto" w:line="360" w:before="93" w:after="93"/>
        <w:ind w:firstLine="480" w:right="0"/>
        <w:rPr>
          <w:color w:val="000000"/>
          <w:kern w:val="0"/>
          <w:sz w:val="24"/>
        </w:rPr>
      </w:pPr>
      <w:r>
        <w:rPr>
          <w:color w:val="000000"/>
          <w:kern w:val="0"/>
          <w:sz w:val="24"/>
        </w:rPr>
        <w:t>2022-2024</w:t>
      </w:r>
      <w:r>
        <w:rPr>
          <w:color w:val="000000"/>
          <w:kern w:val="0"/>
          <w:sz w:val="24"/>
        </w:rPr>
        <w:t>年及</w:t>
      </w:r>
      <w:r>
        <w:rPr>
          <w:color w:val="000000"/>
          <w:kern w:val="0"/>
          <w:sz w:val="24"/>
        </w:rPr>
        <w:t>2025</w:t>
      </w:r>
      <w:r>
        <w:rPr>
          <w:color w:val="000000"/>
          <w:kern w:val="0"/>
          <w:sz w:val="24"/>
        </w:rPr>
        <w:t>年</w:t>
      </w:r>
      <w:r>
        <w:rPr>
          <w:color w:val="000000"/>
          <w:kern w:val="0"/>
          <w:sz w:val="24"/>
        </w:rPr>
        <w:t>1-3</w:t>
      </w:r>
      <w:r>
        <w:rPr>
          <w:color w:val="000000"/>
          <w:kern w:val="0"/>
          <w:sz w:val="24"/>
        </w:rPr>
        <w:t>月公司现金流量情况如下：</w:t>
      </w:r>
    </w:p>
    <w:p>
      <w:pPr>
        <w:pStyle w:val="Normal"/>
        <w:autoSpaceDE w:val="false"/>
        <w:spacing w:lineRule="auto" w:line="360"/>
        <w:jc w:val="center"/>
        <w:rPr>
          <w:b/>
          <w:color w:val="000000"/>
          <w:kern w:val="0"/>
          <w:sz w:val="24"/>
          <w:szCs w:val="21"/>
        </w:rPr>
      </w:pPr>
      <w:r>
        <w:rPr>
          <w:b/>
          <w:color w:val="000000"/>
          <w:kern w:val="0"/>
          <w:sz w:val="24"/>
          <w:szCs w:val="21"/>
        </w:rPr>
        <w:t>近三年及一期公司现金流量情况表</w:t>
      </w:r>
    </w:p>
    <w:p>
      <w:pPr>
        <w:pStyle w:val="Normal"/>
        <w:jc w:val="right"/>
        <w:rPr/>
      </w:pPr>
      <w:r>
        <w:rPr/>
        <w:t>单位：万元</w:t>
      </w:r>
    </w:p>
    <w:tbl>
      <w:tblPr>
        <w:tblW w:w="9510" w:type="dxa"/>
        <w:jc w:val="center"/>
        <w:tblInd w:w="0" w:type="dxa"/>
        <w:tblLayout w:type="fixed"/>
        <w:tblCellMar>
          <w:top w:w="0" w:type="dxa"/>
          <w:left w:w="108" w:type="dxa"/>
          <w:bottom w:w="0" w:type="dxa"/>
          <w:right w:w="108" w:type="dxa"/>
        </w:tblCellMar>
      </w:tblPr>
      <w:tblGrid>
        <w:gridCol w:w="3274"/>
        <w:gridCol w:w="1764"/>
        <w:gridCol w:w="1638"/>
        <w:gridCol w:w="1419"/>
        <w:gridCol w:w="1415"/>
      </w:tblGrid>
      <w:tr>
        <w:trPr>
          <w:tblHeader w:val="true"/>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项目</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rPr>
            </w:pPr>
            <w:r>
              <w:rPr>
                <w:b/>
                <w:color w:val="000000"/>
                <w:kern w:val="0"/>
                <w:szCs w:val="21"/>
              </w:rPr>
              <w:t>2025</w:t>
            </w:r>
            <w:r>
              <w:rPr>
                <w:b/>
                <w:color w:val="000000"/>
                <w:kern w:val="0"/>
              </w:rPr>
              <w:t>年</w:t>
            </w:r>
            <w:r>
              <w:rPr>
                <w:b/>
                <w:color w:val="000000"/>
                <w:kern w:val="0"/>
              </w:rPr>
              <w:t>1-</w:t>
            </w:r>
            <w:r>
              <w:rPr>
                <w:b/>
                <w:color w:val="000000"/>
                <w:kern w:val="0"/>
                <w:szCs w:val="21"/>
              </w:rPr>
              <w:t>3</w:t>
            </w:r>
            <w:r>
              <w:rPr>
                <w:b/>
                <w:color w:val="000000"/>
                <w:kern w:val="0"/>
              </w:rPr>
              <w:t>月</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rPr>
            </w:pPr>
            <w:r>
              <w:rPr>
                <w:b/>
                <w:color w:val="000000"/>
                <w:kern w:val="0"/>
                <w:szCs w:val="21"/>
              </w:rPr>
              <w:t>2024</w:t>
            </w:r>
            <w:r>
              <w:rPr>
                <w:b/>
                <w:color w:val="000000"/>
                <w:kern w:val="0"/>
              </w:rPr>
              <w:t>年度</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2023</w:t>
            </w:r>
            <w:r>
              <w:rPr>
                <w:b/>
                <w:color w:val="000000"/>
                <w:kern w:val="0"/>
              </w:rPr>
              <w:t>年度</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color w:val="000000"/>
                <w:kern w:val="0"/>
                <w:szCs w:val="21"/>
              </w:rPr>
            </w:pPr>
            <w:r>
              <w:rPr>
                <w:b/>
                <w:color w:val="000000"/>
                <w:kern w:val="0"/>
                <w:szCs w:val="21"/>
              </w:rPr>
              <w:t>2022</w:t>
            </w:r>
            <w:r>
              <w:rPr>
                <w:b/>
                <w:color w:val="000000"/>
                <w:kern w:val="0"/>
              </w:rPr>
              <w:t>年度</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rPr>
              <w:t>经营活动现金流入小计</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265,853.42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843,263.50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right"/>
              <w:textAlignment w:val="center"/>
              <w:rPr>
                <w:color w:val="000000"/>
                <w:kern w:val="0"/>
                <w:szCs w:val="21"/>
              </w:rPr>
            </w:pPr>
            <w:r>
              <w:rPr>
                <w:color w:val="000000"/>
                <w:szCs w:val="21"/>
                <w:lang w:bidi="ar"/>
              </w:rPr>
              <w:t>821,620.73</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785,715.70</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rPr>
              <w:t>经营活动现金流出小计</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229,334.56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698,838.48</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lang w:bidi="ar"/>
              </w:rPr>
              <w:t>679,531.90</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613,547.75 </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bCs/>
                <w:color w:val="000000"/>
                <w:kern w:val="0"/>
                <w:szCs w:val="21"/>
              </w:rPr>
            </w:pPr>
            <w:r>
              <w:rPr>
                <w:b/>
                <w:bCs/>
                <w:color w:val="000000"/>
                <w:kern w:val="0"/>
                <w:szCs w:val="21"/>
              </w:rPr>
              <w:t>经营活动产生的现金流量净额</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rPr>
            </w:pPr>
            <w:r>
              <w:rPr>
                <w:rFonts w:eastAsia="Times New Roman"/>
                <w:color w:val="000000"/>
                <w:kern w:val="0"/>
                <w:szCs w:val="21"/>
                <w:lang w:bidi="ar"/>
              </w:rPr>
              <w:t xml:space="preserve"> </w:t>
            </w:r>
            <w:r>
              <w:rPr>
                <w:color w:val="000000"/>
                <w:kern w:val="0"/>
                <w:szCs w:val="21"/>
                <w:lang w:bidi="ar"/>
              </w:rPr>
              <w:t xml:space="preserve">36,518.86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rPr>
            </w:pPr>
            <w:r>
              <w:rPr>
                <w:color w:val="000000"/>
                <w:kern w:val="0"/>
                <w:szCs w:val="21"/>
                <w:lang w:bidi="ar"/>
              </w:rPr>
              <w:t>144,425.01</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lang w:bidi="ar"/>
              </w:rPr>
              <w:t>142,088.83</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172,167.95 </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rPr>
              <w:t>投资活动现金流入小计</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color w:val="000000"/>
                <w:szCs w:val="21"/>
              </w:rPr>
            </w:pPr>
            <w:r>
              <w:rPr>
                <w:color w:val="000000"/>
                <w:kern w:val="0"/>
                <w:szCs w:val="21"/>
                <w:lang w:bidi="ar"/>
              </w:rPr>
              <w:t>1,026.87</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3,187.35</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right"/>
              <w:textAlignment w:val="center"/>
              <w:rPr>
                <w:color w:val="000000"/>
                <w:kern w:val="0"/>
                <w:szCs w:val="21"/>
              </w:rPr>
            </w:pPr>
            <w:r>
              <w:rPr>
                <w:color w:val="000000"/>
                <w:szCs w:val="21"/>
                <w:lang w:bidi="ar"/>
              </w:rPr>
              <w:t>6,550.80</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7,176.87</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rPr>
              <w:t>投资活动现金流出小计</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265,839.71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264,669.07</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lang w:bidi="ar"/>
              </w:rPr>
              <w:t>205,632.78</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161,444.02 </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bCs/>
                <w:color w:val="000000"/>
                <w:kern w:val="0"/>
                <w:szCs w:val="21"/>
              </w:rPr>
            </w:pPr>
            <w:r>
              <w:rPr>
                <w:b/>
                <w:bCs/>
                <w:color w:val="000000"/>
                <w:kern w:val="0"/>
                <w:szCs w:val="21"/>
              </w:rPr>
              <w:t>投资活动产生的现金流量净额</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bottom"/>
              <w:rPr>
                <w:color w:val="000000"/>
              </w:rPr>
            </w:pPr>
            <w:r>
              <w:rPr>
                <w:color w:val="000000"/>
                <w:kern w:val="0"/>
              </w:rPr>
              <w:t>-</w:t>
            </w:r>
            <w:r>
              <w:rPr>
                <w:color w:val="000000"/>
                <w:kern w:val="0"/>
                <w:szCs w:val="21"/>
                <w:lang w:bidi="ar"/>
              </w:rPr>
              <w:t>264,812.83</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rPr>
            </w:pPr>
            <w:r>
              <w:rPr>
                <w:color w:val="000000"/>
                <w:kern w:val="0"/>
              </w:rPr>
              <w:t>-</w:t>
            </w:r>
            <w:r>
              <w:rPr>
                <w:color w:val="000000"/>
                <w:kern w:val="0"/>
                <w:szCs w:val="21"/>
                <w:lang w:bidi="ar"/>
              </w:rPr>
              <w:t>261,481.72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lang w:bidi="ar"/>
              </w:rPr>
              <w:t>-199,081.97</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rPr>
              <w:t>-</w:t>
            </w:r>
            <w:r>
              <w:rPr>
                <w:color w:val="000000"/>
                <w:szCs w:val="21"/>
              </w:rPr>
              <w:t xml:space="preserve">154,267.15 </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rPr>
              <w:t>筹资活动现金流入小计</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654,929.40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kern w:val="0"/>
                <w:szCs w:val="21"/>
                <w:lang w:bidi="ar"/>
              </w:rPr>
              <w:t>1,165,715.09</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right"/>
              <w:textAlignment w:val="center"/>
              <w:rPr>
                <w:color w:val="000000"/>
                <w:kern w:val="0"/>
                <w:szCs w:val="21"/>
              </w:rPr>
            </w:pPr>
            <w:r>
              <w:rPr>
                <w:color w:val="000000"/>
                <w:szCs w:val="21"/>
                <w:lang w:bidi="ar"/>
              </w:rPr>
              <w:t>521,133.45</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522,090.39</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color w:val="000000"/>
                <w:kern w:val="0"/>
                <w:szCs w:val="21"/>
              </w:rPr>
            </w:pPr>
            <w:r>
              <w:rPr>
                <w:color w:val="000000"/>
                <w:kern w:val="0"/>
                <w:szCs w:val="21"/>
              </w:rPr>
              <w:t>筹资活动现金流出小计</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515,034.48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946,524.30</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lang w:bidi="ar"/>
              </w:rPr>
              <w:t>557,044.44</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521,326.03 </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bCs/>
                <w:color w:val="000000"/>
                <w:kern w:val="0"/>
                <w:szCs w:val="21"/>
              </w:rPr>
            </w:pPr>
            <w:r>
              <w:rPr>
                <w:b/>
                <w:bCs/>
                <w:color w:val="000000"/>
                <w:kern w:val="0"/>
                <w:szCs w:val="21"/>
              </w:rPr>
              <w:t>筹资活动产生的现金流量净额</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139,894.92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219,190.79</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lang w:bidi="ar"/>
              </w:rPr>
              <w:t>-35,910.99</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 xml:space="preserve">764.36 </w:t>
            </w:r>
          </w:p>
        </w:tc>
      </w:tr>
      <w:tr>
        <w:trPr>
          <w:trHeight w:val="454" w:hRule="atLeast"/>
          <w:cantSplit w:val="true"/>
        </w:trPr>
        <w:tc>
          <w:tcPr>
            <w:tcW w:w="327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textAlignment w:val="center"/>
              <w:rPr>
                <w:b/>
                <w:bCs/>
                <w:color w:val="000000"/>
                <w:kern w:val="0"/>
                <w:szCs w:val="21"/>
              </w:rPr>
            </w:pPr>
            <w:r>
              <w:rPr>
                <w:b/>
                <w:bCs/>
                <w:color w:val="000000"/>
                <w:kern w:val="0"/>
                <w:szCs w:val="21"/>
              </w:rPr>
              <w:t>现金及现金等价物净增加额</w:t>
            </w:r>
          </w:p>
        </w:tc>
        <w:tc>
          <w:tcPr>
            <w:tcW w:w="176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lang w:bidi="ar"/>
              </w:rPr>
            </w:pPr>
            <w:r>
              <w:rPr>
                <w:rFonts w:eastAsia="Times New Roman"/>
                <w:color w:val="000000"/>
                <w:kern w:val="0"/>
                <w:szCs w:val="21"/>
                <w:lang w:bidi="ar"/>
              </w:rPr>
              <w:t xml:space="preserve"> </w:t>
            </w:r>
            <w:r>
              <w:rPr>
                <w:color w:val="000000"/>
                <w:kern w:val="0"/>
                <w:szCs w:val="21"/>
                <w:lang w:bidi="ar"/>
              </w:rPr>
              <w:t xml:space="preserve">-88,399.05 </w:t>
            </w:r>
          </w:p>
        </w:tc>
        <w:tc>
          <w:tcPr>
            <w:tcW w:w="1638"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szCs w:val="21"/>
              </w:rPr>
            </w:pPr>
            <w:r>
              <w:rPr>
                <w:color w:val="000000"/>
                <w:kern w:val="0"/>
                <w:szCs w:val="21"/>
                <w:lang w:bidi="ar"/>
              </w:rPr>
              <w:t>102,156.82</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jc w:val="right"/>
              <w:textAlignment w:val="center"/>
              <w:rPr>
                <w:color w:val="000000"/>
                <w:kern w:val="0"/>
                <w:szCs w:val="21"/>
              </w:rPr>
            </w:pPr>
            <w:r>
              <w:rPr>
                <w:color w:val="000000"/>
                <w:szCs w:val="21"/>
                <w:lang w:bidi="ar"/>
              </w:rPr>
              <w:t>-92,904.13</w:t>
            </w:r>
          </w:p>
        </w:tc>
        <w:tc>
          <w:tcPr>
            <w:tcW w:w="1415"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textAlignment w:val="center"/>
              <w:rPr>
                <w:color w:val="000000"/>
                <w:kern w:val="0"/>
                <w:szCs w:val="21"/>
              </w:rPr>
            </w:pPr>
            <w:r>
              <w:rPr>
                <w:color w:val="000000"/>
                <w:szCs w:val="21"/>
              </w:rPr>
              <w:t>18,665.16</w:t>
            </w:r>
          </w:p>
        </w:tc>
      </w:tr>
    </w:tbl>
    <w:p>
      <w:pPr>
        <w:pStyle w:val="Normal"/>
        <w:autoSpaceDE w:val="false"/>
        <w:snapToGrid w:val="false"/>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w:t>
      </w:r>
      <w:r>
        <w:rPr>
          <w:rFonts w:eastAsia="宋体;汉仪书宋二KW" w:cs="Times New Roman" w:ascii="宋体;汉仪书宋二KW" w:hAnsi="宋体;汉仪书宋二KW"/>
          <w:color w:val="000000"/>
          <w:kern w:val="2"/>
          <w:sz w:val="21"/>
          <w:szCs w:val="21"/>
          <w:lang w:val="en-US" w:eastAsia="zh-CN" w:bidi="ar-SA"/>
        </w:rPr>
        <w:t>1</w:t>
      </w:r>
      <w:r>
        <w:rPr>
          <w:rFonts w:ascii="宋体;汉仪书宋二KW" w:hAnsi="宋体;汉仪书宋二KW" w:cs="Times New Roman" w:eastAsia="宋体;汉仪书宋二KW"/>
          <w:color w:val="000000"/>
          <w:kern w:val="2"/>
          <w:sz w:val="21"/>
          <w:szCs w:val="21"/>
          <w:lang w:val="en-US" w:eastAsia="zh-CN" w:bidi="ar-SA"/>
        </w:rPr>
        <w:t>）经营性现金流量分析</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w:t>
      </w:r>
      <w:r>
        <w:rPr>
          <w:rFonts w:eastAsia="宋体;汉仪书宋二KW" w:cs="Times New Roman" w:ascii="宋体;汉仪书宋二KW" w:hAnsi="宋体;汉仪书宋二KW"/>
          <w:color w:val="000000"/>
          <w:kern w:val="2"/>
          <w:sz w:val="21"/>
          <w:szCs w:val="21"/>
          <w:lang w:val="en-US" w:eastAsia="zh-CN" w:bidi="ar-SA"/>
        </w:rPr>
        <w:t>2</w:t>
      </w:r>
      <w:r>
        <w:rPr>
          <w:rFonts w:ascii="宋体;汉仪书宋二KW" w:hAnsi="宋体;汉仪书宋二KW" w:cs="Times New Roman" w:eastAsia="宋体;汉仪书宋二KW"/>
          <w:color w:val="000000"/>
          <w:kern w:val="2"/>
          <w:sz w:val="21"/>
          <w:szCs w:val="21"/>
          <w:lang w:val="en-US" w:eastAsia="zh-CN" w:bidi="ar-SA"/>
        </w:rPr>
        <w:t>）投资性现金流量分析</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近三年及一期，公司投资活动产生的现金流量净额分别为</w:t>
      </w:r>
      <w:r>
        <w:rPr>
          <w:rFonts w:eastAsia="宋体;汉仪书宋二KW" w:cs="Times New Roman" w:ascii="宋体;汉仪书宋二KW" w:hAnsi="宋体;汉仪书宋二KW"/>
          <w:color w:val="000000"/>
          <w:kern w:val="2"/>
          <w:sz w:val="21"/>
          <w:szCs w:val="21"/>
          <w:lang w:val="en-US" w:eastAsia="zh-CN" w:bidi="ar-SA"/>
        </w:rPr>
        <w:t>-154,267.15</w:t>
      </w:r>
      <w:r>
        <w:rPr>
          <w:rFonts w:ascii="宋体;汉仪书宋二KW" w:hAnsi="宋体;汉仪书宋二KW" w:cs="Times New Roman" w:eastAsia="宋体;汉仪书宋二KW"/>
          <w:color w:val="000000"/>
          <w:kern w:val="2"/>
          <w:sz w:val="21"/>
          <w:szCs w:val="21"/>
          <w:lang w:val="en-US" w:eastAsia="zh-CN" w:bidi="ar-SA"/>
        </w:rPr>
        <w:t>万元、</w:t>
      </w:r>
      <w:r>
        <w:rPr>
          <w:rFonts w:eastAsia="宋体;汉仪书宋二KW" w:cs="Times New Roman" w:ascii="宋体;汉仪书宋二KW" w:hAnsi="宋体;汉仪书宋二KW"/>
          <w:color w:val="000000"/>
          <w:kern w:val="2"/>
          <w:sz w:val="21"/>
          <w:szCs w:val="21"/>
          <w:lang w:val="en-US" w:eastAsia="zh-CN" w:bidi="ar-SA"/>
        </w:rPr>
        <w:t>-199,081.97</w:t>
      </w:r>
      <w:r>
        <w:rPr>
          <w:rFonts w:ascii="宋体;汉仪书宋二KW" w:hAnsi="宋体;汉仪书宋二KW" w:cs="Times New Roman" w:eastAsia="宋体;汉仪书宋二KW"/>
          <w:color w:val="000000"/>
          <w:kern w:val="2"/>
          <w:sz w:val="21"/>
          <w:szCs w:val="21"/>
          <w:lang w:val="en-US" w:eastAsia="zh-CN" w:bidi="ar-SA"/>
        </w:rPr>
        <w:t>万元、</w:t>
      </w:r>
      <w:r>
        <w:rPr>
          <w:rFonts w:eastAsia="宋体;汉仪书宋二KW" w:cs="Times New Roman" w:ascii="宋体;汉仪书宋二KW" w:hAnsi="宋体;汉仪书宋二KW"/>
          <w:color w:val="000000"/>
          <w:kern w:val="2"/>
          <w:sz w:val="21"/>
          <w:szCs w:val="21"/>
          <w:lang w:val="en-US" w:eastAsia="zh-CN" w:bidi="ar-SA"/>
        </w:rPr>
        <w:t>-261,481.72</w:t>
      </w:r>
      <w:r>
        <w:rPr>
          <w:rFonts w:ascii="宋体;汉仪书宋二KW" w:hAnsi="宋体;汉仪书宋二KW" w:cs="Times New Roman" w:eastAsia="宋体;汉仪书宋二KW"/>
          <w:color w:val="000000"/>
          <w:kern w:val="2"/>
          <w:sz w:val="21"/>
          <w:szCs w:val="21"/>
          <w:lang w:val="en-US" w:eastAsia="zh-CN" w:bidi="ar-SA"/>
        </w:rPr>
        <w:t>万元和</w:t>
      </w:r>
      <w:r>
        <w:rPr>
          <w:rFonts w:eastAsia="宋体;汉仪书宋二KW" w:cs="Times New Roman" w:ascii="宋体;汉仪书宋二KW" w:hAnsi="宋体;汉仪书宋二KW"/>
          <w:color w:val="000000"/>
          <w:kern w:val="2"/>
          <w:sz w:val="21"/>
          <w:szCs w:val="21"/>
          <w:lang w:val="en-US" w:eastAsia="zh-CN" w:bidi="ar-SA"/>
        </w:rPr>
        <w:t>-264,812.83</w:t>
      </w:r>
      <w:r>
        <w:rPr>
          <w:rFonts w:ascii="宋体;汉仪书宋二KW" w:hAnsi="宋体;汉仪书宋二KW" w:cs="Times New Roman" w:eastAsia="宋体;汉仪书宋二KW"/>
          <w:color w:val="000000"/>
          <w:kern w:val="2"/>
          <w:sz w:val="21"/>
          <w:szCs w:val="21"/>
          <w:lang w:val="en-US" w:eastAsia="zh-CN" w:bidi="ar-SA"/>
        </w:rPr>
        <w:t>万元。公司由于项目建设较多，有较大规模的资本性支出，因此投资活动产生的现金流净额一直处于低位。</w:t>
      </w:r>
      <w:r>
        <w:rPr>
          <w:rFonts w:eastAsia="宋体;汉仪书宋二KW" w:cs="Times New Roman" w:ascii="宋体;汉仪书宋二KW" w:hAnsi="宋体;汉仪书宋二KW"/>
          <w:color w:val="000000"/>
          <w:kern w:val="2"/>
          <w:sz w:val="21"/>
          <w:szCs w:val="21"/>
          <w:lang w:val="en-US" w:eastAsia="zh-CN" w:bidi="ar-SA"/>
        </w:rPr>
        <w:t>2023</w:t>
      </w:r>
      <w:r>
        <w:rPr>
          <w:rFonts w:ascii="宋体;汉仪书宋二KW" w:hAnsi="宋体;汉仪书宋二KW" w:cs="Times New Roman" w:eastAsia="宋体;汉仪书宋二KW"/>
          <w:color w:val="000000"/>
          <w:kern w:val="2"/>
          <w:sz w:val="21"/>
          <w:szCs w:val="21"/>
          <w:lang w:val="en-US" w:eastAsia="zh-CN" w:bidi="ar-SA"/>
        </w:rPr>
        <w:t>年投资活动产生的现金流量净额相比</w:t>
      </w:r>
      <w:r>
        <w:rPr>
          <w:rFonts w:eastAsia="宋体;汉仪书宋二KW" w:cs="Times New Roman" w:ascii="宋体;汉仪书宋二KW" w:hAnsi="宋体;汉仪书宋二KW"/>
          <w:color w:val="000000"/>
          <w:kern w:val="2"/>
          <w:sz w:val="21"/>
          <w:szCs w:val="21"/>
          <w:lang w:val="en-US" w:eastAsia="zh-CN" w:bidi="ar-SA"/>
        </w:rPr>
        <w:t>2022</w:t>
      </w:r>
      <w:r>
        <w:rPr>
          <w:rFonts w:ascii="宋体;汉仪书宋二KW" w:hAnsi="宋体;汉仪书宋二KW" w:cs="Times New Roman" w:eastAsia="宋体;汉仪书宋二KW"/>
          <w:color w:val="000000"/>
          <w:kern w:val="2"/>
          <w:sz w:val="21"/>
          <w:szCs w:val="21"/>
          <w:lang w:val="en-US" w:eastAsia="zh-CN" w:bidi="ar-SA"/>
        </w:rPr>
        <w:t>年减少</w:t>
      </w:r>
      <w:r>
        <w:rPr>
          <w:rFonts w:eastAsia="宋体;汉仪书宋二KW" w:cs="Times New Roman" w:ascii="宋体;汉仪书宋二KW" w:hAnsi="宋体;汉仪书宋二KW"/>
          <w:color w:val="000000"/>
          <w:kern w:val="2"/>
          <w:sz w:val="21"/>
          <w:szCs w:val="21"/>
          <w:lang w:val="en-US" w:eastAsia="zh-CN" w:bidi="ar-SA"/>
        </w:rPr>
        <w:t>44,814.82</w:t>
      </w:r>
      <w:r>
        <w:rPr>
          <w:rFonts w:ascii="宋体;汉仪书宋二KW" w:hAnsi="宋体;汉仪书宋二KW" w:cs="Times New Roman" w:eastAsia="宋体;汉仪书宋二KW"/>
          <w:color w:val="000000"/>
          <w:kern w:val="2"/>
          <w:sz w:val="21"/>
          <w:szCs w:val="21"/>
          <w:lang w:val="en-US" w:eastAsia="zh-CN" w:bidi="ar-SA"/>
        </w:rPr>
        <w:t>万元，降幅为</w:t>
      </w:r>
      <w:r>
        <w:rPr>
          <w:rFonts w:eastAsia="宋体;汉仪书宋二KW" w:cs="Times New Roman" w:ascii="宋体;汉仪书宋二KW" w:hAnsi="宋体;汉仪书宋二KW"/>
          <w:color w:val="000000"/>
          <w:kern w:val="2"/>
          <w:sz w:val="21"/>
          <w:szCs w:val="21"/>
          <w:lang w:val="en-US" w:eastAsia="zh-CN" w:bidi="ar-SA"/>
        </w:rPr>
        <w:t>29.05%</w:t>
      </w:r>
      <w:r>
        <w:rPr>
          <w:rFonts w:ascii="宋体;汉仪书宋二KW" w:hAnsi="宋体;汉仪书宋二KW" w:cs="Times New Roman" w:eastAsia="宋体;汉仪书宋二KW"/>
          <w:color w:val="000000"/>
          <w:kern w:val="2"/>
          <w:sz w:val="21"/>
          <w:szCs w:val="21"/>
          <w:lang w:val="en-US" w:eastAsia="zh-CN" w:bidi="ar-SA"/>
        </w:rPr>
        <w:t>。</w:t>
      </w:r>
      <w:r>
        <w:rPr>
          <w:rFonts w:eastAsia="宋体;汉仪书宋二KW" w:cs="Times New Roman" w:ascii="宋体;汉仪书宋二KW" w:hAnsi="宋体;汉仪书宋二KW"/>
          <w:color w:val="000000"/>
          <w:kern w:val="2"/>
          <w:sz w:val="21"/>
          <w:szCs w:val="21"/>
          <w:lang w:val="en-US" w:eastAsia="zh-CN" w:bidi="ar-SA"/>
        </w:rPr>
        <w:t>2024</w:t>
      </w:r>
      <w:r>
        <w:rPr>
          <w:rFonts w:ascii="宋体;汉仪书宋二KW" w:hAnsi="宋体;汉仪书宋二KW" w:cs="Times New Roman" w:eastAsia="宋体;汉仪书宋二KW"/>
          <w:color w:val="000000"/>
          <w:kern w:val="2"/>
          <w:sz w:val="21"/>
          <w:szCs w:val="21"/>
          <w:lang w:val="en-US" w:eastAsia="zh-CN" w:bidi="ar-SA"/>
        </w:rPr>
        <w:t>年投资活动产生的现金流量净额相比</w:t>
      </w:r>
      <w:r>
        <w:rPr>
          <w:rFonts w:eastAsia="宋体;汉仪书宋二KW" w:cs="Times New Roman" w:ascii="宋体;汉仪书宋二KW" w:hAnsi="宋体;汉仪书宋二KW"/>
          <w:color w:val="000000"/>
          <w:kern w:val="2"/>
          <w:sz w:val="21"/>
          <w:szCs w:val="21"/>
          <w:lang w:val="en-US" w:eastAsia="zh-CN" w:bidi="ar-SA"/>
        </w:rPr>
        <w:t>2023</w:t>
      </w:r>
      <w:r>
        <w:rPr>
          <w:rFonts w:ascii="宋体;汉仪书宋二KW" w:hAnsi="宋体;汉仪书宋二KW" w:cs="Times New Roman" w:eastAsia="宋体;汉仪书宋二KW"/>
          <w:color w:val="000000"/>
          <w:kern w:val="2"/>
          <w:sz w:val="21"/>
          <w:szCs w:val="21"/>
          <w:lang w:val="en-US" w:eastAsia="zh-CN" w:bidi="ar-SA"/>
        </w:rPr>
        <w:t>年减少</w:t>
      </w:r>
      <w:r>
        <w:rPr>
          <w:rFonts w:eastAsia="宋体;汉仪书宋二KW" w:cs="Times New Roman" w:ascii="宋体;汉仪书宋二KW" w:hAnsi="宋体;汉仪书宋二KW"/>
          <w:color w:val="000000"/>
          <w:kern w:val="2"/>
          <w:sz w:val="21"/>
          <w:szCs w:val="21"/>
          <w:lang w:val="en-US" w:eastAsia="zh-CN" w:bidi="ar-SA"/>
        </w:rPr>
        <w:t>62,399.75</w:t>
      </w:r>
      <w:r>
        <w:rPr>
          <w:rFonts w:ascii="宋体;汉仪书宋二KW" w:hAnsi="宋体;汉仪书宋二KW" w:cs="Times New Roman" w:eastAsia="宋体;汉仪书宋二KW"/>
          <w:color w:val="000000"/>
          <w:kern w:val="2"/>
          <w:sz w:val="21"/>
          <w:szCs w:val="21"/>
          <w:lang w:val="en-US" w:eastAsia="zh-CN" w:bidi="ar-SA"/>
        </w:rPr>
        <w:t>万元，降幅为</w:t>
      </w:r>
      <w:r>
        <w:rPr>
          <w:rFonts w:eastAsia="宋体;汉仪书宋二KW" w:cs="Times New Roman" w:ascii="宋体;汉仪书宋二KW" w:hAnsi="宋体;汉仪书宋二KW"/>
          <w:color w:val="000000"/>
          <w:kern w:val="2"/>
          <w:sz w:val="21"/>
          <w:szCs w:val="21"/>
          <w:lang w:val="en-US" w:eastAsia="zh-CN" w:bidi="ar-SA"/>
        </w:rPr>
        <w:t>31.34%</w:t>
      </w:r>
      <w:r>
        <w:rPr>
          <w:rFonts w:ascii="宋体;汉仪书宋二KW" w:hAnsi="宋体;汉仪书宋二KW" w:cs="Times New Roman" w:eastAsia="宋体;汉仪书宋二KW"/>
          <w:color w:val="000000"/>
          <w:kern w:val="2"/>
          <w:sz w:val="21"/>
          <w:szCs w:val="21"/>
          <w:lang w:val="en-US" w:eastAsia="zh-CN" w:bidi="ar-SA"/>
        </w:rPr>
        <w:t>，主要系购建固定资产、无形资产和其他长期资产所支付的现金增加所致。</w:t>
      </w:r>
    </w:p>
    <w:p>
      <w:pPr>
        <w:pStyle w:val="Normal"/>
        <w:autoSpaceDE w:val="false"/>
        <w:snapToGrid w:val="false"/>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w:t>
      </w:r>
      <w:r>
        <w:rPr>
          <w:rFonts w:eastAsia="宋体;汉仪书宋二KW" w:cs="Times New Roman" w:ascii="宋体;汉仪书宋二KW" w:hAnsi="宋体;汉仪书宋二KW"/>
          <w:color w:val="000000"/>
          <w:kern w:val="2"/>
          <w:sz w:val="21"/>
          <w:szCs w:val="21"/>
          <w:lang w:val="en-US" w:eastAsia="zh-CN" w:bidi="ar-SA"/>
        </w:rPr>
        <w:t>3</w:t>
      </w:r>
      <w:r>
        <w:rPr>
          <w:rFonts w:ascii="宋体;汉仪书宋二KW" w:hAnsi="宋体;汉仪书宋二KW" w:cs="Times New Roman" w:eastAsia="宋体;汉仪书宋二KW"/>
          <w:color w:val="000000"/>
          <w:kern w:val="2"/>
          <w:sz w:val="21"/>
          <w:szCs w:val="21"/>
          <w:lang w:val="en-US" w:eastAsia="zh-CN" w:bidi="ar-SA"/>
        </w:rPr>
        <w:t>）筹资性现金流量分析</w:t>
      </w:r>
    </w:p>
    <w:p>
      <w:pPr>
        <w:pStyle w:val="3"/>
        <w:snapToGrid w:val="false"/>
        <w:spacing w:before="93" w:after="93"/>
        <w:rPr>
          <w:rFonts w:ascii="宋体;汉仪书宋二KW" w:hAnsi="宋体;汉仪书宋二KW" w:eastAsia="宋体;汉仪书宋二KW" w:cs="Times New Roman"/>
          <w:color w:val="000000"/>
          <w:kern w:val="2"/>
          <w:sz w:val="21"/>
          <w:szCs w:val="21"/>
          <w:lang w:val="en-US" w:eastAsia="zh-CN" w:bidi="ar-SA"/>
        </w:rPr>
      </w:pP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p>
    <w:p>
      <w:pPr>
        <w:pStyle w:val="3"/>
        <w:autoSpaceDE w:val="false"/>
        <w:snapToGrid w:val="false"/>
        <w:spacing w:before="93" w:after="93"/>
        <w:rPr>
          <w:rFonts w:ascii="宋体;汉仪书宋二KW" w:hAnsi="宋体;汉仪书宋二KW" w:eastAsia="宋体;汉仪书宋二KW" w:cs="Times New Roman"/>
          <w:color w:val="000000"/>
          <w:kern w:val="2"/>
          <w:sz w:val="21"/>
          <w:szCs w:val="21"/>
          <w:lang w:val="en-US" w:eastAsia="zh-CN" w:bidi="ar-SA"/>
        </w:rPr>
      </w:pPr>
    </w:p>
    <w:p>
      <w:pPr>
        <w:pStyle w:val="Normal"/>
        <w:snapToGrid w:val="false"/>
        <w:spacing w:lineRule="exact" w:line="480"/>
        <w:ind w:firstLine="420" w:right="0"/>
        <w:jc w:val="center"/>
        <w:rPr>
          <w:rFonts w:ascii="宋体;汉仪书宋二KW" w:hAnsi="宋体;汉仪书宋二KW" w:cs="宋体;汉仪书宋二KW"/>
          <w:color w:val="000000"/>
          <w:szCs w:val="21"/>
          <w:highlight w:val="none"/>
        </w:rPr>
      </w:pPr>
    </w:p>
    <w:tbl>
      <w:tblPr>
        <w:tblW w:w="10950" w:type="dxa"/>
        <w:jc w:val="center"/>
        <w:tblInd w:w="0" w:type="dxa"/>
        <w:tblLayout w:type="fixed"/>
        <w:tblCellMar>
          <w:top w:w="0" w:type="dxa"/>
          <w:left w:w="108" w:type="dxa"/>
          <w:bottom w:w="0" w:type="dxa"/>
          <w:right w:w="108" w:type="dxa"/>
        </w:tblCellMar>
      </w:tblPr>
      <w:tblGrid>
        <w:gridCol w:w="1169"/>
        <w:gridCol w:w="1020"/>
        <w:gridCol w:w="1020"/>
        <w:gridCol w:w="846"/>
        <w:gridCol w:w="915"/>
        <w:gridCol w:w="1020"/>
        <w:gridCol w:w="1015"/>
        <w:gridCol w:w="1005"/>
        <w:gridCol w:w="915"/>
        <w:gridCol w:w="1005"/>
        <w:gridCol w:w="1020"/>
      </w:tblGrid>
      <w:tr>
        <w:trPr>
          <w:trHeight w:val="240" w:hRule="atLeast"/>
        </w:trPr>
        <w:tc>
          <w:tcPr>
            <w:tcW w:w="10950" w:type="dxa"/>
            <w:gridSpan w:val="11"/>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left"/>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单位：亿元</w:t>
            </w:r>
          </w:p>
        </w:tc>
      </w:tr>
      <w:tr>
        <w:trPr>
          <w:trHeight w:val="285"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项 目</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总资产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净资产</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流动比</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实收资本</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流动资产</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货币资金</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短期借款</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长期借款</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刚性负债</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经净现流</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2022</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64.95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28.35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0.71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16.91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8.72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0.00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13.97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-0.68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2023</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63.9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27.2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0.55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15.6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5.5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-0.6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2024</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77.8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34.4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0.77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23.7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7.7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6.3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18.5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-2.7 </w:t>
            </w:r>
          </w:p>
        </w:tc>
      </w:tr>
      <w:tr>
        <w:trPr>
          <w:trHeight w:val="48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2025</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9</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月</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94.0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47.1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0.37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14.0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5.8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4.9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13.0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4.2 </w:t>
            </w:r>
          </w:p>
        </w:tc>
      </w:tr>
      <w:tr>
        <w:trPr>
          <w:trHeight w:val="27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项 目</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销售收入</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存  货</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速动比</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固定资产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预收帐款</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应付帐款</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其他应付</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应付票据</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应付债券</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投净现流</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2022</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2.89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0.00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0.71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1.28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0.56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17.40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0.45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12.21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0.58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2023</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3.7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0.55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1.3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0.6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19.1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8.1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0.5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2024</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0.77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0.7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23.3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-5.6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2025</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9</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月</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2.9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0.37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1.9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18.7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8.1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-22.5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项 目</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利润总额</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负债率</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毛利率</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长短投资</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预付帐款</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应收帐款</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其他应收</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应收票据</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无形资产</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筹净现流</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2022</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-1.66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56.35%</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27.33%</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40.93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0.01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1.25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6.91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kern w:val="0"/>
                <w:sz w:val="21"/>
                <w:szCs w:val="21"/>
                <w:u w:val="none"/>
                <w:lang w:val="en-US" w:eastAsia="zh-CN" w:bidi="ar"/>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0.91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2023</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57.4%</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23.7%</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41.1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1.4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8.7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-3.1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2024</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0.1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55.8%</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26.2%</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46.4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1.8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13.5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0.8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8.5 </w:t>
            </w:r>
          </w:p>
        </w:tc>
      </w:tr>
      <w:tr>
        <w:trPr>
          <w:trHeight w:val="240" w:hRule="atLeast"/>
        </w:trPr>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2025</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i w:val="false"/>
                <w:iCs w:val="false"/>
                <w:color w:val="000000"/>
                <w:kern w:val="0"/>
                <w:sz w:val="21"/>
                <w:szCs w:val="21"/>
                <w:u w:val="none"/>
                <w:lang w:val="en-US" w:eastAsia="zh-CN" w:bidi="ar"/>
              </w:rPr>
              <w:t>9</w:t>
            </w:r>
            <w:r>
              <w:rPr>
                <w:rFonts w:ascii="宋体;汉仪书宋二KW" w:hAnsi="宋体;汉仪书宋二KW" w:cs="宋体;汉仪书宋二KW" w:eastAsia="宋体;汉仪书宋二KW"/>
                <w:i w:val="false"/>
                <w:iCs w:val="false"/>
                <w:color w:val="000000"/>
                <w:kern w:val="0"/>
                <w:sz w:val="21"/>
                <w:szCs w:val="21"/>
                <w:u w:val="none"/>
                <w:lang w:val="en-US" w:eastAsia="zh-CN" w:bidi="ar"/>
              </w:rPr>
              <w:t>月</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-0.2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50.0%</w:t>
            </w:r>
          </w:p>
        </w:tc>
        <w:tc>
          <w:tcPr>
            <w:tcW w:w="84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19.3%</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70.6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0.1 </w:t>
            </w:r>
          </w:p>
        </w:tc>
        <w:tc>
          <w:tcPr>
            <w:tcW w:w="10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2.9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5.2 </w:t>
            </w:r>
          </w:p>
        </w:tc>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0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0.0 </w:t>
            </w:r>
          </w:p>
        </w:tc>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 xml:space="preserve">18.4 </w:t>
            </w:r>
          </w:p>
        </w:tc>
      </w:tr>
    </w:tbl>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p>
    <w:p>
      <w:pPr>
        <w:pStyle w:val="Normal"/>
        <w:spacing w:lineRule="exact" w:line="480"/>
        <w:ind w:firstLine="480" w:right="0"/>
        <w:rPr>
          <w:rFonts w:ascii="楷体;汉仪楷体KW" w:hAnsi="楷体;汉仪楷体KW" w:eastAsia="楷体;汉仪楷体KW" w:cs="楷体;汉仪楷体KW"/>
          <w:b/>
          <w:bCs/>
          <w:sz w:val="24"/>
          <w:szCs w:val="24"/>
          <w:highlight w:val="none"/>
        </w:rPr>
      </w:pPr>
      <w:r>
        <w:rPr>
          <w:rFonts w:ascii="楷体;汉仪楷体KW" w:hAnsi="楷体;汉仪楷体KW" w:cs="楷体;汉仪楷体KW" w:eastAsia="楷体;汉仪楷体KW"/>
          <w:b/>
          <w:bCs/>
          <w:sz w:val="24"/>
          <w:szCs w:val="24"/>
        </w:rPr>
        <w:t>（六）融资情况和信用状况。（仅适用于固定资产贷款，对于项目融资可</w:t>
      </w:r>
      <w:r>
        <w:rPr>
          <w:rFonts w:ascii="楷体;汉仪楷体KW" w:hAnsi="楷体;汉仪楷体KW" w:cs="楷体;汉仪楷体KW" w:eastAsia="楷体;汉仪楷体KW"/>
          <w:b/>
          <w:bCs/>
          <w:sz w:val="24"/>
          <w:szCs w:val="24"/>
          <w:lang w:eastAsia="zh-CN"/>
        </w:rPr>
        <w:t>视情况简化</w:t>
      </w:r>
      <w:r>
        <w:rPr>
          <w:rFonts w:ascii="楷体;汉仪楷体KW" w:hAnsi="楷体;汉仪楷体KW" w:cs="楷体;汉仪楷体KW" w:eastAsia="楷体;汉仪楷体KW"/>
          <w:b/>
          <w:bCs/>
          <w:sz w:val="24"/>
          <w:szCs w:val="24"/>
        </w:rPr>
        <w:t>）</w:t>
      </w: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eastAsia="宋体;汉仪书宋二KW" w:cs="Times New Roman" w:ascii="宋体;汉仪书宋二KW" w:hAnsi="宋体;汉仪书宋二KW"/>
          <w:color w:val="000000"/>
          <w:kern w:val="2"/>
          <w:sz w:val="21"/>
          <w:szCs w:val="21"/>
          <w:lang w:val="en-US" w:eastAsia="zh-CN" w:bidi="ar-SA"/>
        </w:rPr>
        <w:t>1</w:t>
      </w:r>
      <w:r>
        <w:rPr>
          <w:rFonts w:ascii="宋体;汉仪书宋二KW" w:hAnsi="宋体;汉仪书宋二KW" w:cs="Times New Roman" w:eastAsia="宋体;汉仪书宋二KW"/>
          <w:color w:val="000000"/>
          <w:kern w:val="2"/>
          <w:sz w:val="21"/>
          <w:szCs w:val="21"/>
          <w:lang w:val="en-US" w:eastAsia="zh-CN" w:bidi="ar-SA"/>
        </w:rPr>
        <w:t>、融资情况</w:t>
      </w: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w:t>
      </w:r>
      <w:r>
        <w:rPr>
          <w:rFonts w:eastAsia="宋体;汉仪书宋二KW" w:cs="Times New Roman" w:ascii="宋体;汉仪书宋二KW" w:hAnsi="宋体;汉仪书宋二KW"/>
          <w:color w:val="000000"/>
          <w:kern w:val="2"/>
          <w:sz w:val="21"/>
          <w:szCs w:val="21"/>
          <w:lang w:val="en-US" w:eastAsia="zh-CN" w:bidi="ar-SA"/>
        </w:rPr>
        <w:t>1</w:t>
      </w:r>
      <w:r>
        <w:rPr>
          <w:rFonts w:ascii="宋体;汉仪书宋二KW" w:hAnsi="宋体;汉仪书宋二KW" w:cs="Times New Roman" w:eastAsia="宋体;汉仪书宋二KW"/>
          <w:color w:val="000000"/>
          <w:kern w:val="2"/>
          <w:sz w:val="21"/>
          <w:szCs w:val="21"/>
          <w:lang w:val="en-US" w:eastAsia="zh-CN" w:bidi="ar-SA"/>
        </w:rPr>
        <w:t>）间接融资情况</w:t>
      </w: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p>
    <w:tbl>
      <w:tblPr>
        <w:tblW w:w="11505" w:type="dxa"/>
        <w:jc w:val="center"/>
        <w:tblInd w:w="0" w:type="dxa"/>
        <w:tblLayout w:type="fixed"/>
        <w:tblCellMar>
          <w:top w:w="0" w:type="dxa"/>
          <w:left w:w="108" w:type="dxa"/>
          <w:bottom w:w="0" w:type="dxa"/>
          <w:right w:w="108" w:type="dxa"/>
        </w:tblCellMar>
      </w:tblPr>
      <w:tblGrid>
        <w:gridCol w:w="1137"/>
        <w:gridCol w:w="1200"/>
        <w:gridCol w:w="1325"/>
        <w:gridCol w:w="1062"/>
        <w:gridCol w:w="1283"/>
        <w:gridCol w:w="1486"/>
        <w:gridCol w:w="1131"/>
        <w:gridCol w:w="1431"/>
        <w:gridCol w:w="1450"/>
      </w:tblGrid>
      <w:tr>
        <w:trPr>
          <w:trHeight w:val="877" w:hRule="atLeast"/>
        </w:trPr>
        <w:tc>
          <w:tcPr>
            <w:tcW w:w="113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金融机构</w:t>
            </w:r>
          </w:p>
        </w:tc>
        <w:tc>
          <w:tcPr>
            <w:tcW w:w="3587"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截至</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2024</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6</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月</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30</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日</w:t>
            </w:r>
          </w:p>
        </w:tc>
        <w:tc>
          <w:tcPr>
            <w:tcW w:w="3900" w:type="dxa"/>
            <w:gridSpan w:val="3"/>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截至</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2025-</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年</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3</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月</w:t>
            </w: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31</w:t>
            </w: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日</w:t>
            </w:r>
          </w:p>
        </w:tc>
        <w:tc>
          <w:tcPr>
            <w:tcW w:w="288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变化</w:t>
            </w:r>
          </w:p>
        </w:tc>
      </w:tr>
      <w:tr>
        <w:trPr>
          <w:trHeight w:val="300" w:hRule="atLeast"/>
        </w:trPr>
        <w:tc>
          <w:tcPr>
            <w:tcW w:w="113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sz w:val="21"/>
                <w:szCs w:val="21"/>
                <w:u w:val="none"/>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授信额度</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余额</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担保方式</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授信额度</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余额</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担保方式</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额度变化</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余额变化</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农业银行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194,000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78,160.96</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210,300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160,632.90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16,300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82,471.94</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招商银行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168,900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146,573.80</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200,000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153,617.50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31,100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7,043.70</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工商银行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350,000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105,251.92</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424,700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107,296.87</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74,700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2,044.95</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中国银行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280,000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100,662.91</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310,000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105,985.46</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30,000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5,322.55</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建设银行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350,000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94,451.38</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313,500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101,229.65</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-36,500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6,778.27</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民生银行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160,000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31,418.46</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119,800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88,155.02</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-40,200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56,736.56</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交通银行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116,163</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59,917.99</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152,100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74,880.99</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35,937</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14,963.00</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兴业银行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30,600.00</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200,000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23,090.00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-7,510.00</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中信银行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330,000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34,296.67</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330,000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22,390.00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-11,906.67</w:t>
            </w:r>
          </w:p>
        </w:tc>
      </w:tr>
      <w:tr>
        <w:trPr>
          <w:trHeight w:val="33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光大银行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39,800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20,259.00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北京银行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7,895</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7,895.00</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80,000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19,405.00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72,105</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11,510.00</w:t>
            </w:r>
          </w:p>
        </w:tc>
      </w:tr>
      <w:tr>
        <w:trPr>
          <w:trHeight w:val="33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农发行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38,500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18,500.00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浦发银行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13,200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11,583.63</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30,200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14,100.00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17,000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2,516.37</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广发银行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236,000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5,238.71</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239,700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6,104.97</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3,700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866.26</w:t>
            </w:r>
          </w:p>
        </w:tc>
      </w:tr>
      <w:tr>
        <w:trPr>
          <w:trHeight w:val="33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宁波银行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233,000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3,000.00</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邮储银行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100,000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top"/>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3,000.00</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-97,000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r>
      <w:tr>
        <w:trPr>
          <w:trHeight w:val="525"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国家开发银行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38,000</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3,000.00</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570,000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532,000</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r>
      <w:tr>
        <w:trPr>
          <w:trHeight w:val="30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其他银行</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181,375</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121,446.74</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269,200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113,229.11</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ascii="宋体;汉仪书宋二KW" w:hAnsi="宋体;汉仪书宋二KW" w:cs="宋体;汉仪书宋二KW" w:eastAsia="宋体;汉仪书宋二KW"/>
                <w:i w:val="false"/>
                <w:iCs w:val="false"/>
                <w:color w:val="000000"/>
                <w:kern w:val="0"/>
                <w:sz w:val="21"/>
                <w:szCs w:val="21"/>
                <w:u w:val="none"/>
                <w:lang w:val="en-US" w:eastAsia="zh-CN" w:bidi="ar"/>
              </w:rPr>
              <w:t>信用</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87,825</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-8,217.63</w:t>
            </w:r>
          </w:p>
        </w:tc>
      </w:tr>
      <w:tr>
        <w:trPr>
          <w:trHeight w:val="330" w:hRule="atLeast"/>
        </w:trPr>
        <w:tc>
          <w:tcPr>
            <w:tcW w:w="1137"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ascii="宋体;汉仪书宋二KW" w:hAnsi="宋体;汉仪书宋二KW" w:cs="宋体;汉仪书宋二KW" w:eastAsia="宋体;汉仪书宋二KW"/>
                <w:b/>
                <w:bCs/>
                <w:i w:val="false"/>
                <w:iCs w:val="false"/>
                <w:color w:val="000000"/>
                <w:kern w:val="0"/>
                <w:sz w:val="21"/>
                <w:szCs w:val="21"/>
                <w:u w:val="none"/>
                <w:lang w:val="en-US" w:eastAsia="zh-CN" w:bidi="ar"/>
              </w:rPr>
              <w:t>合计</w:t>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2,725,533</w:t>
            </w:r>
          </w:p>
        </w:tc>
        <w:tc>
          <w:tcPr>
            <w:tcW w:w="132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833,498.17</w:t>
            </w:r>
          </w:p>
        </w:tc>
        <w:tc>
          <w:tcPr>
            <w:tcW w:w="106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283"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3,763,800</w:t>
            </w:r>
          </w:p>
        </w:tc>
        <w:tc>
          <w:tcPr>
            <w:tcW w:w="148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bottom"/>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1,031,876.46</w:t>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i w:val="false"/>
                <w:i w:val="false"/>
                <w:iCs w:val="false"/>
                <w:color w:val="000000"/>
                <w:sz w:val="21"/>
                <w:szCs w:val="21"/>
                <w:u w:val="none"/>
              </w:rPr>
            </w:pPr>
            <w:r>
              <w:rPr>
                <w:rFonts w:eastAsia="宋体;汉仪书宋二KW" w:cs="宋体;汉仪书宋二KW" w:ascii="宋体;汉仪书宋二KW" w:hAnsi="宋体;汉仪书宋二KW"/>
                <w:i w:val="false"/>
                <w:iCs w:val="false"/>
                <w:color w:val="000000"/>
                <w:kern w:val="0"/>
                <w:sz w:val="21"/>
                <w:szCs w:val="21"/>
                <w:u w:val="none"/>
                <w:lang w:val="en-US" w:eastAsia="zh-CN" w:bidi="ar"/>
              </w:rPr>
              <w:t>/</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1,038,267</w:t>
            </w:r>
          </w:p>
        </w:tc>
        <w:tc>
          <w:tcPr>
            <w:tcW w:w="145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jc w:val="center"/>
              <w:textAlignment w:val="center"/>
              <w:rPr>
                <w:rFonts w:ascii="宋体;汉仪书宋二KW" w:hAnsi="宋体;汉仪书宋二KW" w:eastAsia="宋体;汉仪书宋二KW" w:cs="宋体;汉仪书宋二KW"/>
                <w:b/>
                <w:bCs/>
                <w:i w:val="false"/>
                <w:i w:val="false"/>
                <w:iCs w:val="false"/>
                <w:color w:val="000000"/>
                <w:sz w:val="21"/>
                <w:szCs w:val="21"/>
                <w:u w:val="none"/>
              </w:rPr>
            </w:pPr>
            <w:r>
              <w:rPr>
                <w:rFonts w:eastAsia="宋体;汉仪书宋二KW" w:cs="宋体;汉仪书宋二KW" w:ascii="宋体;汉仪书宋二KW" w:hAnsi="宋体;汉仪书宋二KW"/>
                <w:b/>
                <w:bCs/>
                <w:i w:val="false"/>
                <w:iCs w:val="false"/>
                <w:color w:val="000000"/>
                <w:kern w:val="0"/>
                <w:sz w:val="21"/>
                <w:szCs w:val="21"/>
                <w:u w:val="none"/>
                <w:lang w:val="en-US" w:eastAsia="zh-CN" w:bidi="ar"/>
              </w:rPr>
              <w:t>198,378.29</w:t>
            </w:r>
          </w:p>
        </w:tc>
      </w:tr>
    </w:tbl>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经沟通客户，无法提供本部融资明细。</w:t>
      </w: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en-US" w:eastAsia="zh-CN" w:bidi="ar-SA"/>
        </w:rPr>
      </w:pPr>
      <w:r>
        <w:rPr>
          <w:rFonts w:ascii="宋体;汉仪书宋二KW" w:hAnsi="宋体;汉仪书宋二KW" w:cs="Times New Roman" w:eastAsia="宋体;汉仪书宋二KW"/>
          <w:color w:val="000000"/>
          <w:kern w:val="2"/>
          <w:sz w:val="21"/>
          <w:szCs w:val="21"/>
          <w:lang w:val="en-US" w:eastAsia="zh-CN" w:bidi="ar-SA"/>
        </w:rPr>
        <w:t>（</w:t>
      </w:r>
      <w:r>
        <w:rPr>
          <w:rFonts w:eastAsia="宋体;汉仪书宋二KW" w:cs="Times New Roman" w:ascii="宋体;汉仪书宋二KW" w:hAnsi="宋体;汉仪书宋二KW"/>
          <w:color w:val="000000"/>
          <w:kern w:val="2"/>
          <w:sz w:val="21"/>
          <w:szCs w:val="21"/>
          <w:lang w:val="en-US" w:eastAsia="zh-CN" w:bidi="ar-SA"/>
        </w:rPr>
        <w:t>2</w:t>
      </w:r>
      <w:r>
        <w:rPr>
          <w:rFonts w:ascii="宋体;汉仪书宋二KW" w:hAnsi="宋体;汉仪书宋二KW" w:cs="Times New Roman" w:eastAsia="宋体;汉仪书宋二KW"/>
          <w:color w:val="000000"/>
          <w:kern w:val="2"/>
          <w:sz w:val="21"/>
          <w:szCs w:val="21"/>
          <w:lang w:val="en-US" w:eastAsia="zh-CN" w:bidi="ar-SA"/>
        </w:rPr>
        <w:t>）直接融资情况</w:t>
      </w:r>
    </w:p>
    <w:p>
      <w:pPr>
        <w:pStyle w:val="Normal"/>
        <w:spacing w:lineRule="auto" w:line="360" w:before="93" w:after="93"/>
        <w:ind w:firstLine="420" w:right="0"/>
        <w:rPr>
          <w:rFonts w:ascii="宋体;汉仪书宋二KW" w:hAnsi="宋体;汉仪书宋二KW" w:eastAsia="宋体;汉仪书宋二KW" w:cs="Times New Roman"/>
          <w:color w:val="000000"/>
          <w:kern w:val="2"/>
          <w:sz w:val="21"/>
          <w:szCs w:val="21"/>
          <w:lang w:val="zh-CN" w:eastAsia="zh-CN" w:bidi="ar-SA"/>
        </w:rPr>
      </w:pPr>
    </w:p>
    <w:p>
      <w:pPr>
        <w:pStyle w:val="Normal"/>
        <w:jc w:val="right"/>
        <w:rPr/>
      </w:pPr>
      <w:r>
        <w:rPr/>
        <w:t>单位：亿元、</w:t>
      </w:r>
      <w:r>
        <w:rPr/>
        <w:t>%</w:t>
      </w:r>
      <w:r>
        <w:rPr/>
        <w:t>、年</w:t>
      </w:r>
    </w:p>
    <w:tbl>
      <w:tblPr>
        <w:tblW w:w="6000" w:type="pct"/>
        <w:jc w:val="center"/>
        <w:tblInd w:w="0" w:type="dxa"/>
        <w:tblLayout w:type="fixed"/>
        <w:tblCellMar>
          <w:top w:w="0" w:type="dxa"/>
          <w:left w:w="28" w:type="dxa"/>
          <w:bottom w:w="0" w:type="dxa"/>
          <w:right w:w="28" w:type="dxa"/>
        </w:tblCellMar>
      </w:tblPr>
      <w:tblGrid>
        <w:gridCol w:w="485"/>
        <w:gridCol w:w="1121"/>
        <w:gridCol w:w="1614"/>
        <w:gridCol w:w="1114"/>
        <w:gridCol w:w="1115"/>
        <w:gridCol w:w="1111"/>
        <w:gridCol w:w="862"/>
        <w:gridCol w:w="989"/>
        <w:gridCol w:w="861"/>
        <w:gridCol w:w="695"/>
      </w:tblGrid>
      <w:tr>
        <w:trPr>
          <w:tblHeader w:val="true"/>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序号</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债券简称</w:t>
            </w:r>
          </w:p>
        </w:tc>
        <w:tc>
          <w:tcPr>
            <w:tcW w:w="16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发行主体</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发行日期</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回售日期</w:t>
            </w:r>
          </w:p>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（如有）</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到期日期</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债券期限</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发行规模</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票面利率</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bCs/>
                <w:color w:val="000000"/>
                <w:kern w:val="0"/>
                <w:szCs w:val="21"/>
              </w:rPr>
            </w:pPr>
            <w:r>
              <w:rPr>
                <w:rFonts w:ascii="宋体;汉仪书宋二KW" w:hAnsi="宋体;汉仪书宋二KW" w:cs="宋体;汉仪书宋二KW" w:eastAsia="宋体;汉仪书宋二KW"/>
                <w:b/>
                <w:bCs/>
                <w:color w:val="000000"/>
                <w:kern w:val="0"/>
                <w:szCs w:val="21"/>
              </w:rPr>
              <w:t>余额</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rPr>
              <w:t>1</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25</w:t>
            </w:r>
            <w:r>
              <w:rPr>
                <w:rFonts w:ascii="宋体;汉仪书宋二KW" w:hAnsi="宋体;汉仪书宋二KW" w:cs="宋体;汉仪书宋二KW" w:eastAsia="宋体;汉仪书宋二KW"/>
                <w:color w:val="000000"/>
                <w:szCs w:val="21"/>
                <w:lang w:val="en-US" w:eastAsia="zh-CN"/>
              </w:rPr>
              <w:t>中水</w:t>
            </w:r>
            <w:r>
              <w:rPr>
                <w:rFonts w:eastAsia="宋体;汉仪书宋二KW" w:cs="宋体;汉仪书宋二KW" w:ascii="宋体;汉仪书宋二KW" w:hAnsi="宋体;汉仪书宋二KW"/>
                <w:color w:val="000000"/>
                <w:szCs w:val="21"/>
                <w:lang w:val="en-US" w:eastAsia="zh-CN"/>
              </w:rPr>
              <w:t>02</w:t>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2025/01/16</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b/>
                <w:color w:val="000000"/>
                <w:kern w:val="0"/>
                <w:szCs w:val="21"/>
              </w:rPr>
              <w:t>-</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2030/10/20</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lang w:val="en-US" w:eastAsia="zh-CN"/>
              </w:rPr>
            </w:pPr>
            <w:r>
              <w:rPr>
                <w:rFonts w:eastAsia="宋体;汉仪书宋二KW" w:cs="宋体;汉仪书宋二KW" w:ascii="宋体;汉仪书宋二KW" w:hAnsi="宋体;汉仪书宋二KW"/>
                <w:bCs/>
                <w:color w:val="000000"/>
                <w:kern w:val="0"/>
                <w:szCs w:val="21"/>
                <w:lang w:val="en-US" w:eastAsia="zh-CN"/>
              </w:rPr>
              <w:t>5</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5.00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2.45</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lang w:val="en-US" w:eastAsia="zh-CN"/>
              </w:rPr>
              <w:t>5.00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rPr>
              <w:t>2</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lang w:val="en-US" w:eastAsia="zh-CN"/>
              </w:rPr>
              <w:t>25</w:t>
            </w:r>
            <w:r>
              <w:rPr>
                <w:rFonts w:ascii="宋体;汉仪书宋二KW" w:hAnsi="宋体;汉仪书宋二KW" w:cs="宋体;汉仪书宋二KW" w:eastAsia="宋体;汉仪书宋二KW"/>
                <w:color w:val="000000"/>
                <w:szCs w:val="21"/>
                <w:lang w:val="en-US" w:eastAsia="zh-CN"/>
              </w:rPr>
              <w:t>中水</w:t>
            </w:r>
            <w:r>
              <w:rPr>
                <w:rFonts w:eastAsia="宋体;汉仪书宋二KW" w:cs="宋体;汉仪书宋二KW" w:ascii="宋体;汉仪书宋二KW" w:hAnsi="宋体;汉仪书宋二KW"/>
                <w:color w:val="000000"/>
                <w:szCs w:val="21"/>
                <w:lang w:val="en-US" w:eastAsia="zh-CN"/>
              </w:rPr>
              <w:t>01</w:t>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lang w:val="en-US" w:eastAsia="zh-CN"/>
              </w:rPr>
              <w:t>2025/01/16</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rPr>
              <w:t>-</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2028/10/20</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lang w:val="en-US" w:eastAsia="zh-CN"/>
              </w:rPr>
            </w:pPr>
            <w:r>
              <w:rPr>
                <w:rFonts w:eastAsia="宋体;汉仪书宋二KW" w:cs="宋体;汉仪书宋二KW" w:ascii="宋体;汉仪书宋二KW" w:hAnsi="宋体;汉仪书宋二KW"/>
                <w:bCs/>
                <w:color w:val="000000"/>
                <w:kern w:val="0"/>
                <w:szCs w:val="21"/>
                <w:lang w:val="en-US" w:eastAsia="zh-CN"/>
              </w:rPr>
              <w:t>3</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7.00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2.13</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lang w:val="en-US" w:eastAsia="zh-CN"/>
              </w:rPr>
              <w:t>7.00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rPr>
              <w:t>3</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ascii="宋体;汉仪书宋二KW" w:hAnsi="宋体;汉仪书宋二KW" w:cs="宋体;汉仪书宋二KW" w:eastAsia="宋体;汉仪书宋二KW"/>
                <w:color w:val="000000"/>
                <w:szCs w:val="21"/>
              </w:rPr>
              <w:t>中水务</w:t>
            </w:r>
            <w:r>
              <w:rPr>
                <w:rFonts w:eastAsia="宋体;汉仪书宋二KW" w:cs="宋体;汉仪书宋二KW" w:ascii="宋体;汉仪书宋二KW" w:hAnsi="宋体;汉仪书宋二KW"/>
                <w:color w:val="000000"/>
                <w:szCs w:val="21"/>
              </w:rPr>
              <w:t>Y5</w:t>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2025/01/14</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2030/01/16</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Cs/>
                <w:color w:val="000000"/>
                <w:kern w:val="0"/>
                <w:szCs w:val="21"/>
              </w:rPr>
              <w:t>5+N</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6.00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2.48</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6.00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Cs w:val="21"/>
              </w:rPr>
              <w:t>4</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ascii="宋体;汉仪书宋二KW" w:hAnsi="宋体;汉仪书宋二KW" w:cs="宋体;汉仪书宋二KW" w:eastAsia="宋体;汉仪书宋二KW"/>
                <w:color w:val="000000"/>
                <w:szCs w:val="21"/>
              </w:rPr>
              <w:t>中水务</w:t>
            </w:r>
            <w:r>
              <w:rPr>
                <w:rFonts w:eastAsia="宋体;汉仪书宋二KW" w:cs="宋体;汉仪书宋二KW" w:ascii="宋体;汉仪书宋二KW" w:hAnsi="宋体;汉仪书宋二KW"/>
                <w:color w:val="000000"/>
                <w:szCs w:val="21"/>
              </w:rPr>
              <w:t>Y4</w:t>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2025/01/14</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2028/01/16</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Cs/>
                <w:color w:val="000000"/>
                <w:kern w:val="0"/>
                <w:szCs w:val="21"/>
              </w:rPr>
              <w:t>3+N</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6.00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2.09</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6.00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eastAsia="zh-CN"/>
              </w:rPr>
            </w:pPr>
            <w:r>
              <w:rPr>
                <w:rFonts w:eastAsia="宋体;汉仪书宋二KW" w:cs="宋体;汉仪书宋二KW" w:ascii="宋体;汉仪书宋二KW" w:hAnsi="宋体;汉仪书宋二KW"/>
                <w:color w:val="000000"/>
                <w:szCs w:val="21"/>
                <w:lang w:val="en-US" w:eastAsia="zh-CN"/>
              </w:rPr>
              <w:t>5</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ascii="宋体;汉仪书宋二KW" w:hAnsi="宋体;汉仪书宋二KW" w:cs="宋体;汉仪书宋二KW" w:eastAsia="宋体;汉仪书宋二KW"/>
                <w:color w:val="000000"/>
                <w:szCs w:val="21"/>
              </w:rPr>
              <w:t>中水务</w:t>
            </w:r>
            <w:r>
              <w:rPr>
                <w:rFonts w:eastAsia="宋体;汉仪书宋二KW" w:cs="宋体;汉仪书宋二KW" w:ascii="宋体;汉仪书宋二KW" w:hAnsi="宋体;汉仪书宋二KW"/>
                <w:color w:val="000000"/>
                <w:szCs w:val="21"/>
              </w:rPr>
              <w:t>Y2</w:t>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2024/10/31</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2029/11/4</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Cs/>
                <w:color w:val="000000"/>
                <w:kern w:val="0"/>
                <w:szCs w:val="21"/>
              </w:rPr>
              <w:t>5+N</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2.89</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lang w:eastAsia="zh-CN"/>
              </w:rPr>
            </w:pPr>
            <w:r>
              <w:rPr>
                <w:rFonts w:eastAsia="宋体;汉仪书宋二KW" w:cs="宋体;汉仪书宋二KW" w:ascii="宋体;汉仪书宋二KW" w:hAnsi="宋体;汉仪书宋二KW"/>
                <w:color w:val="000000"/>
                <w:szCs w:val="21"/>
                <w:lang w:val="en-US" w:eastAsia="zh-CN"/>
              </w:rPr>
              <w:t>6</w:t>
            </w:r>
          </w:p>
        </w:tc>
        <w:tc>
          <w:tcPr>
            <w:tcW w:w="112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ascii="宋体;汉仪书宋二KW" w:hAnsi="宋体;汉仪书宋二KW" w:cs="宋体;汉仪书宋二KW" w:eastAsia="宋体;汉仪书宋二KW"/>
                <w:color w:val="000000"/>
                <w:szCs w:val="21"/>
              </w:rPr>
              <w:t>中水务</w:t>
            </w:r>
            <w:r>
              <w:rPr>
                <w:rFonts w:eastAsia="宋体;汉仪书宋二KW" w:cs="宋体;汉仪书宋二KW" w:ascii="宋体;汉仪书宋二KW" w:hAnsi="宋体;汉仪书宋二KW"/>
                <w:color w:val="000000"/>
                <w:szCs w:val="21"/>
              </w:rPr>
              <w:t>Y1</w:t>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2024/10/31</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2027/11/4</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Cs/>
                <w:color w:val="000000"/>
                <w:kern w:val="0"/>
                <w:szCs w:val="21"/>
              </w:rPr>
              <w:t>3+N</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2.47</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4.00</w:t>
            </w:r>
          </w:p>
        </w:tc>
      </w:tr>
      <w:tr>
        <w:trPr>
          <w:trHeight w:val="425" w:hRule="atLeast"/>
        </w:trPr>
        <w:tc>
          <w:tcPr>
            <w:tcW w:w="160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ascii="宋体;汉仪书宋二KW" w:hAnsi="宋体;汉仪书宋二KW" w:cs="宋体;汉仪书宋二KW" w:eastAsia="宋体;汉仪书宋二KW"/>
                <w:b/>
                <w:color w:val="000000"/>
                <w:kern w:val="0"/>
                <w:szCs w:val="21"/>
              </w:rPr>
              <w:t>公司债券小计</w:t>
            </w:r>
          </w:p>
        </w:tc>
        <w:tc>
          <w:tcPr>
            <w:tcW w:w="16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color w:val="000000"/>
                <w:kern w:val="0"/>
                <w:szCs w:val="21"/>
              </w:rPr>
              <w:t>-</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color w:val="000000"/>
                <w:kern w:val="0"/>
                <w:szCs w:val="21"/>
              </w:rPr>
              <w:t>-</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color w:val="000000"/>
                <w:kern w:val="0"/>
                <w:szCs w:val="21"/>
              </w:rPr>
              <w:t>-</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color w:val="000000"/>
                <w:kern w:val="0"/>
                <w:szCs w:val="21"/>
              </w:rPr>
              <w:t>-</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
                <w:color w:val="000000"/>
                <w:kern w:val="0"/>
                <w:szCs w:val="21"/>
              </w:rPr>
              <w:t>-</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bCs/>
                <w:color w:val="000000"/>
                <w:szCs w:val="21"/>
                <w:lang w:val="en-US" w:eastAsia="zh-CN"/>
              </w:rPr>
              <w:t>32</w:t>
            </w:r>
            <w:r>
              <w:rPr>
                <w:rFonts w:eastAsia="宋体;汉仪书宋二KW" w:cs="宋体;汉仪书宋二KW" w:ascii="宋体;汉仪书宋二KW" w:hAnsi="宋体;汉仪书宋二KW"/>
                <w:b/>
                <w:bCs/>
                <w:color w:val="000000"/>
                <w:szCs w:val="21"/>
              </w:rPr>
              <w:t>.00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color w:val="000000"/>
                <w:kern w:val="0"/>
                <w:szCs w:val="21"/>
              </w:rPr>
              <w:t>-</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
                <w:bCs/>
                <w:color w:val="000000"/>
                <w:szCs w:val="21"/>
                <w:lang w:val="en-US" w:eastAsia="zh-CN"/>
              </w:rPr>
              <w:t>32</w:t>
            </w:r>
            <w:r>
              <w:rPr>
                <w:rFonts w:eastAsia="宋体;汉仪书宋二KW" w:cs="宋体;汉仪书宋二KW" w:ascii="宋体;汉仪书宋二KW" w:hAnsi="宋体;汉仪书宋二KW"/>
                <w:b/>
                <w:bCs/>
                <w:color w:val="000000"/>
                <w:szCs w:val="21"/>
              </w:rPr>
              <w:t>.00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7</w:t>
            </w:r>
          </w:p>
        </w:tc>
        <w:tc>
          <w:tcPr>
            <w:tcW w:w="1121" w:type="dxa"/>
            <w:tcBorders>
              <w:top w:val="single" w:sz="4" w:space="0" w:color="000000"/>
              <w:left w:val="single" w:sz="4" w:space="0" w:color="000000"/>
              <w:bottom w:val="single" w:sz="4" w:space="0" w:color="000000"/>
              <w:right w:val="single" w:sz="4" w:space="0" w:color="000000"/>
            </w:tcBorders>
            <w:vAlign w:val="center"/>
          </w:tcPr>
          <w:p>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2024/12/12</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2029/12/13</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Cs/>
                <w:color w:val="000000"/>
                <w:kern w:val="0"/>
                <w:szCs w:val="21"/>
              </w:rPr>
              <w:t>5</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2.27</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8</w:t>
            </w:r>
          </w:p>
        </w:tc>
        <w:tc>
          <w:tcPr>
            <w:tcW w:w="1121" w:type="dxa"/>
            <w:tcBorders>
              <w:top w:val="single" w:sz="4" w:space="0" w:color="000000"/>
              <w:left w:val="single" w:sz="4" w:space="0" w:color="000000"/>
              <w:bottom w:val="single" w:sz="4" w:space="0" w:color="000000"/>
              <w:right w:val="single" w:sz="4" w:space="0" w:color="000000"/>
            </w:tcBorders>
            <w:vAlign w:val="center"/>
          </w:tcPr>
          <w:p>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color w:val="000000"/>
                <w:szCs w:val="21"/>
              </w:rPr>
              <w:t xml:space="preserve">2024/4/11 </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2027/4/12</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2029/4/12</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bCs/>
                <w:color w:val="000000"/>
                <w:kern w:val="0"/>
                <w:szCs w:val="21"/>
              </w:rPr>
              <w:t>3+2</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color w:val="000000"/>
                <w:szCs w:val="21"/>
              </w:rPr>
              <w:t>4.00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color w:val="000000"/>
                <w:szCs w:val="21"/>
              </w:rPr>
              <w:t>2.70</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szCs w:val="21"/>
              </w:rPr>
            </w:pPr>
            <w:r>
              <w:rPr>
                <w:rFonts w:eastAsia="宋体;汉仪书宋二KW" w:cs="宋体;汉仪书宋二KW" w:ascii="宋体;汉仪书宋二KW" w:hAnsi="宋体;汉仪书宋二KW"/>
                <w:color w:val="000000"/>
                <w:szCs w:val="21"/>
              </w:rPr>
              <w:t>4.00</w:t>
            </w:r>
          </w:p>
        </w:tc>
      </w:tr>
      <w:tr>
        <w:trPr>
          <w:trHeight w:val="425" w:hRule="atLeast"/>
        </w:trPr>
        <w:tc>
          <w:tcPr>
            <w:tcW w:w="48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9</w:t>
            </w:r>
          </w:p>
        </w:tc>
        <w:tc>
          <w:tcPr>
            <w:tcW w:w="1121" w:type="dxa"/>
            <w:tcBorders>
              <w:top w:val="single" w:sz="4" w:space="0" w:color="000000"/>
              <w:left w:val="single" w:sz="4" w:space="0" w:color="000000"/>
              <w:bottom w:val="single" w:sz="4" w:space="0" w:color="000000"/>
              <w:right w:val="single" w:sz="4" w:space="0" w:color="000000"/>
            </w:tcBorders>
            <w:vAlign w:val="center"/>
          </w:tcPr>
          <w:p>
            <w:r/>
          </w:p>
        </w:tc>
        <w:tc>
          <w:tcPr>
            <w:tcW w:w="1614" w:type="dxa"/>
            <w:tcBorders>
              <w:top w:val="single" w:sz="4" w:space="0" w:color="000000"/>
              <w:left w:val="single" w:sz="4" w:space="0" w:color="000000"/>
              <w:bottom w:val="single" w:sz="4" w:space="0" w:color="000000"/>
              <w:right w:val="single" w:sz="4" w:space="0" w:color="000000"/>
            </w:tcBorders>
            <w:vAlign w:val="center"/>
          </w:tcPr>
          <w:p>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2025/08/22</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2026/05/22</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Cs/>
                <w:color w:val="000000"/>
                <w:kern w:val="0"/>
                <w:szCs w:val="21"/>
              </w:rPr>
            </w:pPr>
            <w:r>
              <w:rPr>
                <w:rFonts w:eastAsia="宋体;汉仪书宋二KW" w:cs="宋体;汉仪书宋二KW" w:ascii="宋体;汉仪书宋二KW" w:hAnsi="宋体;汉仪书宋二KW"/>
                <w:bCs/>
                <w:color w:val="000000"/>
                <w:kern w:val="0"/>
                <w:szCs w:val="21"/>
              </w:rPr>
              <w:t>239D</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1.78</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1.00</w:t>
            </w:r>
          </w:p>
        </w:tc>
      </w:tr>
      <w:tr>
        <w:trPr>
          <w:trHeight w:val="425" w:hRule="atLeast"/>
        </w:trPr>
        <w:tc>
          <w:tcPr>
            <w:tcW w:w="1606"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rFonts w:ascii="宋体;汉仪书宋二KW" w:hAnsi="宋体;汉仪书宋二KW" w:eastAsia="宋体;汉仪书宋二KW" w:cs="宋体;汉仪书宋二KW"/>
                <w:b/>
                <w:color w:val="000000"/>
                <w:szCs w:val="21"/>
              </w:rPr>
            </w:pPr>
            <w:r>
              <w:rPr>
                <w:rFonts w:ascii="宋体;汉仪书宋二KW" w:hAnsi="宋体;汉仪书宋二KW" w:cs="宋体;汉仪书宋二KW" w:eastAsia="宋体;汉仪书宋二KW"/>
                <w:b/>
                <w:color w:val="000000"/>
                <w:szCs w:val="21"/>
              </w:rPr>
              <w:t>债务融资工具小计</w:t>
            </w:r>
          </w:p>
        </w:tc>
        <w:tc>
          <w:tcPr>
            <w:tcW w:w="16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rFonts w:ascii="宋体;汉仪书宋二KW" w:hAnsi="宋体;汉仪书宋二KW" w:eastAsia="宋体;汉仪书宋二KW" w:cs="宋体;汉仪书宋二KW"/>
                <w:b/>
                <w:szCs w:val="21"/>
              </w:rPr>
            </w:pPr>
            <w:r>
              <w:rPr>
                <w:rFonts w:eastAsia="宋体;汉仪书宋二KW" w:cs="宋体;汉仪书宋二KW" w:ascii="宋体;汉仪书宋二KW" w:hAnsi="宋体;汉仪书宋二KW"/>
                <w:b/>
                <w:szCs w:val="21"/>
              </w:rPr>
              <w:t>-</w:t>
            </w:r>
          </w:p>
        </w:tc>
        <w:tc>
          <w:tcPr>
            <w:tcW w:w="1114"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textAlignment w:val="center"/>
              <w:rPr>
                <w:rFonts w:ascii="宋体;汉仪书宋二KW" w:hAnsi="宋体;汉仪书宋二KW" w:eastAsia="宋体;汉仪书宋二KW" w:cs="宋体;汉仪书宋二KW"/>
                <w:b/>
                <w:color w:val="000000"/>
                <w:szCs w:val="21"/>
              </w:rPr>
            </w:pPr>
            <w:r>
              <w:rPr>
                <w:rFonts w:eastAsia="宋体;汉仪书宋二KW" w:cs="宋体;汉仪书宋二KW" w:ascii="宋体;汉仪书宋二KW" w:hAnsi="宋体;汉仪书宋二KW"/>
                <w:b/>
                <w:szCs w:val="21"/>
              </w:rPr>
              <w:t>-</w:t>
            </w:r>
          </w:p>
        </w:tc>
        <w:tc>
          <w:tcPr>
            <w:tcW w:w="111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color w:val="000000"/>
                <w:szCs w:val="21"/>
              </w:rPr>
            </w:pPr>
            <w:r>
              <w:rPr>
                <w:rFonts w:eastAsia="宋体;汉仪书宋二KW" w:cs="宋体;汉仪书宋二KW" w:ascii="宋体;汉仪书宋二KW" w:hAnsi="宋体;汉仪书宋二KW"/>
                <w:b/>
                <w:szCs w:val="21"/>
              </w:rPr>
              <w:t>-</w:t>
            </w:r>
          </w:p>
        </w:tc>
        <w:tc>
          <w:tcPr>
            <w:tcW w:w="111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color w:val="000000"/>
                <w:szCs w:val="21"/>
              </w:rPr>
            </w:pPr>
            <w:r>
              <w:rPr>
                <w:rFonts w:eastAsia="宋体;汉仪书宋二KW" w:cs="宋体;汉仪书宋二KW" w:ascii="宋体;汉仪书宋二KW" w:hAnsi="宋体;汉仪书宋二KW"/>
                <w:b/>
                <w:szCs w:val="21"/>
              </w:rPr>
              <w:t>-</w:t>
            </w:r>
          </w:p>
        </w:tc>
        <w:tc>
          <w:tcPr>
            <w:tcW w:w="8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color w:val="000000"/>
                <w:szCs w:val="21"/>
              </w:rPr>
            </w:pPr>
            <w:r>
              <w:rPr>
                <w:rFonts w:eastAsia="宋体;汉仪书宋二KW" w:cs="宋体;汉仪书宋二KW" w:ascii="宋体;汉仪书宋二KW" w:hAnsi="宋体;汉仪书宋二KW"/>
                <w:b/>
                <w:szCs w:val="21"/>
              </w:rPr>
              <w:t>-</w:t>
            </w:r>
          </w:p>
        </w:tc>
        <w:tc>
          <w:tcPr>
            <w:tcW w:w="98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color w:val="000000"/>
                <w:szCs w:val="21"/>
              </w:rPr>
            </w:pPr>
            <w:r>
              <w:rPr>
                <w:rFonts w:eastAsia="宋体;汉仪书宋二KW" w:cs="宋体;汉仪书宋二KW" w:ascii="宋体;汉仪书宋二KW" w:hAnsi="宋体;汉仪书宋二KW"/>
                <w:b/>
                <w:szCs w:val="21"/>
                <w:lang w:val="en-US" w:eastAsia="zh-CN"/>
              </w:rPr>
              <w:t>9</w:t>
            </w:r>
            <w:r>
              <w:rPr>
                <w:rFonts w:eastAsia="宋体;汉仪书宋二KW" w:cs="宋体;汉仪书宋二KW" w:ascii="宋体;汉仪书宋二KW" w:hAnsi="宋体;汉仪书宋二KW"/>
                <w:b/>
                <w:szCs w:val="21"/>
              </w:rPr>
              <w:t>.00</w:t>
            </w:r>
          </w:p>
        </w:tc>
        <w:tc>
          <w:tcPr>
            <w:tcW w:w="86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color w:val="000000"/>
                <w:szCs w:val="21"/>
              </w:rPr>
            </w:pPr>
            <w:r>
              <w:rPr>
                <w:rFonts w:eastAsia="宋体;汉仪书宋二KW" w:cs="宋体;汉仪书宋二KW" w:ascii="宋体;汉仪书宋二KW" w:hAnsi="宋体;汉仪书宋二KW"/>
                <w:b/>
                <w:szCs w:val="21"/>
              </w:rPr>
              <w:t>-</w:t>
            </w:r>
          </w:p>
        </w:tc>
        <w:tc>
          <w:tcPr>
            <w:tcW w:w="69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ascii="宋体;汉仪书宋二KW" w:hAnsi="宋体;汉仪书宋二KW" w:eastAsia="宋体;汉仪书宋二KW" w:cs="宋体;汉仪书宋二KW"/>
                <w:b/>
                <w:szCs w:val="21"/>
              </w:rPr>
            </w:pPr>
            <w:r>
              <w:rPr>
                <w:rFonts w:eastAsia="宋体;汉仪书宋二KW" w:cs="宋体;汉仪书宋二KW" w:ascii="宋体;汉仪书宋二KW" w:hAnsi="宋体;汉仪书宋二KW"/>
                <w:b/>
                <w:szCs w:val="21"/>
                <w:lang w:val="en-US" w:eastAsia="zh-CN"/>
              </w:rPr>
              <w:t>9</w:t>
            </w:r>
            <w:r>
              <w:rPr>
                <w:rFonts w:eastAsia="宋体;汉仪书宋二KW" w:cs="宋体;汉仪书宋二KW" w:ascii="宋体;汉仪书宋二KW" w:hAnsi="宋体;汉仪书宋二KW"/>
                <w:b/>
                <w:szCs w:val="21"/>
              </w:rPr>
              <w:t>.00</w:t>
            </w:r>
          </w:p>
        </w:tc>
      </w:tr>
    </w:tbl>
    <w:p>
      <w:pPr>
        <w:pStyle w:val="6"/>
        <w:rPr>
          <w:lang w:val="en-US" w:eastAsia="zh-CN"/>
        </w:rPr>
      </w:pPr>
      <w:r>
        <w:rPr>
          <w:lang w:val="en-US" w:eastAsia="zh-CN"/>
        </w:rPr>
      </w:r>
    </w:p>
    <w:p>
      <w:pPr>
        <w:pStyle w:val="Normal"/>
        <w:spacing w:lineRule="exact" w:line="480"/>
        <w:ind w:firstLine="420" w:right="0"/>
        <w:rPr>
          <w:rFonts w:ascii="宋体;汉仪书宋二KW" w:hAnsi="宋体;汉仪书宋二KW" w:cs="宋体;汉仪书宋二KW"/>
          <w:b/>
          <w:bCs w:val="false"/>
          <w:szCs w:val="21"/>
          <w:highlight w:val="none"/>
        </w:rPr>
      </w:pPr>
      <w:r>
        <w:rPr>
          <w:rFonts w:cs="宋体;汉仪书宋二KW" w:ascii="宋体;汉仪书宋二KW" w:hAnsi="宋体;汉仪书宋二KW"/>
          <w:b/>
          <w:bCs w:val="false"/>
          <w:szCs w:val="21"/>
        </w:rPr>
        <w:t>2</w:t>
      </w:r>
      <w:r>
        <w:rPr>
          <w:rFonts w:ascii="宋体;汉仪书宋二KW" w:hAnsi="宋体;汉仪书宋二KW" w:cs="宋体;汉仪书宋二KW"/>
          <w:b/>
          <w:bCs w:val="false"/>
          <w:szCs w:val="21"/>
        </w:rPr>
        <w:t>、对外担保情况</w:t>
      </w:r>
    </w:p>
    <w:p>
      <w:pPr>
        <w:pStyle w:val="BodyText"/>
        <w:keepNext w:val="false"/>
        <w:keepLines w:val="false"/>
        <w:pageBreakBefore w:val="false"/>
        <w:widowControl w:val="false"/>
        <w:kinsoku w:val="true"/>
        <w:overflowPunct w:val="true"/>
        <w:bidi w:val="0"/>
        <w:spacing w:lineRule="exact" w:line="520"/>
        <w:ind w:firstLine="420" w:right="0"/>
        <w:textAlignment w:val="auto"/>
        <w:rPr>
          <w:rFonts w:ascii="宋体;汉仪书宋二KW" w:hAnsi="宋体;汉仪书宋二KW" w:eastAsia="宋体;汉仪书宋二KW" w:cs="Times New Roman"/>
          <w:color w:val="000000"/>
          <w:kern w:val="2"/>
          <w:sz w:val="21"/>
          <w:szCs w:val="21"/>
          <w:highlight w:val="none"/>
          <w:lang w:val="en-US" w:eastAsia="zh-CN" w:bidi="ar-SA"/>
        </w:rPr>
      </w:pPr>
    </w:p>
    <w:p>
      <w:pPr>
        <w:pStyle w:val="Normal"/>
        <w:spacing w:lineRule="exact" w:line="480"/>
        <w:ind w:firstLine="420" w:right="0"/>
        <w:rPr>
          <w:rFonts w:ascii="宋体;汉仪书宋二KW" w:hAnsi="宋体;汉仪书宋二KW" w:cs="宋体;汉仪书宋二KW"/>
          <w:b/>
          <w:szCs w:val="21"/>
          <w:highlight w:val="none"/>
        </w:rPr>
      </w:pPr>
      <w:r>
        <w:rPr>
          <w:rFonts w:cs="宋体;汉仪书宋二KW" w:ascii="宋体;汉仪书宋二KW" w:hAnsi="宋体;汉仪书宋二KW"/>
          <w:b/>
          <w:szCs w:val="21"/>
        </w:rPr>
        <w:t>3</w:t>
      </w:r>
      <w:r>
        <w:rPr>
          <w:rFonts w:ascii="宋体;汉仪书宋二KW" w:hAnsi="宋体;汉仪书宋二KW" w:cs="宋体;汉仪书宋二KW"/>
          <w:b/>
          <w:szCs w:val="21"/>
        </w:rPr>
        <w:t>、征信系统查询情况</w:t>
      </w:r>
    </w:p>
    <w:p>
      <w:pPr>
        <w:pStyle w:val="BodyTextIndent"/>
        <w:keepNext w:val="false"/>
        <w:keepLines w:val="false"/>
        <w:pageBreakBefore w:val="false"/>
        <w:widowControl w:val="false"/>
        <w:kinsoku w:val="true"/>
        <w:overflowPunct w:val="true"/>
        <w:autoSpaceDE w:val="true"/>
        <w:bidi w:val="0"/>
        <w:spacing w:lineRule="exact" w:line="520"/>
        <w:textAlignment w:val="auto"/>
        <w:rPr>
          <w:rFonts w:ascii="仿宋;方正仿宋_GBK" w:hAnsi="仿宋;方正仿宋_GBK" w:eastAsia="仿宋;方正仿宋_GBK" w:cs="Times New Roman"/>
          <w:color w:val="000000"/>
          <w:kern w:val="2"/>
          <w:sz w:val="28"/>
          <w:szCs w:val="28"/>
          <w:lang w:val="en-US" w:eastAsia="zh-CN" w:bidi="ar-SA"/>
        </w:rPr>
      </w:pPr>
    </w:p>
    <w:p>
      <w:pPr>
        <w:pStyle w:val="Normal"/>
        <w:spacing w:lineRule="exact" w:line="480"/>
        <w:ind w:firstLine="420" w:right="0"/>
        <w:rPr>
          <w:rFonts w:ascii="宋体;汉仪书宋二KW" w:hAnsi="宋体;汉仪书宋二KW" w:cs="宋体;汉仪书宋二KW"/>
          <w:b/>
          <w:bCs/>
          <w:szCs w:val="21"/>
          <w:highlight w:val="none"/>
        </w:rPr>
      </w:pPr>
      <w:r>
        <w:rPr>
          <w:rFonts w:cs="宋体;汉仪书宋二KW" w:ascii="宋体;汉仪书宋二KW" w:hAnsi="宋体;汉仪书宋二KW"/>
          <w:b/>
          <w:bCs/>
          <w:szCs w:val="21"/>
        </w:rPr>
        <w:t>4</w:t>
      </w:r>
      <w:r>
        <w:rPr>
          <w:rFonts w:ascii="宋体;汉仪书宋二KW" w:hAnsi="宋体;汉仪书宋二KW" w:cs="宋体;汉仪书宋二KW"/>
          <w:b/>
          <w:bCs/>
          <w:szCs w:val="21"/>
        </w:rPr>
        <w:t>、外部风险信息查询情况</w:t>
      </w:r>
    </w:p>
    <w:tbl>
      <w:tblPr>
        <w:tblW w:w="5000" w:type="pct"/>
        <w:jc w:val="left"/>
        <w:tblInd w:w="0" w:type="dxa"/>
        <w:tblLayout w:type="fixed"/>
        <w:tblCellMar>
          <w:top w:w="0" w:type="dxa"/>
          <w:left w:w="108" w:type="dxa"/>
          <w:bottom w:w="0" w:type="dxa"/>
          <w:right w:w="108" w:type="dxa"/>
        </w:tblCellMar>
      </w:tblPr>
      <w:tblGrid>
        <w:gridCol w:w="3044"/>
        <w:gridCol w:w="5262"/>
      </w:tblGrid>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申请人及其实控人公开信息查询内容</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简要情况</w:t>
            </w:r>
          </w:p>
        </w:tc>
      </w:tr>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是否列入被执行人名单</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cs="宋体;汉仪书宋二KW"/>
                <w:b w:val="false"/>
                <w:bCs w:val="false"/>
                <w:color w:val="000000"/>
                <w:kern w:val="0"/>
                <w:szCs w:val="21"/>
              </w:rPr>
            </w:pPr>
            <w:r>
              <w:rPr>
                <w:rFonts w:cs="宋体;汉仪书宋二KW"/>
                <w:b w:val="false"/>
                <w:bCs w:val="false"/>
                <w:kern w:val="0"/>
                <w:szCs w:val="21"/>
                <w:lang w:val="en-US" w:eastAsia="zh-CN"/>
              </w:rPr>
              <w:t>否</w:t>
            </w:r>
            <w:r>
              <w:rPr>
                <w:rFonts w:cs="宋体;汉仪书宋二KW"/>
                <w:b w:val="false"/>
                <w:bCs w:val="false"/>
                <w:kern w:val="0"/>
                <w:szCs w:val="21"/>
              </w:rPr>
              <w:t>　</w:t>
            </w:r>
          </w:p>
        </w:tc>
      </w:tr>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是否列入失信名单</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cs="宋体;汉仪书宋二KW"/>
                <w:b w:val="false"/>
                <w:bCs w:val="false"/>
                <w:color w:val="000000"/>
                <w:kern w:val="0"/>
                <w:szCs w:val="21"/>
              </w:rPr>
            </w:pPr>
            <w:r>
              <w:rPr>
                <w:rFonts w:cs="宋体;汉仪书宋二KW"/>
                <w:b w:val="false"/>
                <w:bCs w:val="false"/>
                <w:kern w:val="0"/>
                <w:szCs w:val="21"/>
                <w:lang w:val="en-US" w:eastAsia="zh-CN"/>
              </w:rPr>
              <w:t>否</w:t>
            </w:r>
            <w:r>
              <w:rPr>
                <w:rFonts w:cs="宋体;汉仪书宋二KW"/>
                <w:b w:val="false"/>
                <w:bCs w:val="false"/>
                <w:kern w:val="0"/>
                <w:szCs w:val="21"/>
              </w:rPr>
              <w:t>　</w:t>
            </w:r>
          </w:p>
        </w:tc>
      </w:tr>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left"/>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诉讼信息</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eastAsia="宋体;汉仪书宋二KW" w:cs="宋体;汉仪书宋二KW"/>
                <w:b w:val="false"/>
                <w:bCs w:val="false"/>
                <w:color w:val="000000"/>
                <w:kern w:val="0"/>
                <w:szCs w:val="21"/>
                <w:lang w:val="en-US" w:eastAsia="zh-CN"/>
              </w:rPr>
            </w:pPr>
            <w:r>
              <w:rPr>
                <w:rFonts w:cs="宋体;汉仪书宋二KW"/>
                <w:b w:val="false"/>
                <w:bCs w:val="false"/>
                <w:color w:val="000000"/>
                <w:kern w:val="0"/>
                <w:szCs w:val="21"/>
              </w:rPr>
              <w:t>公开信息查询到多笔股权冻结情况</w:t>
            </w:r>
            <w:r>
              <w:rPr>
                <w:rFonts w:cs="宋体;汉仪书宋二KW"/>
                <w:b w:val="false"/>
                <w:bCs w:val="false"/>
                <w:color w:val="000000"/>
                <w:kern w:val="0"/>
                <w:szCs w:val="21"/>
                <w:lang w:val="en-US" w:eastAsia="zh-CN"/>
              </w:rPr>
              <w:t>，经营单位反馈涉及金额较小，不对申请人经营造成重大影响，申请人未提供其他信息。公开信息查询股权冻结仅涉及申请人股东英佰科技的股权，不涉及集团其他股东，未直接影响集团主体的经营与偿债能力。详见附件。</w:t>
            </w:r>
          </w:p>
        </w:tc>
      </w:tr>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是否存在发债、信托计划违约</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cs="宋体;汉仪书宋二KW"/>
                <w:b w:val="false"/>
                <w:bCs w:val="false"/>
                <w:color w:val="000000"/>
                <w:kern w:val="0"/>
                <w:szCs w:val="21"/>
              </w:rPr>
            </w:pPr>
            <w:r>
              <w:rPr>
                <w:rFonts w:cs="宋体;汉仪书宋二KW"/>
                <w:b w:val="false"/>
                <w:bCs w:val="false"/>
                <w:kern w:val="0"/>
                <w:szCs w:val="21"/>
                <w:lang w:val="en-US" w:eastAsia="zh-CN"/>
              </w:rPr>
              <w:t>否</w:t>
            </w:r>
            <w:r>
              <w:rPr>
                <w:rFonts w:cs="宋体;汉仪书宋二KW"/>
                <w:b w:val="false"/>
                <w:bCs w:val="false"/>
                <w:kern w:val="0"/>
                <w:szCs w:val="21"/>
              </w:rPr>
              <w:t>　</w:t>
            </w:r>
          </w:p>
        </w:tc>
      </w:tr>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行政处罚</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cs="宋体;汉仪书宋二KW"/>
                <w:b w:val="false"/>
                <w:bCs w:val="false"/>
                <w:color w:val="000000"/>
                <w:kern w:val="0"/>
                <w:szCs w:val="21"/>
              </w:rPr>
            </w:pPr>
            <w:r>
              <w:rPr>
                <w:rFonts w:cs="宋体;汉仪书宋二KW"/>
                <w:b w:val="false"/>
                <w:bCs w:val="false"/>
                <w:kern w:val="0"/>
                <w:szCs w:val="21"/>
                <w:lang w:val="en-US" w:eastAsia="zh-CN"/>
              </w:rPr>
              <w:t>无</w:t>
            </w:r>
            <w:r>
              <w:rPr>
                <w:rFonts w:cs="宋体;汉仪书宋二KW"/>
                <w:b w:val="false"/>
                <w:bCs w:val="false"/>
                <w:kern w:val="0"/>
                <w:szCs w:val="21"/>
              </w:rPr>
              <w:t>　</w:t>
            </w:r>
          </w:p>
        </w:tc>
      </w:tr>
      <w:tr>
        <w:trPr>
          <w:trHeight w:val="23" w:hRule="atLeast"/>
        </w:trPr>
        <w:tc>
          <w:tcPr>
            <w:tcW w:w="3044" w:type="dxa"/>
            <w:tcBorders>
              <w:top w:val="single" w:sz="4" w:space="0" w:color="000000"/>
              <w:left w:val="single" w:sz="4" w:space="0" w:color="000000"/>
              <w:bottom w:val="single" w:sz="4" w:space="0" w:color="000000"/>
              <w:right w:val="single" w:sz="4" w:space="0" w:color="000000"/>
            </w:tcBorders>
            <w:vAlign w:val="center"/>
          </w:tcPr>
          <w:p>
            <w:pPr>
              <w:pStyle w:val="Normal"/>
              <w:widowControl/>
              <w:rPr>
                <w:rFonts w:ascii="宋体;汉仪书宋二KW" w:hAnsi="宋体;汉仪书宋二KW" w:cs="宋体;汉仪书宋二KW"/>
                <w:color w:val="000000"/>
                <w:kern w:val="0"/>
                <w:szCs w:val="21"/>
              </w:rPr>
            </w:pPr>
            <w:r>
              <w:rPr>
                <w:rFonts w:ascii="宋体;汉仪书宋二KW" w:hAnsi="宋体;汉仪书宋二KW" w:cs="宋体;汉仪书宋二KW"/>
                <w:color w:val="000000"/>
                <w:kern w:val="0"/>
                <w:szCs w:val="21"/>
              </w:rPr>
              <w:t>是否存其他负面舆情信息</w:t>
            </w:r>
          </w:p>
        </w:tc>
        <w:tc>
          <w:tcPr>
            <w:tcW w:w="5262"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cs="宋体;汉仪书宋二KW"/>
                <w:b w:val="false"/>
                <w:bCs w:val="false"/>
                <w:color w:val="000000"/>
                <w:kern w:val="0"/>
                <w:szCs w:val="21"/>
              </w:rPr>
            </w:pPr>
            <w:r>
              <w:rPr>
                <w:rFonts w:cs="宋体;汉仪书宋二KW"/>
                <w:b w:val="false"/>
                <w:bCs w:val="false"/>
                <w:kern w:val="0"/>
                <w:szCs w:val="21"/>
                <w:lang w:val="en-US" w:eastAsia="zh-CN"/>
              </w:rPr>
              <w:t>无</w:t>
            </w:r>
            <w:r>
              <w:rPr>
                <w:rFonts w:cs="宋体;汉仪书宋二KW"/>
                <w:b w:val="false"/>
                <w:bCs w:val="false"/>
                <w:kern w:val="0"/>
                <w:szCs w:val="21"/>
              </w:rPr>
              <w:t>　</w:t>
            </w:r>
          </w:p>
        </w:tc>
      </w:tr>
    </w:tbl>
    <w:p>
      <w:pPr>
        <w:pStyle w:val="FootnoteText"/>
        <w:snapToGrid w:val="false"/>
        <w:spacing w:lineRule="auto" w:line="360"/>
        <w:ind w:firstLine="420" w:right="0"/>
        <w:rPr>
          <w:rFonts w:ascii="宋体;汉仪书宋二KW" w:hAnsi="宋体;汉仪书宋二KW" w:eastAsia="宋体;汉仪书宋二KW" w:cs="Times New Roman"/>
          <w:color w:val="000000"/>
          <w:kern w:val="2"/>
          <w:sz w:val="21"/>
          <w:szCs w:val="21"/>
          <w:highlight w:val="none"/>
          <w:lang w:val="en-US" w:eastAsia="zh-CN" w:bidi="ar-SA"/>
        </w:rPr>
      </w:pPr>
      <w:r>
        <w:rPr>
          <w:rFonts w:eastAsia="宋体;汉仪书宋二KW" w:cs="Times New Roman" w:ascii="宋体;汉仪书宋二KW" w:hAnsi="宋体;汉仪书宋二KW"/>
          <w:color w:val="000000"/>
          <w:kern w:val="2"/>
          <w:sz w:val="21"/>
          <w:szCs w:val="21"/>
          <w:lang w:val="en-US" w:eastAsia="zh-CN" w:bidi="ar-SA"/>
        </w:rPr>
      </w:r>
    </w:p>
    <w:p>
      <w:pPr>
        <w:pStyle w:val="FootnoteText"/>
        <w:snapToGrid w:val="false"/>
        <w:spacing w:lineRule="auto" w:line="360"/>
        <w:ind w:firstLine="420" w:right="0"/>
        <w:rPr>
          <w:rFonts w:ascii="宋体;汉仪书宋二KW" w:hAnsi="宋体;汉仪书宋二KW" w:eastAsia="宋体;汉仪书宋二KW" w:cs="Times New Roman"/>
          <w:color w:val="000000"/>
          <w:kern w:val="2"/>
          <w:sz w:val="21"/>
          <w:szCs w:val="21"/>
          <w:highlight w:val="none"/>
          <w:lang w:val="en-US" w:eastAsia="zh-CN" w:bidi="ar-SA"/>
        </w:rPr>
      </w:pPr>
    </w:p>
    <w:p>
      <w:pPr>
        <w:pStyle w:val="FootnoteText"/>
        <w:snapToGrid w:val="false"/>
        <w:spacing w:lineRule="auto" w:line="360"/>
        <w:ind w:firstLine="420" w:right="0"/>
        <w:rPr>
          <w:rFonts w:ascii="宋体;汉仪书宋二KW" w:hAnsi="宋体;汉仪书宋二KW" w:eastAsia="宋体;汉仪书宋二KW" w:cs="Times New Roman"/>
          <w:color w:val="000000"/>
          <w:kern w:val="2"/>
          <w:sz w:val="21"/>
          <w:szCs w:val="21"/>
          <w:highlight w:val="none"/>
          <w:lang w:val="en-US" w:eastAsia="zh-CN" w:bidi="ar-SA"/>
        </w:rPr>
      </w:pPr>
    </w:p>
    <w:p>
      <w:pPr>
        <w:pStyle w:val="FootnoteText"/>
        <w:snapToGrid w:val="false"/>
        <w:spacing w:lineRule="auto" w:line="360"/>
        <w:ind w:firstLine="420" w:right="0"/>
        <w:rPr>
          <w:rFonts w:ascii="宋体;汉仪书宋二KW" w:hAnsi="宋体;汉仪书宋二KW" w:eastAsia="宋体;汉仪书宋二KW" w:cs="Times New Roman"/>
          <w:color w:val="000000"/>
          <w:kern w:val="2"/>
          <w:sz w:val="21"/>
          <w:szCs w:val="21"/>
          <w:highlight w:val="none"/>
          <w:lang w:val="en-US" w:eastAsia="zh-CN" w:bidi="ar-SA"/>
        </w:rPr>
      </w:pPr>
    </w:p>
    <w:p>
      <w:pPr>
        <w:pStyle w:val="FootnoteText"/>
        <w:snapToGrid w:val="false"/>
        <w:spacing w:lineRule="auto" w:line="360"/>
        <w:ind w:firstLine="420" w:right="0"/>
        <w:rPr>
          <w:rFonts w:ascii="宋体;汉仪书宋二KW" w:hAnsi="宋体;汉仪书宋二KW" w:eastAsia="宋体;汉仪书宋二KW" w:cs="Times New Roman"/>
          <w:color w:val="000000"/>
          <w:kern w:val="2"/>
          <w:sz w:val="21"/>
          <w:szCs w:val="21"/>
          <w:highlight w:val="none"/>
          <w:lang w:val="en-US" w:eastAsia="zh-CN" w:bidi="ar-SA"/>
        </w:rPr>
      </w:pPr>
    </w:p>
    <w:p>
      <w:pPr>
        <w:pStyle w:val="Normal"/>
        <w:spacing w:lineRule="exact" w:line="480"/>
        <w:rPr>
          <w:rFonts w:ascii="宋体;汉仪书宋二KW" w:hAnsi="宋体;汉仪书宋二KW" w:eastAsia="宋体;汉仪书宋二KW" w:cs="Times New Roman"/>
          <w:color w:val="000000"/>
          <w:kern w:val="2"/>
          <w:sz w:val="24"/>
          <w:szCs w:val="24"/>
          <w:highlight w:val="none"/>
          <w:lang w:val="en-US" w:eastAsia="zh-CN" w:bidi="ar-SA"/>
        </w:rPr>
      </w:pPr>
      <w:r>
        <w:rPr>
          <w:rFonts w:eastAsia="宋体;汉仪书宋二KW" w:cs="Times New Roman" w:ascii="宋体;汉仪书宋二KW" w:hAnsi="宋体;汉仪书宋二KW"/>
          <w:color w:val="000000"/>
          <w:kern w:val="2"/>
          <w:sz w:val="24"/>
          <w:szCs w:val="24"/>
          <w:lang w:val="en-US" w:eastAsia="zh-CN" w:bidi="ar-SA"/>
        </w:rPr>
      </w:r>
    </w:p>
    <w:p>
      <w:pPr>
        <w:pStyle w:val="Normal"/>
        <w:spacing w:lineRule="exact" w:line="480"/>
        <w:ind w:firstLine="480" w:right="0"/>
        <w:rPr>
          <w:rFonts w:ascii="黑体;汉仪中黑KW" w:hAnsi="黑体;汉仪中黑KW" w:eastAsia="黑体;汉仪中黑KW" w:cs="黑体;汉仪中黑KW"/>
          <w:b/>
          <w:sz w:val="24"/>
          <w:szCs w:val="24"/>
        </w:rPr>
      </w:pPr>
      <w:r>
        <w:rPr>
          <w:rFonts w:ascii="黑体;汉仪中黑KW" w:hAnsi="黑体;汉仪中黑KW" w:cs="黑体;汉仪中黑KW" w:eastAsia="黑体;汉仪中黑KW"/>
          <w:b/>
          <w:sz w:val="24"/>
          <w:szCs w:val="24"/>
        </w:rPr>
        <w:t>四、项目情况</w:t>
      </w:r>
    </w:p>
    <w:p>
      <w:pPr>
        <w:pStyle w:val="Normal"/>
        <w:spacing w:lineRule="exact" w:line="480"/>
        <w:ind w:firstLine="420" w:right="0"/>
        <w:rPr>
          <w:szCs w:val="21"/>
        </w:rPr>
      </w:pPr>
      <w:r>
        <w:rPr>
          <w:szCs w:val="21"/>
        </w:rPr>
        <w:t>重点说明项目生产建设条件方面的优、劣势（资源、技术、规模等）。对于主要生产建设及经营条件存在重大隐患或不确定因素的，应重点评价论证，必要时可请行业专家出具专题意见。（如征地拆迁及移民尚未完成的、项目属环境敏感类型的、技术尚不成熟的，配套基础设施及原燃料生产设施尚未投产的等情况）</w:t>
      </w:r>
    </w:p>
    <w:p>
      <w:pPr>
        <w:pStyle w:val="Normal"/>
        <w:spacing w:lineRule="exact" w:line="480"/>
        <w:ind w:firstLine="420" w:right="0"/>
        <w:rPr>
          <w:i/>
          <w:i/>
          <w:iCs/>
          <w:szCs w:val="21"/>
        </w:rPr>
      </w:pPr>
      <w:r>
        <w:rPr>
          <w:i/>
          <w:iCs/>
          <w:szCs w:val="21"/>
        </w:rPr>
        <w:t>本部分仅以制造业项目贷款调查要求为示例，具体行业调查模板结合行业特点另行要求调查内容，但对于（一）项目建设背景及必要性，（二）项目合规性部分，需严格按本指引填写。</w:t>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（一）项目建设背景及必要性。</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ascii="宋体" w:hAnsi="宋体" w:eastAsia="宋体"/>
          <w:sz w:val="21"/>
        </w:rPr>
        <w:t>临漳县是国家级历史文化名城（邺城遗址），也是重要的粮食生产县和城镇化发展重点推进区域。临漳县属漳河冲积扇平原，地势平坦，海拔60-80米，地表平坦，耕地广阔。近年来城镇化进程持续推进，城乡供水需求不断提升。</w:t>
      </w:r>
    </w:p>
    <w:p>
      <w:pPr>
        <w:pStyle w:val="Normal"/>
        <w:spacing w:lineRule="exact" w:line="480"/>
        <w:ind w:firstLine="420" w:right="0"/>
        <w:rPr>
          <w:rFonts w:ascii="宋体;汉仪书宋二KW" w:hAnsi="宋体;汉仪书宋二KW" w:eastAsia="宋体;汉仪书宋二KW" w:cs="宋体;汉仪书宋二KW"/>
          <w:color w:val="000000"/>
          <w:szCs w:val="21"/>
        </w:rPr>
      </w:pPr>
    </w:p>
    <w:p>
      <w:pPr>
        <w:pStyle w:val="Normal"/>
        <w:spacing w:lineRule="exact" w:line="480"/>
        <w:ind w:firstLine="420" w:right="0"/>
        <w:rPr>
          <w:rFonts w:ascii="宋体;汉仪书宋二KW" w:hAnsi="宋体;汉仪书宋二KW" w:eastAsia="宋体;汉仪书宋二KW" w:cs="宋体;汉仪书宋二KW"/>
          <w:color w:val="000000"/>
          <w:szCs w:val="21"/>
        </w:rPr>
      </w:pP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ascii="宋体" w:hAnsi="宋体" w:eastAsia="宋体"/>
          <w:sz w:val="21"/>
        </w:rPr>
        <w:t>临漳县城乡供水一体化特许经营项目采用特许经营权转让模式（TOT+BOT）进行合作，邺城供水集团有限公司为中标方，在临漳县设立项目公司中水（临漳）水务有限公司。临漳县水利局作为实施机构，将合作范围内供水业务存量资产经营权及新建项目特许经营权授予项目公司，项目公司在40年经营期内全权享有城市供水等项目收益，期满后资产移交临漳县政府。</w:t>
        <w:br/>
        <w:t>特许经营范围包括：临漳县城区及周边38个村（第三供水厂服务范围），以及27个农村供水站覆盖14个乡镇（第四供水厂服务范围）。第一、二供水厂作为城区供水热备水厂。</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ascii="宋体" w:hAnsi="宋体" w:eastAsia="宋体"/>
          <w:sz w:val="21"/>
        </w:rPr>
        <w:t>特许经营范围包括：临漳县城区及周边38个村庄、27个农村供水站内的14个乡镇。供水服务覆盖全县域，服务人口约72万人。其中城区供水以第三供水厂为核心，农村供水以第四供水厂及27个供水站为网络。</w:t>
      </w:r>
    </w:p>
    <w:p>
      <w:pPr>
        <w:pStyle w:val="Normal"/>
        <w:spacing w:lineRule="exact" w:line="480"/>
        <w:ind w:firstLine="420" w:right="0"/>
        <w:rPr>
          <w:rFonts w:ascii="宋体;汉仪书宋二KW" w:hAnsi="宋体;汉仪书宋二KW" w:eastAsia="宋体;汉仪书宋二KW" w:cs="宋体;汉仪书宋二KW"/>
          <w:color w:val="000000"/>
          <w:szCs w:val="21"/>
        </w:rPr>
      </w:pPr>
    </w:p>
    <w:p>
      <w:pPr>
        <w:pStyle w:val="Normal"/>
        <w:spacing w:lineRule="exact" w:line="480"/>
        <w:ind w:firstLine="420" w:right="0"/>
        <w:rPr>
          <w:rFonts w:ascii="宋体;汉仪书宋二KW" w:hAnsi="宋体;汉仪书宋二KW" w:eastAsia="宋体;汉仪书宋二KW" w:cs="宋体;汉仪书宋二KW"/>
          <w:color w:val="000000"/>
          <w:szCs w:val="21"/>
        </w:rPr>
      </w:pP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（二）项目合规性。</w:t>
      </w:r>
    </w:p>
    <w:tbl>
      <w:tblPr>
        <w:tblW w:w="10463" w:type="dxa"/>
        <w:jc w:val="center"/>
        <w:tblInd w:w="0" w:type="dxa"/>
        <w:tblLayout w:type="fixed"/>
        <w:tblCellMar>
          <w:top w:w="0" w:type="dxa"/>
          <w:left w:w="108" w:type="dxa"/>
          <w:bottom w:w="0" w:type="dxa"/>
          <w:right w:w="108" w:type="dxa"/>
        </w:tblCellMar>
      </w:tblPr>
      <w:tblGrid>
        <w:gridCol w:w="803"/>
        <w:gridCol w:w="1543"/>
        <w:gridCol w:w="1543"/>
        <w:gridCol w:w="1543"/>
        <w:gridCol w:w="1543"/>
        <w:gridCol w:w="1744"/>
        <w:gridCol w:w="1744"/>
      </w:tblGrid>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序号</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文件名称</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批文机构</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批文日期</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批文编号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批文到期日</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主要内容或备注</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w:t>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2017</w:t>
            </w:r>
            <w:r>
              <w:rPr>
                <w:rFonts w:ascii="宋体;汉仪书宋二KW" w:hAnsi="宋体;汉仪书宋二KW" w:cs="宋体;汉仪书宋二KW"/>
                <w:color w:val="000000"/>
                <w:sz w:val="21"/>
                <w:szCs w:val="21"/>
              </w:rPr>
              <w:t>年</w:t>
            </w:r>
            <w:r>
              <w:rPr>
                <w:rFonts w:eastAsia="宋体;汉仪书宋二KW" w:cs="宋体;汉仪书宋二KW" w:ascii="宋体;汉仪书宋二KW" w:hAnsi="宋体;汉仪书宋二KW"/>
                <w:color w:val="000000"/>
                <w:sz w:val="21"/>
                <w:szCs w:val="21"/>
              </w:rPr>
              <w:t>2</w:t>
            </w:r>
            <w:r>
              <w:rPr>
                <w:rFonts w:ascii="宋体;汉仪书宋二KW" w:hAnsi="宋体;汉仪书宋二KW" w:cs="宋体;汉仪书宋二KW"/>
                <w:color w:val="000000"/>
                <w:sz w:val="21"/>
                <w:szCs w:val="21"/>
              </w:rPr>
              <w:t>月</w:t>
            </w:r>
            <w:r>
              <w:rPr>
                <w:rFonts w:eastAsia="宋体;汉仪书宋二KW" w:cs="宋体;汉仪书宋二KW" w:ascii="宋体;汉仪书宋二KW" w:hAnsi="宋体;汉仪书宋二KW"/>
                <w:color w:val="000000"/>
                <w:sz w:val="21"/>
                <w:szCs w:val="21"/>
              </w:rPr>
              <w:t>10</w:t>
            </w:r>
            <w:r>
              <w:rPr>
                <w:rFonts w:ascii="宋体;汉仪书宋二KW" w:hAnsi="宋体;汉仪书宋二KW" w:cs="宋体;汉仪书宋二KW"/>
                <w:color w:val="000000"/>
                <w:sz w:val="21"/>
                <w:szCs w:val="21"/>
              </w:rPr>
              <w:t>日</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盘国资发﹝</w:t>
            </w:r>
            <w:r>
              <w:rPr>
                <w:rFonts w:eastAsia="宋体;汉仪书宋二KW" w:cs="宋体;汉仪书宋二KW" w:ascii="宋体;汉仪书宋二KW" w:hAnsi="宋体;汉仪书宋二KW"/>
                <w:color w:val="000000"/>
                <w:sz w:val="21"/>
                <w:szCs w:val="21"/>
              </w:rPr>
              <w:t>2017﹞31</w:t>
            </w:r>
            <w:r>
              <w:rPr>
                <w:rFonts w:ascii="宋体;汉仪书宋二KW" w:hAnsi="宋体;汉仪书宋二KW" w:cs="宋体;汉仪书宋二KW"/>
                <w:color w:val="000000"/>
                <w:sz w:val="21"/>
                <w:szCs w:val="21"/>
              </w:rPr>
              <w:t>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长期有效</w:t>
            </w:r>
          </w:p>
        </w:tc>
        <w:tc>
          <w:tcPr>
            <w:tcW w:w="1744" w:type="dxa"/>
            <w:tcBorders>
              <w:top w:val="single" w:sz="4" w:space="0" w:color="000000"/>
              <w:left w:val="single" w:sz="4" w:space="0" w:color="000000"/>
              <w:bottom w:val="single" w:sz="4" w:space="0" w:color="000000"/>
              <w:right w:val="single" w:sz="4" w:space="0" w:color="000000"/>
            </w:tcBorders>
          </w:tcPr>
          <w:p>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辽宁省人民政府关于调整省属水利工程供水价格有关事项的通知</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辽宁省人民政府</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年</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辽政发〔</w:t>
            </w: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w:t>
            </w:r>
            <w:r>
              <w:rPr>
                <w:rFonts w:eastAsia="宋体;汉仪书宋二KW" w:cs="宋体;汉仪书宋二KW" w:ascii="宋体;汉仪书宋二KW" w:hAnsi="宋体;汉仪书宋二KW"/>
                <w:color w:val="000000"/>
                <w:sz w:val="21"/>
                <w:szCs w:val="21"/>
              </w:rPr>
              <w:t>10</w:t>
            </w:r>
            <w:r>
              <w:rPr>
                <w:rFonts w:ascii="宋体;汉仪书宋二KW" w:hAnsi="宋体;汉仪书宋二KW" w:cs="宋体;汉仪书宋二KW"/>
                <w:color w:val="000000"/>
                <w:sz w:val="21"/>
                <w:szCs w:val="21"/>
              </w:rPr>
              <w:t>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长期有效</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明确大伙房水库、辽西北工程供水价格调整标准</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w:t>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年</w:t>
            </w:r>
            <w:r>
              <w:rPr>
                <w:rFonts w:eastAsia="宋体;汉仪书宋二KW" w:cs="宋体;汉仪书宋二KW" w:ascii="宋体;汉仪书宋二KW" w:hAnsi="宋体;汉仪书宋二KW"/>
                <w:color w:val="000000"/>
                <w:sz w:val="21"/>
                <w:szCs w:val="21"/>
              </w:rPr>
              <w:t>7</w:t>
            </w:r>
            <w:r>
              <w:rPr>
                <w:rFonts w:ascii="宋体;汉仪书宋二KW" w:hAnsi="宋体;汉仪书宋二KW" w:cs="宋体;汉仪书宋二KW"/>
                <w:color w:val="000000"/>
                <w:sz w:val="21"/>
                <w:szCs w:val="21"/>
              </w:rPr>
              <w:t>月</w:t>
            </w:r>
            <w:r>
              <w:rPr>
                <w:rFonts w:eastAsia="宋体;汉仪书宋二KW" w:cs="宋体;汉仪书宋二KW" w:ascii="宋体;汉仪书宋二KW" w:hAnsi="宋体;汉仪书宋二KW"/>
                <w:color w:val="000000"/>
                <w:sz w:val="21"/>
                <w:szCs w:val="21"/>
              </w:rPr>
              <w:t>3</w:t>
            </w:r>
            <w:r>
              <w:rPr>
                <w:rFonts w:ascii="宋体;汉仪书宋二KW" w:hAnsi="宋体;汉仪书宋二KW" w:cs="宋体;汉仪书宋二KW"/>
                <w:color w:val="000000"/>
                <w:sz w:val="21"/>
                <w:szCs w:val="21"/>
              </w:rPr>
              <w:t>日</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长期有效</w:t>
            </w:r>
          </w:p>
        </w:tc>
        <w:tc>
          <w:tcPr>
            <w:tcW w:w="1744" w:type="dxa"/>
            <w:tcBorders>
              <w:top w:val="single" w:sz="4" w:space="0" w:color="000000"/>
              <w:left w:val="single" w:sz="4" w:space="0" w:color="000000"/>
              <w:bottom w:val="single" w:sz="4" w:space="0" w:color="000000"/>
              <w:right w:val="single" w:sz="4" w:space="0" w:color="000000"/>
            </w:tcBorders>
          </w:tcPr>
          <w:p>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4</w:t>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年</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盘发改发</w:t>
            </w: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年</w:t>
            </w:r>
            <w:r>
              <w:rPr>
                <w:rFonts w:eastAsia="宋体;汉仪书宋二KW" w:cs="宋体;汉仪书宋二KW" w:ascii="宋体;汉仪书宋二KW" w:hAnsi="宋体;汉仪书宋二KW"/>
                <w:color w:val="000000"/>
                <w:sz w:val="21"/>
                <w:szCs w:val="21"/>
              </w:rPr>
              <w:t>[58</w:t>
            </w:r>
            <w:r>
              <w:rPr>
                <w:rFonts w:ascii="宋体;汉仪书宋二KW" w:hAnsi="宋体;汉仪书宋二KW" w:cs="宋体;汉仪书宋二KW"/>
                <w:color w:val="000000"/>
                <w:sz w:val="21"/>
                <w:szCs w:val="21"/>
              </w:rPr>
              <w:t>号</w:t>
            </w:r>
            <w:r>
              <w:rPr>
                <w:rFonts w:eastAsia="宋体;汉仪书宋二KW" w:cs="宋体;汉仪书宋二KW" w:ascii="宋体;汉仪书宋二KW" w:hAnsi="宋体;汉仪书宋二KW"/>
                <w:color w:val="000000"/>
                <w:sz w:val="21"/>
                <w:szCs w:val="21"/>
              </w:rPr>
              <w:t>]</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长期有效</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批准</w:t>
            </w:r>
            <w:r>
              <w:rPr>
                <w:rFonts w:eastAsia="宋体;汉仪书宋二KW" w:cs="宋体;汉仪书宋二KW" w:ascii="宋体;汉仪书宋二KW" w:hAnsi="宋体;汉仪书宋二KW"/>
                <w:color w:val="000000"/>
                <w:sz w:val="21"/>
                <w:szCs w:val="21"/>
              </w:rPr>
              <w:t>5</w:t>
            </w:r>
            <w:r>
              <w:rPr>
                <w:rFonts w:ascii="宋体;汉仪书宋二KW" w:hAnsi="宋体;汉仪书宋二KW" w:cs="宋体;汉仪书宋二KW"/>
                <w:color w:val="000000"/>
                <w:sz w:val="21"/>
                <w:szCs w:val="21"/>
              </w:rPr>
              <w:t>个管网及二供泵房改造项目，总投资</w:t>
            </w:r>
            <w:r>
              <w:rPr>
                <w:rFonts w:eastAsia="宋体;汉仪书宋二KW" w:cs="宋体;汉仪书宋二KW" w:ascii="宋体;汉仪书宋二KW" w:hAnsi="宋体;汉仪书宋二KW"/>
                <w:color w:val="000000"/>
                <w:sz w:val="21"/>
                <w:szCs w:val="21"/>
              </w:rPr>
              <w:t>5.96</w:t>
            </w:r>
            <w:r>
              <w:rPr>
                <w:rFonts w:ascii="宋体;汉仪书宋二KW" w:hAnsi="宋体;汉仪书宋二KW" w:cs="宋体;汉仪书宋二KW"/>
                <w:color w:val="000000"/>
                <w:sz w:val="21"/>
                <w:szCs w:val="21"/>
              </w:rPr>
              <w:t>亿元</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5</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特许经营权资产评估报告</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北京卓信大华资产评估有限公司</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年</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卓信大华评报字〔</w:t>
            </w: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w:t>
            </w:r>
            <w:r>
              <w:rPr>
                <w:rFonts w:eastAsia="宋体;汉仪书宋二KW" w:cs="宋体;汉仪书宋二KW" w:ascii="宋体;汉仪书宋二KW" w:hAnsi="宋体;汉仪书宋二KW"/>
                <w:color w:val="000000"/>
                <w:sz w:val="21"/>
                <w:szCs w:val="21"/>
              </w:rPr>
              <w:t>2159</w:t>
            </w:r>
            <w:r>
              <w:rPr>
                <w:rFonts w:ascii="宋体;汉仪书宋二KW" w:hAnsi="宋体;汉仪书宋二KW" w:cs="宋体;汉仪书宋二KW"/>
                <w:color w:val="000000"/>
                <w:sz w:val="21"/>
                <w:szCs w:val="21"/>
              </w:rPr>
              <w:t>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长期有效</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以</w:t>
            </w:r>
            <w:r>
              <w:rPr>
                <w:rFonts w:eastAsia="宋体;汉仪书宋二KW" w:cs="宋体;汉仪书宋二KW" w:ascii="宋体;汉仪书宋二KW" w:hAnsi="宋体;汉仪书宋二KW"/>
                <w:color w:val="000000"/>
                <w:sz w:val="21"/>
                <w:szCs w:val="21"/>
              </w:rPr>
              <w:t>2024</w:t>
            </w:r>
            <w:r>
              <w:rPr>
                <w:rFonts w:ascii="宋体;汉仪书宋二KW" w:hAnsi="宋体;汉仪书宋二KW" w:cs="宋体;汉仪书宋二KW"/>
                <w:color w:val="000000"/>
                <w:sz w:val="21"/>
                <w:szCs w:val="21"/>
              </w:rPr>
              <w:t>年</w:t>
            </w:r>
            <w:r>
              <w:rPr>
                <w:rFonts w:eastAsia="宋体;汉仪书宋二KW" w:cs="宋体;汉仪书宋二KW" w:ascii="宋体;汉仪书宋二KW" w:hAnsi="宋体;汉仪书宋二KW"/>
                <w:color w:val="000000"/>
                <w:sz w:val="21"/>
                <w:szCs w:val="21"/>
              </w:rPr>
              <w:t>11</w:t>
            </w:r>
            <w:r>
              <w:rPr>
                <w:rFonts w:ascii="宋体;汉仪书宋二KW" w:hAnsi="宋体;汉仪书宋二KW" w:cs="宋体;汉仪书宋二KW"/>
                <w:color w:val="000000"/>
                <w:sz w:val="21"/>
                <w:szCs w:val="21"/>
              </w:rPr>
              <w:t>月</w:t>
            </w:r>
            <w:r>
              <w:rPr>
                <w:rFonts w:eastAsia="宋体;汉仪书宋二KW" w:cs="宋体;汉仪书宋二KW" w:ascii="宋体;汉仪书宋二KW" w:hAnsi="宋体;汉仪书宋二KW"/>
                <w:color w:val="000000"/>
                <w:sz w:val="21"/>
                <w:szCs w:val="21"/>
              </w:rPr>
              <w:t>30</w:t>
            </w:r>
            <w:r>
              <w:rPr>
                <w:rFonts w:ascii="宋体;汉仪书宋二KW" w:hAnsi="宋体;汉仪书宋二KW" w:cs="宋体;汉仪书宋二KW"/>
                <w:color w:val="000000"/>
                <w:sz w:val="21"/>
                <w:szCs w:val="21"/>
              </w:rPr>
              <w:t>日为基准日，评估特许经营权价值</w:t>
            </w:r>
            <w:r>
              <w:rPr>
                <w:rFonts w:eastAsia="宋体;汉仪书宋二KW" w:cs="宋体;汉仪书宋二KW" w:ascii="宋体;汉仪书宋二KW" w:hAnsi="宋体;汉仪书宋二KW"/>
                <w:color w:val="000000"/>
                <w:sz w:val="21"/>
                <w:szCs w:val="21"/>
              </w:rPr>
              <w:t>15.89</w:t>
            </w:r>
            <w:r>
              <w:rPr>
                <w:rFonts w:ascii="宋体;汉仪书宋二KW" w:hAnsi="宋体;汉仪书宋二KW" w:cs="宋体;汉仪书宋二KW"/>
                <w:color w:val="000000"/>
                <w:sz w:val="21"/>
                <w:szCs w:val="21"/>
              </w:rPr>
              <w:t>亿元</w:t>
            </w:r>
          </w:p>
        </w:tc>
      </w:tr>
      <w:tr>
        <w:trPr/>
        <w:tc>
          <w:tcPr>
            <w:tcW w:w="80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6</w:t>
            </w:r>
          </w:p>
        </w:tc>
        <w:tc>
          <w:tcPr>
            <w:tcW w:w="1543" w:type="dxa"/>
            <w:tcBorders>
              <w:top w:val="single" w:sz="4" w:space="0" w:color="000000"/>
              <w:left w:val="single" w:sz="4" w:space="0" w:color="000000"/>
              <w:bottom w:val="single" w:sz="4" w:space="0" w:color="000000"/>
              <w:right w:val="single" w:sz="4" w:space="0" w:color="000000"/>
            </w:tcBorders>
          </w:tcPr>
          <w:p>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立信会计师事务所</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年</w:t>
            </w:r>
          </w:p>
        </w:tc>
        <w:tc>
          <w:tcPr>
            <w:tcW w:w="1543"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信会师报字〔</w:t>
            </w:r>
            <w:r>
              <w:rPr>
                <w:rFonts w:eastAsia="宋体;汉仪书宋二KW" w:cs="宋体;汉仪书宋二KW" w:ascii="宋体;汉仪书宋二KW" w:hAnsi="宋体;汉仪书宋二KW"/>
                <w:color w:val="000000"/>
                <w:sz w:val="21"/>
                <w:szCs w:val="21"/>
              </w:rPr>
              <w:t>2025</w:t>
            </w:r>
            <w:r>
              <w:rPr>
                <w:rFonts w:ascii="宋体;汉仪书宋二KW" w:hAnsi="宋体;汉仪书宋二KW" w:cs="宋体;汉仪书宋二KW"/>
                <w:color w:val="000000"/>
                <w:sz w:val="21"/>
                <w:szCs w:val="21"/>
              </w:rPr>
              <w:t>〕</w:t>
            </w:r>
            <w:r>
              <w:rPr>
                <w:rFonts w:eastAsia="宋体;汉仪书宋二KW" w:cs="宋体;汉仪书宋二KW" w:ascii="宋体;汉仪书宋二KW" w:hAnsi="宋体;汉仪书宋二KW"/>
                <w:color w:val="000000"/>
                <w:sz w:val="21"/>
                <w:szCs w:val="21"/>
              </w:rPr>
              <w:t>ZB24465</w:t>
            </w:r>
            <w:r>
              <w:rPr>
                <w:rFonts w:ascii="宋体;汉仪书宋二KW" w:hAnsi="宋体;汉仪书宋二KW" w:cs="宋体;汉仪书宋二KW"/>
                <w:color w:val="000000"/>
                <w:sz w:val="21"/>
                <w:szCs w:val="21"/>
              </w:rPr>
              <w:t>号</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长期有效</w:t>
            </w:r>
          </w:p>
        </w:tc>
        <w:tc>
          <w:tcPr>
            <w:tcW w:w="1744"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确认合作范围内水务类资产总额</w:t>
            </w:r>
            <w:r>
              <w:rPr>
                <w:rFonts w:eastAsia="宋体;汉仪书宋二KW" w:cs="宋体;汉仪书宋二KW" w:ascii="宋体;汉仪书宋二KW" w:hAnsi="宋体;汉仪书宋二KW"/>
                <w:color w:val="000000"/>
                <w:sz w:val="21"/>
                <w:szCs w:val="21"/>
              </w:rPr>
              <w:t>48.57</w:t>
            </w:r>
            <w:r>
              <w:rPr>
                <w:rFonts w:ascii="宋体;汉仪书宋二KW" w:hAnsi="宋体;汉仪书宋二KW" w:cs="宋体;汉仪书宋二KW"/>
                <w:color w:val="000000"/>
                <w:sz w:val="21"/>
                <w:szCs w:val="21"/>
              </w:rPr>
              <w:t>亿元</w:t>
            </w:r>
          </w:p>
        </w:tc>
      </w:tr>
    </w:tbl>
    <w:p>
      <w:pPr>
        <w:pStyle w:val="Normal"/>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lang w:val="en-US" w:eastAsia="zh-CN"/>
        </w:rPr>
        <w:t>7</w:t>
      </w:r>
      <w:r>
        <w:rPr>
          <w:rFonts w:ascii="宋体;汉仪书宋二KW" w:hAnsi="宋体;汉仪书宋二KW" w:cs="宋体;汉仪书宋二KW"/>
          <w:color w:val="000000"/>
          <w:szCs w:val="21"/>
        </w:rPr>
        <w:t>、对于环评批复中提到的重要环境风险因素应在报告中予以列示，并说明风险因素的可控性。</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cs="宋体;汉仪书宋二KW" w:ascii="宋体;汉仪书宋二KW" w:hAnsi="宋体;汉仪书宋二KW"/>
          <w:color w:val="000000"/>
          <w:szCs w:val="21"/>
          <w:lang w:val="en-US" w:eastAsia="zh-CN"/>
        </w:rPr>
        <w:t>8</w:t>
      </w:r>
      <w:r>
        <w:rPr>
          <w:rFonts w:ascii="宋体;汉仪书宋二KW" w:hAnsi="宋体;汉仪书宋二KW" w:cs="宋体;汉仪书宋二KW"/>
          <w:color w:val="000000"/>
          <w:szCs w:val="21"/>
        </w:rPr>
        <w:t>、根据《环境影响评价公众参与暂行办法》（环发</w:t>
      </w:r>
      <w:r>
        <w:rPr>
          <w:rFonts w:cs="宋体;汉仪书宋二KW" w:ascii="宋体;汉仪书宋二KW" w:hAnsi="宋体;汉仪书宋二KW"/>
          <w:color w:val="000000"/>
          <w:szCs w:val="21"/>
        </w:rPr>
        <w:t>[2006]28</w:t>
      </w:r>
      <w:r>
        <w:rPr>
          <w:rFonts w:ascii="宋体;汉仪书宋二KW" w:hAnsi="宋体;汉仪书宋二KW" w:cs="宋体;汉仪书宋二KW"/>
          <w:color w:val="000000"/>
          <w:szCs w:val="21"/>
        </w:rPr>
        <w:t>号）规定，需由公共参与</w:t>
      </w:r>
      <w:r>
        <w:rPr>
          <w:rFonts w:ascii="宋体;汉仪书宋二KW" w:hAnsi="宋体;汉仪书宋二KW" w:cs="宋体;汉仪书宋二KW"/>
          <w:color w:val="000000"/>
          <w:szCs w:val="21"/>
        </w:rPr>
        <w:t>环境影响评价的项目，需说明公众参与情况及意见。</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lang w:val="en-US" w:eastAsia="zh-CN"/>
        </w:rPr>
        <w:t>9</w:t>
      </w:r>
      <w:r>
        <w:rPr>
          <w:rFonts w:ascii="宋体;汉仪书宋二KW" w:hAnsi="宋体;汉仪书宋二KW" w:cs="宋体;汉仪书宋二KW"/>
          <w:color w:val="000000"/>
          <w:szCs w:val="21"/>
          <w:lang w:val="en-US" w:eastAsia="zh-CN"/>
        </w:rPr>
        <w:t>、</w:t>
      </w:r>
      <w:r>
        <w:rPr>
          <w:rFonts w:ascii="宋体;汉仪书宋二KW" w:hAnsi="宋体;汉仪书宋二KW" w:cs="宋体;汉仪书宋二KW"/>
          <w:color w:val="000000"/>
          <w:szCs w:val="21"/>
        </w:rPr>
        <w:t>国家对拟投资项目有投资主体资格和经营资质要求的，是否符合其要求。</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lang w:val="en-US" w:eastAsia="zh-CN"/>
        </w:rPr>
        <w:t>10</w:t>
      </w:r>
      <w:r>
        <w:rPr>
          <w:rFonts w:ascii="宋体;汉仪书宋二KW" w:hAnsi="宋体;汉仪书宋二KW" w:cs="宋体;汉仪书宋二KW"/>
          <w:color w:val="000000"/>
          <w:szCs w:val="21"/>
          <w:lang w:val="en-US" w:eastAsia="zh-CN"/>
        </w:rPr>
        <w:t>、</w:t>
      </w:r>
      <w:r>
        <w:rPr>
          <w:rFonts w:ascii="宋体;汉仪书宋二KW" w:hAnsi="宋体;汉仪书宋二KW" w:cs="宋体;汉仪书宋二KW"/>
          <w:color w:val="000000"/>
          <w:szCs w:val="21"/>
        </w:rPr>
        <w:t>国家对该类项目的其他政策要求。</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11</w:t>
      </w:r>
      <w:r>
        <w:rPr>
          <w:rFonts w:ascii="宋体;汉仪书宋二KW" w:hAnsi="宋体;汉仪书宋二KW" w:cs="宋体;汉仪书宋二KW"/>
          <w:color w:val="000000"/>
          <w:szCs w:val="21"/>
          <w:lang w:eastAsia="zh-CN"/>
        </w:rPr>
        <w:t>、</w:t>
      </w:r>
      <w:r>
        <w:rPr>
          <w:rFonts w:ascii="宋体;汉仪书宋二KW" w:hAnsi="宋体;汉仪书宋二KW" w:cs="宋体;汉仪书宋二KW"/>
          <w:color w:val="000000"/>
          <w:szCs w:val="21"/>
        </w:rPr>
        <w:t>项目前期贷款按照《中信银行项目前期贷款管理办法》的要求执行。</w:t>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（三）项目建设内容及工艺流程</w:t>
      </w:r>
      <w:r>
        <w:rPr>
          <w:rFonts w:ascii="楷体;汉仪楷体KW" w:hAnsi="楷体;汉仪楷体KW" w:cs="楷体;汉仪楷体KW" w:eastAsia="楷体;汉仪楷体KW"/>
          <w:sz w:val="24"/>
          <w:szCs w:val="24"/>
        </w:rPr>
        <w:t>（工艺流程及技术分析部分主要适用于工业项目）</w:t>
      </w:r>
    </w:p>
    <w:p>
      <w:pPr>
        <w:pStyle w:val="Normal"/>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1</w:t>
      </w:r>
      <w:r>
        <w:rPr>
          <w:rFonts w:ascii="宋体;汉仪书宋二KW" w:hAnsi="宋体;汉仪书宋二KW" w:cs="宋体;汉仪书宋二KW"/>
          <w:color w:val="000000"/>
          <w:szCs w:val="21"/>
        </w:rPr>
        <w:t>、项目地点、内容（总体建设规模及单套装置规模、主要技术标准、工程方案、工艺技术路线等）、项目主要产品。</w:t>
      </w:r>
    </w:p>
    <w:p>
      <w:pPr>
        <w:pStyle w:val="Normal"/>
        <w:keepNext w:val="false"/>
        <w:keepLines w:val="false"/>
        <w:pageBreakBefore w:val="false"/>
        <w:widowControl w:val="false"/>
        <w:kinsoku w:val="true"/>
        <w:overflowPunct w:val="true"/>
        <w:autoSpaceDE w:val="true"/>
        <w:bidi w:val="0"/>
        <w:snapToGrid w:val="tru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drawing>
          <wp:inline distT="0" distB="0" distL="0" distR="0">
            <wp:extent cx="2827655" cy="4205605"/>
            <wp:effectExtent l="0" t="0" r="0" b="0"/>
            <wp:docPr id="3"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
                    <pic:cNvPicPr>
                      <a:picLocks noChangeAspect="1" noChangeArrowheads="1"/>
                    </pic:cNvPicPr>
                  </pic:nvPicPr>
                  <pic:blipFill>
                    <a:blip r:embed="rId4"/>
                    <a:srcRect l="-9" t="-6" r="-9" b="-6"/>
                    <a:stretch>
                      <a:fillRect/>
                    </a:stretch>
                  </pic:blipFill>
                  <pic:spPr bwMode="auto">
                    <a:xfrm>
                      <a:off x="0" y="0"/>
                      <a:ext cx="2827655" cy="4205605"/>
                    </a:xfrm>
                    <a:prstGeom prst="rect">
                      <a:avLst/>
                    </a:prstGeom>
                  </pic:spPr>
                </pic:pic>
              </a:graphicData>
            </a:graphic>
          </wp:inline>
        </w:drawing>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ascii="宋体" w:hAnsi="宋体" w:eastAsia="宋体"/>
          <w:sz w:val="21"/>
        </w:rPr>
        <w:t>特许经营范围包括：临漳县城区及周边38个村庄、27个农村供水站内的14个乡镇。供水服务覆盖全县域，服务人口约72万人。其中城区供水以第三供水厂为核心，农村供水以第四供水厂及27个供水站为网络。</w:t>
      </w:r>
    </w:p>
    <w:p>
      <w:pPr>
        <w:pStyle w:val="Normal"/>
        <w:spacing w:lineRule="exact" w:line="480"/>
        <w:ind w:firstLine="420" w:right="0"/>
        <w:rPr>
          <w:rFonts w:ascii="宋体;汉仪书宋二KW" w:hAnsi="宋体;汉仪书宋二KW" w:eastAsia="宋体;汉仪书宋二KW" w:cs="宋体;汉仪书宋二KW"/>
          <w:color w:val="000000"/>
          <w:szCs w:val="21"/>
        </w:rPr>
      </w:pPr>
    </w:p>
    <w:p>
      <w:pPr>
        <w:pStyle w:val="Normal"/>
        <w:numPr>
          <w:ilvl w:val="0"/>
          <w:numId w:val="1"/>
        </w:numPr>
        <w:spacing w:lineRule="exact" w:line="480"/>
        <w:ind w:firstLine="420" w:left="0" w:right="0"/>
        <w:rPr>
          <w:rFonts w:ascii="宋体;汉仪书宋二KW" w:hAnsi="宋体;汉仪书宋二KW" w:cs="宋体;汉仪书宋二KW"/>
          <w:szCs w:val="21"/>
        </w:rPr>
      </w:pPr>
      <w:r>
        <w:rPr>
          <w:rFonts w:ascii="宋体;汉仪书宋二KW" w:hAnsi="宋体;汉仪书宋二KW" w:cs="宋体;汉仪书宋二KW"/>
          <w:szCs w:val="21"/>
        </w:rPr>
        <w:t>《可行性研究报告》（或项目申请报告）定稿时间、编制单位及其主要资质和相关设计经验评价。</w:t>
      </w:r>
    </w:p>
    <w:p>
      <w:pPr>
        <w:pStyle w:val="Normal"/>
        <w:spacing w:lineRule="exact" w:line="480"/>
        <w:ind w:firstLine="420" w:right="0"/>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lang w:val="en-US" w:eastAsia="zh-CN"/>
        </w:rPr>
        <w:t>可研报告</w:t>
      </w:r>
      <w:r>
        <w:rPr>
          <w:rFonts w:ascii="宋体;汉仪书宋二KW" w:hAnsi="宋体;汉仪书宋二KW" w:cs="宋体;汉仪书宋二KW"/>
          <w:color w:val="000000"/>
          <w:szCs w:val="21"/>
        </w:rPr>
        <w:t>定稿时间</w:t>
      </w:r>
      <w:r>
        <w:rPr>
          <w:rFonts w:ascii="宋体;汉仪书宋二KW" w:hAnsi="宋体;汉仪书宋二KW" w:cs="宋体;汉仪书宋二KW"/>
          <w:color w:val="000000"/>
          <w:szCs w:val="21"/>
          <w:lang w:eastAsia="zh-CN"/>
        </w:rPr>
        <w:t>为</w:t>
      </w:r>
      <w:r>
        <w:rPr>
          <w:rFonts w:eastAsia="宋体;汉仪书宋二KW" w:cs="宋体;汉仪书宋二KW" w:ascii="宋体;汉仪书宋二KW" w:hAnsi="宋体;汉仪书宋二KW"/>
          <w:color w:val="000000"/>
          <w:szCs w:val="21"/>
          <w:lang w:val="en-US" w:eastAsia="zh-CN"/>
        </w:rPr>
        <w:t>2025</w:t>
      </w:r>
      <w:r>
        <w:rPr>
          <w:rFonts w:ascii="宋体;汉仪书宋二KW" w:hAnsi="宋体;汉仪书宋二KW" w:cs="宋体;汉仪书宋二KW"/>
          <w:color w:val="000000"/>
          <w:szCs w:val="21"/>
          <w:lang w:val="en-US" w:eastAsia="zh-CN"/>
        </w:rPr>
        <w:t>年</w:t>
      </w:r>
      <w:r>
        <w:rPr>
          <w:rFonts w:eastAsia="宋体;汉仪书宋二KW" w:cs="宋体;汉仪书宋二KW" w:ascii="宋体;汉仪书宋二KW" w:hAnsi="宋体;汉仪书宋二KW"/>
          <w:color w:val="000000"/>
          <w:szCs w:val="21"/>
          <w:lang w:val="en-US" w:eastAsia="zh-CN"/>
        </w:rPr>
        <w:t>8</w:t>
      </w:r>
      <w:r>
        <w:rPr>
          <w:rFonts w:ascii="宋体;汉仪书宋二KW" w:hAnsi="宋体;汉仪书宋二KW" w:cs="宋体;汉仪书宋二KW"/>
          <w:color w:val="000000"/>
          <w:szCs w:val="21"/>
          <w:lang w:val="en-US" w:eastAsia="zh-CN"/>
        </w:rPr>
        <w:t>月，</w:t>
      </w:r>
      <w:r>
        <w:rPr>
          <w:rFonts w:ascii="宋体;汉仪书宋二KW" w:hAnsi="宋体;汉仪书宋二KW" w:cs="宋体;汉仪书宋二KW"/>
          <w:color w:val="000000"/>
          <w:szCs w:val="21"/>
        </w:rPr>
        <w:t>编制单位</w:t>
      </w:r>
      <w:r>
        <w:rPr>
          <w:rFonts w:ascii="宋体;汉仪书宋二KW" w:hAnsi="宋体;汉仪书宋二KW" w:cs="宋体;汉仪书宋二KW"/>
          <w:color w:val="000000"/>
          <w:szCs w:val="21"/>
          <w:lang w:eastAsia="zh-CN"/>
        </w:rPr>
        <w:t>为</w:t>
      </w:r>
      <w:r>
        <w:rPr>
          <w:rFonts w:ascii="宋体;汉仪书宋二KW" w:hAnsi="宋体;汉仪书宋二KW" w:cs="宋体;汉仪书宋二KW"/>
          <w:color w:val="000000"/>
          <w:szCs w:val="21"/>
          <w:lang w:val="en-US" w:eastAsia="zh-CN"/>
        </w:rPr>
        <w:t>齐齐哈尔水务集团</w:t>
      </w:r>
      <w:r>
        <w:rPr>
          <w:rFonts w:ascii="宋体;汉仪书宋二KW" w:hAnsi="宋体;汉仪书宋二KW" w:cs="宋体;汉仪书宋二KW"/>
          <w:color w:val="000000"/>
          <w:szCs w:val="21"/>
        </w:rPr>
        <w:t>有限公司</w:t>
      </w:r>
      <w:r>
        <w:rPr>
          <w:rFonts w:ascii="宋体;汉仪书宋二KW" w:hAnsi="宋体;汉仪书宋二KW" w:cs="宋体;汉仪书宋二KW"/>
          <w:color w:val="000000"/>
          <w:szCs w:val="21"/>
          <w:lang w:eastAsia="zh-CN"/>
        </w:rPr>
        <w:t>。</w:t>
      </w:r>
    </w:p>
    <w:p>
      <w:pPr>
        <w:pStyle w:val="Normal"/>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3</w:t>
      </w:r>
      <w:r>
        <w:rPr>
          <w:rFonts w:ascii="宋体;汉仪书宋二KW" w:hAnsi="宋体;汉仪书宋二KW" w:cs="宋体;汉仪书宋二KW"/>
          <w:color w:val="000000"/>
          <w:szCs w:val="21"/>
        </w:rPr>
        <w:t>、</w:t>
      </w:r>
      <w:r>
        <w:rPr>
          <w:rFonts w:ascii="宋体;汉仪书宋二KW" w:hAnsi="宋体;汉仪书宋二KW" w:cs="宋体;汉仪书宋二KW"/>
          <w:color w:val="000000"/>
          <w:szCs w:val="21"/>
          <w:lang w:eastAsia="zh-CN"/>
        </w:rPr>
        <w:t>特许经营背景及对价</w:t>
      </w:r>
      <w:r>
        <w:rPr>
          <w:rFonts w:ascii="宋体;汉仪书宋二KW" w:hAnsi="宋体;汉仪书宋二KW" w:cs="宋体;汉仪书宋二KW"/>
          <w:color w:val="000000"/>
          <w:szCs w:val="21"/>
        </w:rPr>
        <w:t>。</w:t>
      </w:r>
    </w:p>
    <w:p>
      <w:pPr>
        <w:pStyle w:val="Normal"/>
        <w:spacing w:lineRule="exact" w:line="480"/>
        <w:ind w:firstLine="420" w:right="0"/>
        <w:rPr>
          <w:rFonts w:ascii="宋体;汉仪书宋二KW" w:hAnsi="宋体;汉仪书宋二KW" w:eastAsia="宋体;汉仪书宋二KW" w:cs="宋体;汉仪书宋二KW"/>
          <w:color w:val="000000"/>
          <w:szCs w:val="21"/>
          <w:lang w:eastAsia="zh-CN"/>
        </w:rPr>
      </w:pPr>
    </w:p>
    <w:p>
      <w:pPr>
        <w:pStyle w:val="Normal"/>
        <w:spacing w:lineRule="exact" w:line="480"/>
        <w:ind w:firstLine="420" w:right="0"/>
        <w:rPr>
          <w:rFonts w:ascii="宋体;汉仪书宋二KW" w:hAnsi="宋体;汉仪书宋二KW" w:eastAsia="宋体;汉仪书宋二KW" w:cs="宋体;汉仪书宋二KW"/>
          <w:b/>
          <w:bCs/>
          <w:color w:val="000000"/>
          <w:szCs w:val="21"/>
          <w:lang w:eastAsia="zh-CN"/>
        </w:rPr>
      </w:pPr>
      <w:r>
        <w:rPr>
          <w:rFonts w:ascii="宋体" w:hAnsi="宋体" w:eastAsia="宋体"/>
          <w:sz w:val="21"/>
        </w:rPr>
        <w:t>根据河北财瑞资产评估有限公司出具的资产评估报告（冀财瑞评报字[2024]第504号），临漳县40年供水经营权在评估基准日2024年8月31日的市场价值为13,963.70万元（壹亿叁仟玖佰陆拾叁万柒仟元整），评估方法采用收益法。</w:t>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（四）项目生产和建设条件</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、项目地理位置，交通和其他配套基础设施情况。</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numPr>
          <w:ilvl w:val="0"/>
          <w:numId w:val="0"/>
        </w:numPr>
        <w:spacing w:lineRule="exact" w:line="480"/>
        <w:ind w:hanging="0" w:left="0"/>
        <w:rPr>
          <w:rFonts w:ascii="宋体;汉仪书宋二KW" w:hAnsi="宋体;汉仪书宋二KW" w:cs="宋体;汉仪书宋二KW"/>
          <w:color w:val="000000"/>
          <w:szCs w:val="21"/>
        </w:rPr>
      </w:pPr>
      <w:r>
        <w:rPr>
          <w:rFonts w:cs="宋体;汉仪书宋二KW" w:ascii="宋体;汉仪书宋二KW" w:hAnsi="宋体;汉仪书宋二KW"/>
          <w:color w:val="000000"/>
          <w:szCs w:val="21"/>
          <w:lang w:val="en-US" w:eastAsia="zh-CN"/>
        </w:rPr>
        <w:t>2</w:t>
      </w:r>
      <w:r>
        <w:rPr>
          <w:rFonts w:ascii="宋体;汉仪书宋二KW" w:hAnsi="宋体;汉仪书宋二KW" w:cs="宋体;汉仪书宋二KW"/>
          <w:color w:val="000000"/>
          <w:szCs w:val="21"/>
          <w:lang w:val="en-US" w:eastAsia="zh-CN"/>
        </w:rPr>
        <w:t>、</w:t>
      </w:r>
      <w:r>
        <w:rPr>
          <w:rFonts w:ascii="宋体;汉仪书宋二KW" w:hAnsi="宋体;汉仪书宋二KW" w:cs="宋体;汉仪书宋二KW"/>
          <w:color w:val="000000"/>
          <w:szCs w:val="21"/>
        </w:rPr>
        <w:t>项目所需的主要原料、燃料，年消耗数量、主要供应来源和运输方式。</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numPr>
          <w:ilvl w:val="0"/>
          <w:numId w:val="1"/>
        </w:numPr>
        <w:spacing w:lineRule="exact" w:line="480"/>
        <w:ind w:firstLine="420" w:left="0" w:right="0"/>
        <w:rPr>
          <w:rFonts w:ascii="宋体;汉仪书宋二KW" w:hAnsi="宋体;汉仪书宋二KW" w:cs="宋体;汉仪书宋二KW"/>
          <w:color w:val="000000"/>
          <w:szCs w:val="21"/>
        </w:rPr>
      </w:pPr>
      <w:r>
        <w:rPr>
          <w:rFonts w:ascii="宋体;汉仪书宋二KW" w:hAnsi="宋体;汉仪书宋二KW" w:cs="宋体;汉仪书宋二KW"/>
          <w:color w:val="000000"/>
          <w:szCs w:val="21"/>
        </w:rPr>
        <w:t>项目产品年销售量，主要销售区域和运输方式。</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 xml:space="preserve">供水面积约 </w:t>
      </w:r>
      <w:r>
        <w:rPr>
          <w:rFonts w:eastAsia="宋体;汉仪书宋二KW" w:cs="宋体;汉仪书宋二KW" w:ascii="宋体;汉仪书宋二KW" w:hAnsi="宋体;汉仪书宋二KW"/>
          <w:color w:val="000000"/>
          <w:szCs w:val="21"/>
          <w:lang w:val="en-US" w:eastAsia="zh-CN"/>
        </w:rPr>
        <w:t xml:space="preserve">614 </w:t>
      </w:r>
      <w:r>
        <w:rPr>
          <w:rFonts w:ascii="宋体;汉仪书宋二KW" w:hAnsi="宋体;汉仪书宋二KW" w:cs="宋体;汉仪书宋二KW"/>
          <w:color w:val="000000"/>
          <w:szCs w:val="21"/>
          <w:lang w:val="en-US" w:eastAsia="zh-CN"/>
        </w:rPr>
        <w:t xml:space="preserve">平方公里，供水人口约 </w:t>
      </w:r>
      <w:r>
        <w:rPr>
          <w:rFonts w:eastAsia="宋体;汉仪书宋二KW" w:cs="宋体;汉仪书宋二KW" w:ascii="宋体;汉仪书宋二KW" w:hAnsi="宋体;汉仪书宋二KW"/>
          <w:color w:val="000000"/>
          <w:szCs w:val="21"/>
          <w:lang w:val="en-US" w:eastAsia="zh-CN"/>
        </w:rPr>
        <w:t xml:space="preserve">90 </w:t>
      </w:r>
      <w:r>
        <w:rPr>
          <w:rFonts w:ascii="宋体;汉仪书宋二KW" w:hAnsi="宋体;汉仪书宋二KW" w:cs="宋体;汉仪书宋二KW"/>
          <w:color w:val="000000"/>
          <w:szCs w:val="21"/>
          <w:lang w:val="en-US" w:eastAsia="zh-CN"/>
        </w:rPr>
        <w:t>万人。</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4</w:t>
      </w:r>
      <w:r>
        <w:rPr>
          <w:rFonts w:ascii="宋体;汉仪书宋二KW" w:hAnsi="宋体;汉仪书宋二KW" w:cs="宋体;汉仪书宋二KW"/>
          <w:szCs w:val="21"/>
        </w:rPr>
        <w:t>、项目所需的其他主要建设和运营条件评价。</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其他建设条件包括项目所在地水文、地质情况；生产生活用水、用电来源；项目用地现状，是否需征地拆迁和移民安置（如需要，应对相关情况进一步说明）。</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项目用地均为水务设施规划用地，水文地质条件适宜供水设施运营；生产生活用水、用电已接入现有市政管网，无需额外新建；无征地拆迁及移民安置需求，建设条件具备。</w:t>
      </w:r>
    </w:p>
    <w:p>
      <w:pPr>
        <w:pStyle w:val="Normal"/>
        <w:spacing w:lineRule="exact" w:line="480"/>
        <w:ind w:firstLine="480" w:right="0"/>
        <w:rPr>
          <w:b/>
          <w:bCs/>
          <w:sz w:val="24"/>
          <w:szCs w:val="24"/>
        </w:rPr>
      </w:pPr>
      <w:r>
        <w:rPr>
          <w:rFonts w:ascii="楷体;汉仪楷体KW" w:hAnsi="楷体;汉仪楷体KW" w:cs="楷体;汉仪楷体KW" w:eastAsia="楷体;汉仪楷体KW"/>
          <w:b/>
          <w:bCs/>
          <w:sz w:val="24"/>
          <w:szCs w:val="24"/>
        </w:rPr>
        <w:t>（五）主要工程承建单位，承建资格（资质），技术能力、管理能力及经济实力，承建相关项目的经验及业绩。</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（六）项目实施进度情况</w:t>
      </w:r>
    </w:p>
    <w:p>
      <w:pPr>
        <w:pStyle w:val="Normal"/>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1</w:t>
      </w:r>
      <w:r>
        <w:rPr>
          <w:rFonts w:ascii="宋体;汉仪书宋二KW" w:hAnsi="宋体;汉仪书宋二KW" w:cs="宋体;汉仪书宋二KW"/>
          <w:color w:val="000000"/>
          <w:szCs w:val="21"/>
        </w:rPr>
        <w:t>、项目建设工期</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2</w:t>
      </w:r>
      <w:r>
        <w:rPr>
          <w:rFonts w:ascii="宋体;汉仪书宋二KW" w:hAnsi="宋体;汉仪书宋二KW" w:cs="宋体;汉仪书宋二KW"/>
          <w:color w:val="000000"/>
          <w:szCs w:val="21"/>
        </w:rPr>
        <w:t>、项目建设计划的实施及执行情况</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项目为存量资产特许经营项目，无新建水厂工期，资产移交及过渡期为</w:t>
      </w:r>
      <w:r>
        <w:rPr>
          <w:rFonts w:eastAsia="宋体;汉仪书宋二KW" w:cs="宋体;汉仪书宋二KW" w:ascii="宋体;汉仪书宋二KW" w:hAnsi="宋体;汉仪书宋二KW"/>
          <w:color w:val="000000"/>
          <w:szCs w:val="21"/>
          <w:lang w:val="en-US" w:eastAsia="zh-CN"/>
        </w:rPr>
        <w:t>6</w:t>
      </w:r>
      <w:r>
        <w:rPr>
          <w:rFonts w:ascii="宋体;汉仪书宋二KW" w:hAnsi="宋体;汉仪书宋二KW" w:cs="宋体;汉仪书宋二KW"/>
          <w:color w:val="000000"/>
          <w:szCs w:val="21"/>
          <w:lang w:val="en-US" w:eastAsia="zh-CN"/>
        </w:rPr>
        <w:t>个月；管网改造等配套工程计划</w:t>
      </w:r>
      <w:r>
        <w:rPr>
          <w:rFonts w:eastAsia="宋体;汉仪书宋二KW" w:cs="宋体;汉仪书宋二KW" w:ascii="宋体;汉仪书宋二KW" w:hAnsi="宋体;汉仪书宋二KW"/>
          <w:color w:val="000000"/>
          <w:szCs w:val="21"/>
          <w:lang w:val="en-US" w:eastAsia="zh-CN"/>
        </w:rPr>
        <w:t>2026</w:t>
      </w:r>
      <w:r>
        <w:rPr>
          <w:rFonts w:ascii="宋体;汉仪书宋二KW" w:hAnsi="宋体;汉仪书宋二KW" w:cs="宋体;汉仪书宋二KW"/>
          <w:color w:val="000000"/>
          <w:szCs w:val="21"/>
          <w:lang w:val="en-US" w:eastAsia="zh-CN"/>
        </w:rPr>
        <w:t>年启动，</w:t>
      </w:r>
      <w:r>
        <w:rPr>
          <w:rFonts w:eastAsia="宋体;汉仪书宋二KW" w:cs="宋体;汉仪书宋二KW" w:ascii="宋体;汉仪书宋二KW" w:hAnsi="宋体;汉仪书宋二KW"/>
          <w:color w:val="000000"/>
          <w:szCs w:val="21"/>
          <w:lang w:val="en-US" w:eastAsia="zh-CN"/>
        </w:rPr>
        <w:t>2028</w:t>
      </w:r>
      <w:r>
        <w:rPr>
          <w:rFonts w:ascii="宋体;汉仪书宋二KW" w:hAnsi="宋体;汉仪书宋二KW" w:cs="宋体;汉仪书宋二KW"/>
          <w:color w:val="000000"/>
          <w:szCs w:val="21"/>
          <w:lang w:val="en-US" w:eastAsia="zh-CN"/>
        </w:rPr>
        <w:t>年前完成。</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r>
    </w:p>
    <w:p>
      <w:pPr>
        <w:pStyle w:val="Normal"/>
        <w:spacing w:lineRule="exact" w:line="480"/>
        <w:ind w:firstLine="480" w:right="0"/>
        <w:rPr>
          <w:rFonts w:ascii="黑体;汉仪中黑KW" w:hAnsi="黑体;汉仪中黑KW" w:eastAsia="黑体;汉仪中黑KW" w:cs="黑体;汉仪中黑KW"/>
          <w:b/>
          <w:bCs/>
          <w:sz w:val="24"/>
          <w:szCs w:val="24"/>
        </w:rPr>
      </w:pPr>
      <w:r>
        <w:rPr>
          <w:rFonts w:ascii="黑体;汉仪中黑KW" w:hAnsi="黑体;汉仪中黑KW" w:cs="黑体;汉仪中黑KW" w:eastAsia="黑体;汉仪中黑KW"/>
          <w:b/>
          <w:bCs/>
          <w:sz w:val="24"/>
          <w:szCs w:val="24"/>
        </w:rPr>
        <w:t>五、市场评价</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 xml:space="preserve">纳入特许经营范围内有 </w:t>
      </w:r>
      <w:r>
        <w:rPr>
          <w:rFonts w:eastAsia="宋体;汉仪书宋二KW" w:cs="宋体;汉仪书宋二KW" w:ascii="宋体;汉仪书宋二KW" w:hAnsi="宋体;汉仪书宋二KW"/>
          <w:color w:val="000000"/>
          <w:szCs w:val="21"/>
          <w:lang w:val="en-US" w:eastAsia="zh-CN"/>
        </w:rPr>
        <w:t xml:space="preserve">7 </w:t>
      </w:r>
      <w:r>
        <w:rPr>
          <w:rFonts w:ascii="宋体;汉仪书宋二KW" w:hAnsi="宋体;汉仪书宋二KW" w:cs="宋体;汉仪书宋二KW"/>
          <w:color w:val="000000"/>
          <w:szCs w:val="21"/>
          <w:lang w:val="en-US" w:eastAsia="zh-CN"/>
        </w:rPr>
        <w:t xml:space="preserve">座净水厂，总设计规模 </w:t>
      </w:r>
      <w:r>
        <w:rPr>
          <w:rFonts w:eastAsia="宋体;汉仪书宋二KW" w:cs="宋体;汉仪书宋二KW" w:ascii="宋体;汉仪书宋二KW" w:hAnsi="宋体;汉仪书宋二KW"/>
          <w:color w:val="000000"/>
          <w:szCs w:val="21"/>
          <w:lang w:val="en-US" w:eastAsia="zh-CN"/>
        </w:rPr>
        <w:t xml:space="preserve">86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日（含正在调试的辽西北净水厂 </w:t>
      </w:r>
      <w:r>
        <w:rPr>
          <w:rFonts w:eastAsia="宋体;汉仪书宋二KW" w:cs="宋体;汉仪书宋二KW" w:ascii="宋体;汉仪书宋二KW" w:hAnsi="宋体;汉仪书宋二KW"/>
          <w:color w:val="000000"/>
          <w:szCs w:val="21"/>
          <w:lang w:val="en-US" w:eastAsia="zh-CN"/>
        </w:rPr>
        <w:t xml:space="preserve">25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日）。 </w:t>
      </w:r>
      <w:r>
        <w:rPr>
          <w:rFonts w:eastAsia="宋体;汉仪书宋二KW" w:cs="宋体;汉仪书宋二KW" w:ascii="宋体;汉仪书宋二KW" w:hAnsi="宋体;汉仪书宋二KW"/>
          <w:color w:val="000000"/>
          <w:szCs w:val="21"/>
          <w:lang w:val="en-US" w:eastAsia="zh-CN"/>
        </w:rPr>
        <w:t xml:space="preserve">2024 </w:t>
      </w:r>
      <w:r>
        <w:rPr>
          <w:rFonts w:ascii="宋体;汉仪书宋二KW" w:hAnsi="宋体;汉仪书宋二KW" w:cs="宋体;汉仪书宋二KW"/>
          <w:color w:val="000000"/>
          <w:szCs w:val="21"/>
          <w:lang w:val="en-US" w:eastAsia="zh-CN"/>
        </w:rPr>
        <w:t xml:space="preserve">年，净水供水量为 </w:t>
      </w:r>
      <w:r>
        <w:rPr>
          <w:rFonts w:eastAsia="宋体;汉仪书宋二KW" w:cs="宋体;汉仪书宋二KW" w:ascii="宋体;汉仪书宋二KW" w:hAnsi="宋体;汉仪书宋二KW"/>
          <w:color w:val="000000"/>
          <w:szCs w:val="21"/>
          <w:lang w:val="en-US" w:eastAsia="zh-CN"/>
        </w:rPr>
        <w:t xml:space="preserve">32.74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日，原水供水量为 </w:t>
      </w:r>
      <w:r>
        <w:rPr>
          <w:rFonts w:eastAsia="宋体;汉仪书宋二KW" w:cs="宋体;汉仪书宋二KW" w:ascii="宋体;汉仪书宋二KW" w:hAnsi="宋体;汉仪书宋二KW"/>
          <w:color w:val="000000"/>
          <w:szCs w:val="21"/>
          <w:lang w:val="en-US" w:eastAsia="zh-CN"/>
        </w:rPr>
        <w:t xml:space="preserve">2.13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 xml:space="preserve">/ </w:t>
      </w:r>
      <w:r>
        <w:rPr>
          <w:rFonts w:ascii="宋体;汉仪书宋二KW" w:hAnsi="宋体;汉仪书宋二KW" w:cs="宋体;汉仪书宋二KW"/>
          <w:color w:val="000000"/>
          <w:szCs w:val="21"/>
          <w:lang w:val="en-US" w:eastAsia="zh-CN"/>
        </w:rPr>
        <w:t xml:space="preserve">日。各净水厂设计规模、处理工艺和 </w:t>
      </w:r>
      <w:r>
        <w:rPr>
          <w:rFonts w:eastAsia="宋体;汉仪书宋二KW" w:cs="宋体;汉仪书宋二KW" w:ascii="宋体;汉仪书宋二KW" w:hAnsi="宋体;汉仪书宋二KW"/>
          <w:color w:val="000000"/>
          <w:szCs w:val="21"/>
          <w:lang w:val="en-US" w:eastAsia="zh-CN"/>
        </w:rPr>
        <w:t xml:space="preserve">2024 </w:t>
      </w:r>
      <w:r>
        <w:rPr>
          <w:rFonts w:ascii="宋体;汉仪书宋二KW" w:hAnsi="宋体;汉仪书宋二KW" w:cs="宋体;汉仪书宋二KW"/>
          <w:color w:val="000000"/>
          <w:szCs w:val="21"/>
          <w:lang w:val="en-US" w:eastAsia="zh-CN"/>
        </w:rPr>
        <w:t>年供水量情况如下：</w:t>
      </w:r>
    </w:p>
    <w:p>
      <w:pPr>
        <w:pStyle w:val="Normal"/>
        <w:spacing w:lineRule="exact" w:line="480"/>
        <w:ind w:firstLine="420" w:right="0"/>
        <w:jc w:val="center"/>
        <w:rPr>
          <w:color w:val="000000"/>
          <w:szCs w:val="21"/>
        </w:rPr>
      </w:pPr>
      <w:r>
        <w:rPr>
          <w:color w:val="000000"/>
          <w:szCs w:val="21"/>
        </w:rPr>
        <w:t>项目净水厂统计表单位：万立方米</w:t>
      </w:r>
      <w:r>
        <w:rPr>
          <w:color w:val="000000"/>
          <w:szCs w:val="21"/>
        </w:rPr>
        <w:t>/</w:t>
      </w:r>
      <w:r>
        <w:rPr>
          <w:color w:val="000000"/>
          <w:szCs w:val="21"/>
        </w:rPr>
        <w:t>日</w:t>
      </w:r>
    </w:p>
    <w:tbl>
      <w:tblPr>
        <w:tblW w:w="9056" w:type="dxa"/>
        <w:jc w:val="center"/>
        <w:tblInd w:w="0" w:type="dxa"/>
        <w:tblLayout w:type="fixed"/>
        <w:tblCellMar>
          <w:top w:w="0" w:type="dxa"/>
          <w:left w:w="0" w:type="dxa"/>
          <w:bottom w:w="0" w:type="dxa"/>
          <w:right w:w="0" w:type="dxa"/>
        </w:tblCellMar>
      </w:tblPr>
      <w:tblGrid>
        <w:gridCol w:w="718"/>
        <w:gridCol w:w="1688"/>
        <w:gridCol w:w="766"/>
        <w:gridCol w:w="1130"/>
        <w:gridCol w:w="1143"/>
        <w:gridCol w:w="2562"/>
        <w:gridCol w:w="1049"/>
      </w:tblGrid>
      <w:tr>
        <w:trPr>
          <w:trHeight w:val="22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序号</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水厂名称</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设计规模</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日均供水量</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建厂时间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处理工艺</w:t>
            </w:r>
          </w:p>
        </w:tc>
        <w:tc>
          <w:tcPr>
            <w:tcW w:w="1049"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备注</w:t>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高升净水厂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6</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both"/>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1.78</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1997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生物除铁锰过滤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消毒</w:t>
            </w:r>
          </w:p>
        </w:tc>
        <w:tc>
          <w:tcPr>
            <w:tcW w:w="1049"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地下水</w:t>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2</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石山净水厂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5</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both"/>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1.54</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1989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消毒直供</w:t>
            </w:r>
          </w:p>
        </w:tc>
        <w:tc>
          <w:tcPr>
            <w:tcW w:w="1049"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地下水</w:t>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3</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兴东净水厂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10</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both"/>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7.10</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2016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混合反应</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沉淀</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过滤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消毒</w:t>
            </w:r>
          </w:p>
        </w:tc>
        <w:tc>
          <w:tcPr>
            <w:tcW w:w="1049" w:type="dxa"/>
            <w:vMerge w:val="restart"/>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p>
            <w:pPr>
              <w:pStyle w:val="Normal"/>
              <w:keepNext w:val="false"/>
              <w:keepLines w:val="false"/>
              <w:widowControl w:val="false"/>
              <w:kinsoku w:val="true"/>
              <w:overflowPunct w:val="true"/>
              <w:autoSpaceDE w:val="true"/>
              <w:bidi w:val="0"/>
              <w:snapToGrid w:val="false"/>
              <w:spacing w:lineRule="auto" w:line="240"/>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地表水</w:t>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4</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辽东湾净水厂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12</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both"/>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6.37</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2013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混合反应</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沉淀</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过滤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消毒</w:t>
            </w:r>
          </w:p>
        </w:tc>
        <w:tc>
          <w:tcPr>
            <w:tcW w:w="1049" w:type="dxa"/>
            <w:vMerge w:val="continue"/>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111"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5</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辽东湾西部净水厂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10</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both"/>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4.78</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2020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混合反应</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沉淀</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过滤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膜滤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消毒</w:t>
            </w:r>
          </w:p>
        </w:tc>
        <w:tc>
          <w:tcPr>
            <w:tcW w:w="1049" w:type="dxa"/>
            <w:vMerge w:val="continue"/>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6</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辽西北净水厂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25</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调试中</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2025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混合反应</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沉淀</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过滤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消毒</w:t>
            </w:r>
          </w:p>
        </w:tc>
        <w:tc>
          <w:tcPr>
            <w:tcW w:w="1049" w:type="dxa"/>
            <w:vMerge w:val="continue"/>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7</w:t>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市区净水厂</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18</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11.17</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 xml:space="preserve">2013 </w:t>
            </w:r>
            <w:r>
              <w:rPr>
                <w:rFonts w:ascii="宋体;汉仪书宋二KW" w:hAnsi="宋体;汉仪书宋二KW" w:cs="宋体;汉仪书宋二KW"/>
                <w:color w:val="000000"/>
                <w:sz w:val="21"/>
                <w:szCs w:val="21"/>
              </w:rPr>
              <w:t>年</w:t>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混合反应</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沉淀</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过滤</w:t>
            </w:r>
            <w:r>
              <w:rPr>
                <w:rFonts w:eastAsia="宋体;汉仪书宋二KW" w:cs="宋体;汉仪书宋二KW" w:ascii="宋体;汉仪书宋二KW" w:hAnsi="宋体;汉仪书宋二KW"/>
                <w:color w:val="000000"/>
                <w:sz w:val="21"/>
                <w:szCs w:val="21"/>
              </w:rPr>
              <w:t>+</w:t>
            </w:r>
            <w:r>
              <w:rPr>
                <w:rFonts w:ascii="宋体;汉仪书宋二KW" w:hAnsi="宋体;汉仪书宋二KW" w:cs="宋体;汉仪书宋二KW"/>
                <w:color w:val="000000"/>
                <w:sz w:val="21"/>
                <w:szCs w:val="21"/>
              </w:rPr>
              <w:t>消毒</w:t>
            </w:r>
          </w:p>
        </w:tc>
        <w:tc>
          <w:tcPr>
            <w:tcW w:w="1049" w:type="dxa"/>
            <w:vMerge w:val="continue"/>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90" w:hRule="atLeast"/>
        </w:trPr>
        <w:tc>
          <w:tcPr>
            <w:tcW w:w="71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168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 w:val="21"/>
                <w:szCs w:val="21"/>
              </w:rPr>
              <w:t>合计</w:t>
            </w:r>
          </w:p>
        </w:tc>
        <w:tc>
          <w:tcPr>
            <w:tcW w:w="766"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86</w:t>
            </w:r>
          </w:p>
        </w:tc>
        <w:tc>
          <w:tcPr>
            <w:tcW w:w="113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t>32.74</w:t>
            </w:r>
          </w:p>
        </w:tc>
        <w:tc>
          <w:tcPr>
            <w:tcW w:w="1143"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2562"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1049"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textAlignment w:val="auto"/>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bl>
    <w:p>
      <w:pPr>
        <w:pStyle w:val="Normal"/>
        <w:spacing w:lineRule="exact" w:line="480"/>
        <w:ind w:firstLine="420" w:right="0"/>
        <w:rPr>
          <w:color w:val="000000"/>
          <w:szCs w:val="21"/>
        </w:rPr>
      </w:pP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近年来售水量情况：</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临漳县供水服务覆盖全县约72万人口，供水面积约744平方公里。城区供水管网覆盖率约85%，农村集中供水覆盖率约60%，仍有较大提升空间。供水价格由临漳县政府定价，具有稳定收费保障。</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20" w:right="0"/>
        <w:jc w:val="center"/>
        <w:rPr>
          <w:color w:val="000000"/>
          <w:szCs w:val="21"/>
        </w:rPr>
      </w:pPr>
      <w:r>
        <w:rPr>
          <w:color w:val="000000"/>
          <w:szCs w:val="21"/>
        </w:rPr>
        <w:t>分区域近三年产销差率及售水量占比统计表单位：</w:t>
      </w:r>
      <w:r>
        <w:rPr>
          <w:color w:val="000000"/>
          <w:szCs w:val="21"/>
        </w:rPr>
        <w:t>%</w:t>
      </w:r>
    </w:p>
    <w:tbl>
      <w:tblPr>
        <w:tblW w:w="8710" w:type="dxa"/>
        <w:jc w:val="center"/>
        <w:tblInd w:w="0" w:type="dxa"/>
        <w:tblLayout w:type="fixed"/>
        <w:tblCellMar>
          <w:top w:w="0" w:type="dxa"/>
          <w:left w:w="0" w:type="dxa"/>
          <w:bottom w:w="0" w:type="dxa"/>
          <w:right w:w="0" w:type="dxa"/>
        </w:tblCellMar>
      </w:tblPr>
      <w:tblGrid>
        <w:gridCol w:w="707"/>
        <w:gridCol w:w="1428"/>
        <w:gridCol w:w="1064"/>
        <w:gridCol w:w="1147"/>
        <w:gridCol w:w="1014"/>
        <w:gridCol w:w="1115"/>
        <w:gridCol w:w="1115"/>
        <w:gridCol w:w="1120"/>
      </w:tblGrid>
      <w:tr>
        <w:trPr>
          <w:trHeight w:val="576" w:hRule="atLeast"/>
        </w:trPr>
        <w:tc>
          <w:tcPr>
            <w:tcW w:w="707" w:type="dxa"/>
            <w:vMerge w:val="restart"/>
            <w:tcBorders>
              <w:top w:val="single" w:sz="2" w:space="0" w:color="000000"/>
              <w:left w:val="single" w:sz="2" w:space="0" w:color="000000"/>
              <w:right w:val="single" w:sz="2" w:space="0" w:color="000000"/>
            </w:tcBorders>
            <w:textDirection w:val="tbRl"/>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序 号</w:t>
            </w:r>
          </w:p>
        </w:tc>
        <w:tc>
          <w:tcPr>
            <w:tcW w:w="1428" w:type="dxa"/>
            <w:vMerge w:val="restart"/>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区域</w:t>
            </w:r>
          </w:p>
        </w:tc>
        <w:tc>
          <w:tcPr>
            <w:tcW w:w="2211"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 xml:space="preserve">2022 </w:t>
            </w:r>
            <w:r>
              <w:rPr>
                <w:rFonts w:ascii="宋体;汉仪书宋二KW" w:hAnsi="宋体;汉仪书宋二KW" w:cs="宋体;汉仪书宋二KW"/>
                <w:color w:val="000000"/>
                <w:szCs w:val="21"/>
              </w:rPr>
              <w:t>年</w:t>
            </w:r>
          </w:p>
        </w:tc>
        <w:tc>
          <w:tcPr>
            <w:tcW w:w="2129"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 xml:space="preserve">2023 </w:t>
            </w:r>
            <w:r>
              <w:rPr>
                <w:rFonts w:ascii="宋体;汉仪书宋二KW" w:hAnsi="宋体;汉仪书宋二KW" w:cs="宋体;汉仪书宋二KW"/>
                <w:color w:val="000000"/>
                <w:szCs w:val="21"/>
              </w:rPr>
              <w:t>年</w:t>
            </w:r>
          </w:p>
        </w:tc>
        <w:tc>
          <w:tcPr>
            <w:tcW w:w="2235"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 xml:space="preserve">2024 </w:t>
            </w:r>
            <w:r>
              <w:rPr>
                <w:rFonts w:ascii="宋体;汉仪书宋二KW" w:hAnsi="宋体;汉仪书宋二KW" w:cs="宋体;汉仪书宋二KW"/>
                <w:color w:val="000000"/>
                <w:szCs w:val="21"/>
              </w:rPr>
              <w:t>年</w:t>
            </w:r>
          </w:p>
        </w:tc>
      </w:tr>
      <w:tr>
        <w:trPr>
          <w:trHeight w:val="90" w:hRule="atLeast"/>
        </w:trPr>
        <w:tc>
          <w:tcPr>
            <w:tcW w:w="707" w:type="dxa"/>
            <w:vMerge w:val="continue"/>
            <w:tcBorders>
              <w:top w:val="single" w:sz="2" w:space="0" w:color="000000"/>
              <w:left w:val="single" w:sz="2" w:space="0" w:color="000000"/>
              <w:right w:val="single" w:sz="2" w:space="0" w:color="000000"/>
            </w:tcBorders>
            <w:textDirection w:val="tbRl"/>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tc>
        <w:tc>
          <w:tcPr>
            <w:tcW w:w="1428" w:type="dxa"/>
            <w:vMerge w:val="continue"/>
            <w:tcBorders>
              <w:top w:val="single" w:sz="2" w:space="0" w:color="000000"/>
              <w:left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tc>
        <w:tc>
          <w:tcPr>
            <w:tcW w:w="106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产销差率</w:t>
            </w:r>
          </w:p>
        </w:tc>
        <w:tc>
          <w:tcPr>
            <w:tcW w:w="114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售水量占比</w:t>
            </w:r>
          </w:p>
        </w:tc>
        <w:tc>
          <w:tcPr>
            <w:tcW w:w="101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产销差率</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售水量占比</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产销差率</w:t>
            </w:r>
          </w:p>
        </w:tc>
        <w:tc>
          <w:tcPr>
            <w:tcW w:w="112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售水量占比</w:t>
            </w:r>
          </w:p>
        </w:tc>
      </w:tr>
      <w:tr>
        <w:trPr>
          <w:trHeight w:val="90" w:hRule="atLeast"/>
        </w:trPr>
        <w:tc>
          <w:tcPr>
            <w:tcW w:w="70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w:t>
            </w:r>
          </w:p>
        </w:tc>
        <w:tc>
          <w:tcPr>
            <w:tcW w:w="142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兴隆台区</w:t>
            </w:r>
          </w:p>
        </w:tc>
        <w:tc>
          <w:tcPr>
            <w:tcW w:w="106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22.76</w:t>
            </w:r>
          </w:p>
        </w:tc>
        <w:tc>
          <w:tcPr>
            <w:tcW w:w="114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36.92</w:t>
            </w:r>
          </w:p>
        </w:tc>
        <w:tc>
          <w:tcPr>
            <w:tcW w:w="101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22.46</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36.36</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23.11</w:t>
            </w:r>
          </w:p>
        </w:tc>
        <w:tc>
          <w:tcPr>
            <w:tcW w:w="112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37</w:t>
            </w:r>
          </w:p>
        </w:tc>
      </w:tr>
      <w:tr>
        <w:trPr>
          <w:trHeight w:val="90" w:hRule="atLeast"/>
        </w:trPr>
        <w:tc>
          <w:tcPr>
            <w:tcW w:w="70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2</w:t>
            </w:r>
          </w:p>
        </w:tc>
        <w:tc>
          <w:tcPr>
            <w:tcW w:w="142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双台子区</w:t>
            </w:r>
          </w:p>
        </w:tc>
        <w:tc>
          <w:tcPr>
            <w:tcW w:w="106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44.03</w:t>
            </w:r>
          </w:p>
        </w:tc>
        <w:tc>
          <w:tcPr>
            <w:tcW w:w="114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10.42</w:t>
            </w:r>
          </w:p>
        </w:tc>
        <w:tc>
          <w:tcPr>
            <w:tcW w:w="101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40.80</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9.91</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38.69</w:t>
            </w:r>
          </w:p>
        </w:tc>
        <w:tc>
          <w:tcPr>
            <w:tcW w:w="112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10.7</w:t>
            </w:r>
          </w:p>
        </w:tc>
      </w:tr>
      <w:tr>
        <w:trPr>
          <w:trHeight w:val="90" w:hRule="atLeast"/>
        </w:trPr>
        <w:tc>
          <w:tcPr>
            <w:tcW w:w="70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w:t>
            </w:r>
          </w:p>
        </w:tc>
        <w:tc>
          <w:tcPr>
            <w:tcW w:w="142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辽滨经开区</w:t>
            </w:r>
          </w:p>
        </w:tc>
        <w:tc>
          <w:tcPr>
            <w:tcW w:w="106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4.66</w:t>
            </w:r>
          </w:p>
        </w:tc>
        <w:tc>
          <w:tcPr>
            <w:tcW w:w="114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39.85</w:t>
            </w:r>
          </w:p>
        </w:tc>
        <w:tc>
          <w:tcPr>
            <w:tcW w:w="101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3.82</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41.41</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0.90</w:t>
            </w:r>
          </w:p>
        </w:tc>
        <w:tc>
          <w:tcPr>
            <w:tcW w:w="112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40</w:t>
            </w:r>
          </w:p>
        </w:tc>
      </w:tr>
      <w:tr>
        <w:trPr>
          <w:trHeight w:val="230" w:hRule="atLeast"/>
        </w:trPr>
        <w:tc>
          <w:tcPr>
            <w:tcW w:w="70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4</w:t>
            </w:r>
          </w:p>
        </w:tc>
        <w:tc>
          <w:tcPr>
            <w:tcW w:w="1428"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田家街道盘山县（ 总表）</w:t>
            </w:r>
          </w:p>
        </w:tc>
        <w:tc>
          <w:tcPr>
            <w:tcW w:w="106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-0.32</w:t>
            </w:r>
          </w:p>
        </w:tc>
        <w:tc>
          <w:tcPr>
            <w:tcW w:w="1147"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12.80</w:t>
            </w:r>
          </w:p>
        </w:tc>
        <w:tc>
          <w:tcPr>
            <w:tcW w:w="1014"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0.36</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12.32</w:t>
            </w:r>
          </w:p>
        </w:tc>
        <w:tc>
          <w:tcPr>
            <w:tcW w:w="1115"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1.90</w:t>
            </w:r>
          </w:p>
        </w:tc>
        <w:tc>
          <w:tcPr>
            <w:tcW w:w="1120" w:type="dxa"/>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r>
          </w:p>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12.3</w:t>
            </w:r>
          </w:p>
        </w:tc>
      </w:tr>
      <w:tr>
        <w:trPr>
          <w:trHeight w:val="90" w:hRule="atLeast"/>
        </w:trPr>
        <w:tc>
          <w:tcPr>
            <w:tcW w:w="2135"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ascii="宋体;汉仪书宋二KW" w:hAnsi="宋体;汉仪书宋二KW" w:cs="宋体;汉仪书宋二KW"/>
                <w:color w:val="000000"/>
                <w:szCs w:val="21"/>
              </w:rPr>
              <w:t>小计</w:t>
            </w:r>
          </w:p>
        </w:tc>
        <w:tc>
          <w:tcPr>
            <w:tcW w:w="2211"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17.35</w:t>
            </w:r>
          </w:p>
        </w:tc>
        <w:tc>
          <w:tcPr>
            <w:tcW w:w="2129"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16</w:t>
            </w:r>
          </w:p>
        </w:tc>
        <w:tc>
          <w:tcPr>
            <w:tcW w:w="2235" w:type="dxa"/>
            <w:gridSpan w:val="2"/>
            <w:tcBorders>
              <w:top w:val="single" w:sz="2" w:space="0" w:color="000000"/>
              <w:left w:val="single" w:sz="2" w:space="0" w:color="000000"/>
              <w:bottom w:val="single" w:sz="2" w:space="0" w:color="000000"/>
              <w:right w:val="single" w:sz="2" w:space="0" w:color="000000"/>
            </w:tcBorders>
          </w:tcPr>
          <w:p>
            <w:pPr>
              <w:pStyle w:val="Normal"/>
              <w:keepNext w:val="false"/>
              <w:keepLines w:val="false"/>
              <w:widowControl w:val="false"/>
              <w:kinsoku w:val="true"/>
              <w:overflowPunct w:val="true"/>
              <w:autoSpaceDE w:val="true"/>
              <w:bidi w:val="0"/>
              <w:snapToGrid w:val="false"/>
              <w:spacing w:lineRule="auto" w:line="240"/>
              <w:ind w:firstLine="420" w:right="0"/>
              <w:jc w:val="center"/>
              <w:textAlignment w:val="auto"/>
              <w:rPr>
                <w:rFonts w:ascii="宋体;汉仪书宋二KW" w:hAnsi="宋体;汉仪书宋二KW" w:eastAsia="宋体;汉仪书宋二KW" w:cs="宋体;汉仪书宋二KW"/>
                <w:color w:val="000000"/>
                <w:szCs w:val="21"/>
              </w:rPr>
            </w:pPr>
            <w:r>
              <w:rPr>
                <w:rFonts w:eastAsia="宋体;汉仪书宋二KW" w:cs="宋体;汉仪书宋二KW" w:ascii="宋体;汉仪书宋二KW" w:hAnsi="宋体;汉仪书宋二KW"/>
                <w:color w:val="000000"/>
                <w:szCs w:val="21"/>
              </w:rPr>
              <w:t>15.59</w:t>
            </w:r>
          </w:p>
        </w:tc>
      </w:tr>
    </w:tbl>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20" w:right="0"/>
        <w:rPr>
          <w:szCs w:val="21"/>
        </w:rPr>
      </w:pPr>
      <w:r>
        <w:rPr>
          <w:szCs w:val="21"/>
        </w:rPr>
        <w:t>说明行业供需现状及未来供需状况预测，对于处于充分竞争市场的项目，应重点说明其与同行业比有何独特竞争优势（成本、技术、渠道等）。</w:t>
      </w:r>
    </w:p>
    <w:p>
      <w:pPr>
        <w:pStyle w:val="Normal"/>
        <w:spacing w:lineRule="exact" w:line="480"/>
        <w:ind w:firstLine="420" w:right="0"/>
        <w:rPr>
          <w:szCs w:val="21"/>
        </w:rPr>
      </w:pPr>
      <w:r>
        <w:rPr>
          <w:szCs w:val="21"/>
        </w:rPr>
        <w:t>对于具有一定行政垄断性的基础设施类项目，应重点对未来需求进行预测。</w:t>
      </w:r>
    </w:p>
    <w:p>
      <w:pPr>
        <w:pStyle w:val="Normal"/>
        <w:spacing w:lineRule="exact" w:line="480"/>
        <w:ind w:firstLine="420" w:right="0"/>
        <w:rPr>
          <w:rFonts w:ascii="宋体;汉仪书宋二KW" w:hAnsi="宋体;汉仪书宋二KW" w:eastAsia="宋体;汉仪书宋二KW" w:cs="宋体;汉仪书宋二KW"/>
          <w:szCs w:val="21"/>
        </w:rPr>
      </w:pPr>
      <w:r>
        <w:rPr>
          <w:rFonts w:ascii="宋体;汉仪书宋二KW" w:hAnsi="宋体;汉仪书宋二KW" w:cs="宋体;汉仪书宋二KW"/>
          <w:szCs w:val="21"/>
        </w:rPr>
        <w:t>对于市场预测难度较大的，必要时可请行业专家出具专题意见。</w:t>
      </w:r>
    </w:p>
    <w:p>
      <w:pPr>
        <w:pStyle w:val="Normal"/>
        <w:spacing w:lineRule="exact" w:line="480"/>
        <w:ind w:firstLine="420" w:right="0"/>
        <w:rPr>
          <w:rFonts w:ascii="宋体;汉仪书宋二KW" w:hAnsi="宋体;汉仪书宋二KW" w:eastAsia="宋体;汉仪书宋二KW" w:cs="宋体;汉仪书宋二KW"/>
          <w:szCs w:val="21"/>
        </w:rPr>
      </w:pPr>
      <w:r>
        <w:rPr>
          <w:rFonts w:ascii="宋体;汉仪书宋二KW" w:hAnsi="宋体;汉仪书宋二KW" w:cs="宋体;汉仪书宋二KW"/>
          <w:szCs w:val="21"/>
        </w:rPr>
        <w:t>对于项目融资，项目是否可以签订长期供销合同、使用金融衍生工具或者发起人提供资金缺口担保等方式，有效分散经营期风险。</w:t>
      </w:r>
    </w:p>
    <w:p>
      <w:pPr>
        <w:pStyle w:val="Normal"/>
        <w:spacing w:lineRule="exact" w:line="480"/>
        <w:ind w:firstLine="420" w:right="0"/>
        <w:rPr>
          <w:i/>
          <w:i/>
          <w:iCs/>
          <w:szCs w:val="21"/>
        </w:rPr>
      </w:pPr>
      <w:r>
        <w:rPr>
          <w:i/>
          <w:iCs/>
          <w:szCs w:val="21"/>
        </w:rPr>
        <w:t>本部分仅以制造业项目贷款调查要求为示例，具体行业调查模板结合行业特点另行要求调查内容。</w:t>
      </w:r>
    </w:p>
    <w:p>
      <w:pPr>
        <w:pStyle w:val="Normal"/>
        <w:spacing w:lineRule="exact" w:line="480"/>
        <w:ind w:firstLine="480" w:right="0"/>
        <w:rPr>
          <w:b/>
          <w:bCs/>
          <w:sz w:val="24"/>
          <w:szCs w:val="24"/>
        </w:rPr>
      </w:pPr>
      <w:r>
        <w:rPr>
          <w:rFonts w:ascii="楷体;汉仪楷体KW" w:hAnsi="楷体;汉仪楷体KW" w:cs="楷体;汉仪楷体KW" w:eastAsia="楷体;汉仪楷体KW"/>
          <w:b/>
          <w:bCs/>
          <w:sz w:val="24"/>
          <w:szCs w:val="24"/>
        </w:rPr>
        <w:t>（一）产品</w:t>
      </w:r>
      <w:r>
        <w:rPr>
          <w:rFonts w:ascii="楷体;汉仪楷体KW" w:hAnsi="楷体;汉仪楷体KW" w:cs="楷体;汉仪楷体KW" w:eastAsia="楷体;汉仪楷体KW"/>
          <w:b/>
          <w:sz w:val="24"/>
          <w:szCs w:val="24"/>
        </w:rPr>
        <w:t>（服务）</w:t>
      </w:r>
      <w:r>
        <w:rPr>
          <w:rFonts w:ascii="楷体;汉仪楷体KW" w:hAnsi="楷体;汉仪楷体KW" w:cs="楷体;汉仪楷体KW" w:eastAsia="楷体;汉仪楷体KW"/>
          <w:b/>
          <w:bCs/>
          <w:sz w:val="24"/>
          <w:szCs w:val="24"/>
        </w:rPr>
        <w:t>情况</w:t>
      </w:r>
    </w:p>
    <w:p>
      <w:pPr>
        <w:pStyle w:val="Normal"/>
        <w:spacing w:lineRule="exact" w:line="480"/>
        <w:ind w:firstLine="420" w:right="0"/>
        <w:rPr>
          <w:szCs w:val="21"/>
        </w:rPr>
      </w:pPr>
      <w:r>
        <w:rPr>
          <w:szCs w:val="21"/>
        </w:rPr>
        <w:t>对于工业类项目，说明建设项目主要产品及副产品，并说明主要产品的性能、特点、用途以及主要下游客户。</w:t>
      </w:r>
    </w:p>
    <w:p>
      <w:pPr>
        <w:pStyle w:val="Normal"/>
        <w:spacing w:lineRule="exact" w:line="480"/>
        <w:ind w:firstLine="420" w:right="0"/>
        <w:rPr>
          <w:szCs w:val="21"/>
        </w:rPr>
      </w:pPr>
      <w:r>
        <w:rPr>
          <w:szCs w:val="21"/>
        </w:rPr>
        <w:t>对于基础设施类项目和学校、医院等公益性项目，该部分可不予说明。</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（二）产品</w:t>
      </w:r>
      <w:r>
        <w:rPr>
          <w:rFonts w:ascii="楷体;汉仪楷体KW" w:hAnsi="楷体;汉仪楷体KW" w:cs="楷体;汉仪楷体KW" w:eastAsia="楷体;汉仪楷体KW"/>
          <w:b/>
          <w:sz w:val="24"/>
          <w:szCs w:val="24"/>
        </w:rPr>
        <w:t>（服务）</w:t>
      </w:r>
      <w:r>
        <w:rPr>
          <w:rFonts w:ascii="楷体;汉仪楷体KW" w:hAnsi="楷体;汉仪楷体KW" w:cs="楷体;汉仪楷体KW" w:eastAsia="楷体;汉仪楷体KW"/>
          <w:b/>
          <w:bCs/>
          <w:sz w:val="24"/>
          <w:szCs w:val="24"/>
        </w:rPr>
        <w:t>供需分析</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、当前行业整体运行状况及供需情况。</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行业目前全球总产能、总消费量及地区消费结构，近年来消费增长情况及主要增长区域（如项目产品主要国内自产自销，与进出口关联度很小，则对全球状况可不作详细说明）。</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国内近年来该行业逐年产能、产量、消费量及增长速度，进、出口数据。</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国内产能、消费的主要分布区域（包括出口主要国家及地区）。</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对于存在明显销售半径的产品（服务），还应对产品（服务）销售区域市场加以分析；对于基础设施类项目，重点说明其所服务区域的供需状况以及其他可替代基础设施情况。</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行业整体运行状况及供需情况：城市供水行业为民生基础性行业，需求稳定且刚性。临漳县总人口约72万人，随着城镇化推进和乡村振兴战略实施，供水需求稳步增长。目前城区供水管网覆盖率约85%，农村集中供水覆盖率约60%，城乡供水一体化将显著提升供水覆盖范围和供水量。</w:t>
      </w:r>
    </w:p>
    <w:p>
      <w:pPr>
        <w:pStyle w:val="Normal"/>
        <w:numPr>
          <w:ilvl w:val="0"/>
          <w:numId w:val="5"/>
        </w:numPr>
        <w:tabs>
          <w:tab w:val="clear" w:pos="420"/>
          <w:tab w:val="left" w:pos="312" w:leader="none"/>
        </w:tabs>
        <w:spacing w:lineRule="auto" w:line="288" w:before="120" w:after="120"/>
        <w:ind w:firstLine="420" w:left="0" w:right="0"/>
        <w:jc w:val="left"/>
        <w:rPr>
          <w:rFonts w:ascii="宋体;汉仪书宋二KW" w:hAnsi="宋体;汉仪书宋二KW" w:cs="宋体;汉仪书宋二KW"/>
          <w:szCs w:val="21"/>
        </w:rPr>
      </w:pPr>
      <w:r>
        <w:rPr>
          <w:rFonts w:ascii="宋体;汉仪书宋二KW" w:hAnsi="宋体;汉仪书宋二KW" w:cs="宋体;汉仪书宋二KW"/>
          <w:szCs w:val="21"/>
        </w:rPr>
        <w:t>未来供需预测。</w:t>
      </w:r>
    </w:p>
    <w:p>
      <w:pPr>
        <w:pStyle w:val="Normal"/>
        <w:numPr>
          <w:ilvl w:val="0"/>
          <w:numId w:val="0"/>
        </w:numPr>
        <w:spacing w:lineRule="auto" w:line="288" w:before="120" w:after="120"/>
        <w:ind w:firstLine="420" w:left="0" w:right="0"/>
        <w:jc w:val="left"/>
        <w:rPr>
          <w:rFonts w:ascii="宋体;汉仪书宋二KW" w:hAnsi="宋体;汉仪书宋二KW" w:cs="宋体;汉仪书宋二KW"/>
          <w:szCs w:val="21"/>
        </w:rPr>
      </w:pPr>
      <w:r>
        <w:rPr>
          <w:rFonts w:ascii="宋体;汉仪书宋二KW" w:hAnsi="宋体;汉仪书宋二KW" w:cs="宋体;汉仪书宋二KW"/>
          <w:szCs w:val="21"/>
        </w:rPr>
        <w:t>产品（服务）下游行业近年来的主要行业数据、未来发展趋势及对项目产品（服务）需求的增长评价。</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临漳县作为河北省重要的城镇化发展区域，近年来经济稳步发展，城镇化率持续提升。随着高标准农田建设、乡村振兴项目落地，供水需求将进一步提升。临漳县地下水超采区治理政策要求关停自备井，将为项目新增稳定供水需求。</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 xml:space="preserve">根据中国国际工程咨询有限公司出具的《关于华锦集团—沙特阿美精细化工及原料工程项 目用水情况的咨询意见》，项目新鲜水正常用量为 </w:t>
      </w:r>
      <w:r>
        <w:rPr>
          <w:rFonts w:eastAsia="宋体;汉仪书宋二KW" w:cs="宋体;汉仪书宋二KW" w:ascii="宋体;汉仪书宋二KW" w:hAnsi="宋体;汉仪书宋二KW"/>
          <w:color w:val="000000"/>
          <w:szCs w:val="21"/>
          <w:lang w:val="en-US" w:eastAsia="zh-CN"/>
        </w:rPr>
        <w:t>7515</w:t>
      </w:r>
      <w:r>
        <w:rPr>
          <w:rFonts w:ascii="宋体;汉仪书宋二KW" w:hAnsi="宋体;汉仪书宋二KW" w:cs="宋体;汉仪书宋二KW"/>
          <w:color w:val="000000"/>
          <w:szCs w:val="21"/>
          <w:lang w:val="en-US" w:eastAsia="zh-CN"/>
        </w:rPr>
        <w:t>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小时（ </w:t>
      </w:r>
      <w:r>
        <w:rPr>
          <w:rFonts w:eastAsia="宋体;汉仪书宋二KW" w:cs="宋体;汉仪书宋二KW" w:ascii="宋体;汉仪书宋二KW" w:hAnsi="宋体;汉仪书宋二KW"/>
          <w:color w:val="000000"/>
          <w:szCs w:val="21"/>
          <w:lang w:val="en-US" w:eastAsia="zh-CN"/>
        </w:rPr>
        <w:t xml:space="preserve">18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日），最大量为 </w:t>
      </w:r>
      <w:r>
        <w:rPr>
          <w:rFonts w:eastAsia="宋体;汉仪书宋二KW" w:cs="宋体;汉仪书宋二KW" w:ascii="宋体;汉仪书宋二KW" w:hAnsi="宋体;汉仪书宋二KW"/>
          <w:color w:val="000000"/>
          <w:szCs w:val="21"/>
          <w:lang w:val="en-US" w:eastAsia="zh-CN"/>
        </w:rPr>
        <w:t xml:space="preserve">8515 </w:t>
      </w:r>
      <w:r>
        <w:rPr>
          <w:rFonts w:ascii="宋体;汉仪书宋二KW" w:hAnsi="宋体;汉仪书宋二KW" w:cs="宋体;汉仪书宋二KW"/>
          <w:color w:val="000000"/>
          <w:szCs w:val="21"/>
          <w:lang w:val="en-US" w:eastAsia="zh-CN"/>
        </w:rPr>
        <w:t>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小时（ </w:t>
      </w:r>
      <w:r>
        <w:rPr>
          <w:rFonts w:eastAsia="宋体;汉仪书宋二KW" w:cs="宋体;汉仪书宋二KW" w:ascii="宋体;汉仪书宋二KW" w:hAnsi="宋体;汉仪书宋二KW"/>
          <w:color w:val="000000"/>
          <w:szCs w:val="21"/>
          <w:lang w:val="en-US" w:eastAsia="zh-CN"/>
        </w:rPr>
        <w:t xml:space="preserve">20.4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 xml:space="preserve">日），年开工 </w:t>
      </w:r>
      <w:r>
        <w:rPr>
          <w:rFonts w:eastAsia="宋体;汉仪书宋二KW" w:cs="宋体;汉仪书宋二KW" w:ascii="宋体;汉仪书宋二KW" w:hAnsi="宋体;汉仪书宋二KW"/>
          <w:color w:val="000000"/>
          <w:szCs w:val="21"/>
          <w:lang w:val="en-US" w:eastAsia="zh-CN"/>
        </w:rPr>
        <w:t xml:space="preserve">8000 </w:t>
      </w:r>
      <w:r>
        <w:rPr>
          <w:rFonts w:ascii="宋体;汉仪书宋二KW" w:hAnsi="宋体;汉仪书宋二KW" w:cs="宋体;汉仪书宋二KW"/>
          <w:color w:val="000000"/>
          <w:szCs w:val="21"/>
          <w:lang w:val="en-US" w:eastAsia="zh-CN"/>
        </w:rPr>
        <w:t xml:space="preserve">小时。项目建成投产后辽滨经开区需水量将增长至 </w:t>
      </w:r>
      <w:r>
        <w:rPr>
          <w:rFonts w:eastAsia="宋体;汉仪书宋二KW" w:cs="宋体;汉仪书宋二KW" w:ascii="宋体;汉仪书宋二KW" w:hAnsi="宋体;汉仪书宋二KW"/>
          <w:color w:val="000000"/>
          <w:szCs w:val="21"/>
          <w:lang w:val="en-US" w:eastAsia="zh-CN"/>
        </w:rPr>
        <w:t xml:space="preserve">30 </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日。</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临漳县积极推进地下水超采区治理，逐步关停自备井，将释放公共供水需求。南水北调中线工程为临漳县提供稳定水源保障，是项目重要的水源支撑。根据南水北调终端水价调整方案（临政字[2017]第31号），供水成本已有明确的定价机制。</w:t>
      </w:r>
    </w:p>
    <w:p>
      <w:pPr>
        <w:pStyle w:val="Normal"/>
        <w:spacing w:lineRule="exact" w:line="480"/>
        <w:ind w:firstLine="420" w:right="0"/>
        <w:rPr>
          <w:rFonts w:ascii="宋体;汉仪书宋二KW" w:hAnsi="宋体;汉仪书宋二KW" w:cs="宋体;汉仪书宋二KW"/>
          <w:color w:val="000000"/>
          <w:szCs w:val="21"/>
        </w:rPr>
      </w:pPr>
      <w:r>
        <w:rPr>
          <w:rFonts w:cs="宋体;汉仪书宋二KW" w:ascii="宋体;汉仪书宋二KW" w:hAnsi="宋体;汉仪书宋二KW"/>
          <w:color w:val="000000"/>
          <w:szCs w:val="21"/>
        </w:rPr>
        <w:t>3</w:t>
      </w:r>
      <w:r>
        <w:rPr>
          <w:rFonts w:ascii="宋体;汉仪书宋二KW" w:hAnsi="宋体;汉仪书宋二KW" w:cs="宋体;汉仪书宋二KW"/>
          <w:color w:val="000000"/>
          <w:szCs w:val="21"/>
        </w:rPr>
        <w:t>、行业在国民经济中所处的地位，国家对行业的政策导向和监管环境，分析国家产业政策及监管环境变动对项目的影响。</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临漳县供水价格由政府定价，现行水价标准包括：城区居民阶梯水价制度（临政办字[2016]第14号）、南水北调终端水价调整方案（临政字[2017]第31号）、农村居民生活用水价格批复（临政规[2018]4号）。供水价格具有明确的政策依据，且存在调整空间，政策支持为项目收益提供保障。</w:t>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（三）项目产品（服务）竞争力分析</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、项目产品（服务）的性能、质量、成本、价格、销售渠道等方面存在的优势或劣势。</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列举国内同类主要竞争企业的可比数据或行业平均数据。</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numPr>
          <w:ilvl w:val="0"/>
          <w:numId w:val="0"/>
        </w:numPr>
        <w:spacing w:lineRule="auto" w:line="288" w:before="120" w:after="120"/>
        <w:ind w:firstLine="210" w:left="210" w:right="0"/>
        <w:jc w:val="left"/>
        <w:rPr>
          <w:rFonts w:ascii="宋体;汉仪书宋二KW" w:hAnsi="宋体;汉仪书宋二KW" w:cs="宋体;汉仪书宋二KW"/>
          <w:szCs w:val="21"/>
        </w:rPr>
      </w:pPr>
      <w:r>
        <w:rPr>
          <w:rFonts w:cs="宋体;汉仪书宋二KW" w:ascii="宋体;汉仪书宋二KW" w:hAnsi="宋体;汉仪书宋二KW"/>
          <w:szCs w:val="21"/>
          <w:lang w:val="en-US" w:eastAsia="zh-CN"/>
        </w:rPr>
        <w:t>2</w:t>
      </w:r>
      <w:r>
        <w:rPr>
          <w:rFonts w:ascii="宋体;汉仪书宋二KW" w:hAnsi="宋体;汉仪书宋二KW" w:cs="宋体;汉仪书宋二KW"/>
          <w:szCs w:val="21"/>
          <w:lang w:val="en-US" w:eastAsia="zh-CN"/>
        </w:rPr>
        <w:t>、</w:t>
      </w:r>
      <w:r>
        <w:rPr>
          <w:rFonts w:ascii="宋体;汉仪书宋二KW" w:hAnsi="宋体;汉仪书宋二KW" w:cs="宋体;汉仪书宋二KW"/>
          <w:szCs w:val="21"/>
        </w:rPr>
        <w:t>借款人的竞争力分析，在上下游之间的地位及相互依存度。</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3</w:t>
      </w:r>
      <w:r>
        <w:rPr>
          <w:rFonts w:ascii="宋体;汉仪书宋二KW" w:hAnsi="宋体;汉仪书宋二KW" w:cs="宋体;汉仪书宋二KW"/>
          <w:szCs w:val="21"/>
        </w:rPr>
        <w:t>、替代产品（服务）对产品市场的影响</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城市供水为刚性民生服务，无直接替代产品，项目在区域内无同类竞争项目，具备稳定的市场地位。</w:t>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（四）市场状况综合评价。</w:t>
      </w:r>
    </w:p>
    <w:p>
      <w:pPr>
        <w:pStyle w:val="Normal"/>
        <w:spacing w:lineRule="exact" w:line="480"/>
        <w:ind w:firstLine="420" w:right="0"/>
        <w:rPr>
          <w:szCs w:val="21"/>
        </w:rPr>
      </w:pPr>
      <w:r>
        <w:rPr>
          <w:szCs w:val="21"/>
        </w:rPr>
        <w:t>说明产品（服务）总体市场供需情况及未来趋势，项目产品在市场中的竞争力所在，主要的市场风险因素。</w:t>
      </w:r>
    </w:p>
    <w:p>
      <w:pPr>
        <w:pStyle w:val="Normal"/>
        <w:spacing w:lineRule="exact" w:line="480"/>
        <w:ind w:firstLine="420" w:right="0"/>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szCs w:val="21"/>
          <w:lang w:val="en-US" w:eastAsia="zh-CN"/>
        </w:rPr>
        <w:t>项目产品（服务）需求刚性且持续增长，华锦阿美项目落地及自备井关停为项目带来明确增量需求；项目具备区域垄断性优势，技术及管理优化将进一步提升竞争力；主要市场风险为水价调整不及预期，已通过政府承诺及协议约定建立保障机制，市场整体风险可控。</w:t>
      </w:r>
    </w:p>
    <w:p>
      <w:pPr>
        <w:pStyle w:val="Normal"/>
        <w:spacing w:lineRule="exact" w:line="480"/>
        <w:ind w:firstLine="420" w:right="0"/>
        <w:rPr>
          <w:rFonts w:ascii="黑体;汉仪中黑KW" w:hAnsi="黑体;汉仪中黑KW" w:eastAsia="黑体;汉仪中黑KW" w:cs="黑体;汉仪中黑KW"/>
          <w:b/>
          <w:bCs/>
          <w:szCs w:val="21"/>
        </w:rPr>
      </w:pPr>
      <w:r>
        <w:rPr>
          <w:rFonts w:ascii="黑体;汉仪中黑KW" w:hAnsi="黑体;汉仪中黑KW" w:cs="黑体;汉仪中黑KW" w:eastAsia="黑体;汉仪中黑KW"/>
          <w:b/>
          <w:bCs/>
          <w:szCs w:val="21"/>
        </w:rPr>
        <w:t>六、投资估算和筹资评估</w:t>
      </w:r>
    </w:p>
    <w:p>
      <w:pPr>
        <w:pStyle w:val="Normal"/>
        <w:spacing w:lineRule="exact" w:line="480"/>
        <w:ind w:firstLine="420" w:right="0"/>
        <w:rPr>
          <w:szCs w:val="21"/>
        </w:rPr>
      </w:pPr>
      <w:r>
        <w:rPr>
          <w:szCs w:val="21"/>
        </w:rPr>
        <w:t>重点对项目总投资金额的合理性及资金筹措方案进行说明。</w:t>
      </w:r>
    </w:p>
    <w:p>
      <w:pPr>
        <w:pStyle w:val="Normal"/>
        <w:spacing w:lineRule="exact" w:line="480"/>
        <w:ind w:firstLine="480" w:right="0"/>
        <w:rPr>
          <w:rFonts w:ascii="楷体;汉仪楷体KW" w:hAnsi="楷体;汉仪楷体KW" w:eastAsia="楷体;汉仪楷体KW" w:cs="楷体;汉仪楷体KW"/>
          <w:b/>
          <w:bCs/>
          <w:sz w:val="24"/>
          <w:szCs w:val="24"/>
        </w:rPr>
      </w:pPr>
      <w:r>
        <w:rPr>
          <w:rFonts w:ascii="楷体;汉仪楷体KW" w:hAnsi="楷体;汉仪楷体KW" w:cs="楷体;汉仪楷体KW" w:eastAsia="楷体;汉仪楷体KW"/>
          <w:b/>
          <w:bCs/>
          <w:sz w:val="24"/>
          <w:szCs w:val="24"/>
        </w:rPr>
        <w:t>（一）项目总投资。</w:t>
      </w:r>
    </w:p>
    <w:p>
      <w:pPr>
        <w:pStyle w:val="Normal"/>
        <w:spacing w:lineRule="exact" w:line="480"/>
        <w:ind w:firstLine="420" w:right="0"/>
        <w:rPr>
          <w:szCs w:val="21"/>
        </w:rPr>
      </w:pPr>
      <w:r>
        <w:rPr>
          <w:szCs w:val="21"/>
        </w:rPr>
        <w:t>按下表填列项目总投资，未能按以下表格形式列示的，需说明原因：</w:t>
      </w:r>
    </w:p>
    <w:p>
      <w:pPr>
        <w:pStyle w:val="Normal"/>
        <w:spacing w:lineRule="exact" w:line="480"/>
        <w:ind w:firstLine="420" w:right="0"/>
        <w:rPr>
          <w:szCs w:val="21"/>
        </w:rPr>
      </w:pPr>
      <w:r>
        <w:rPr>
          <w:szCs w:val="21"/>
        </w:rPr>
        <w:t>按下表填列项目总投资，未能按以下表格形式列示的，需说明原因：</w:t>
      </w:r>
    </w:p>
    <w:tbl>
      <w:tblPr>
        <w:tblW w:w="9639" w:type="dxa"/>
        <w:jc w:val="center"/>
        <w:tblInd w:w="0" w:type="dxa"/>
        <w:tblLayout w:type="fixed"/>
        <w:tblCellMar>
          <w:top w:w="15" w:type="dxa"/>
          <w:left w:w="15" w:type="dxa"/>
          <w:bottom w:w="15" w:type="dxa"/>
          <w:right w:w="15" w:type="dxa"/>
        </w:tblCellMar>
      </w:tblPr>
      <w:tblGrid>
        <w:gridCol w:w="810"/>
        <w:gridCol w:w="1528"/>
        <w:gridCol w:w="810"/>
        <w:gridCol w:w="811"/>
        <w:gridCol w:w="811"/>
        <w:gridCol w:w="812"/>
        <w:gridCol w:w="811"/>
        <w:gridCol w:w="811"/>
        <w:gridCol w:w="812"/>
        <w:gridCol w:w="811"/>
        <w:gridCol w:w="812"/>
      </w:tblGrid>
      <w:tr>
        <w:trPr>
          <w:trHeight w:val="391" w:hRule="atLeast"/>
        </w:trPr>
        <w:tc>
          <w:tcPr>
            <w:tcW w:w="81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编号</w:t>
            </w:r>
          </w:p>
        </w:tc>
        <w:tc>
          <w:tcPr>
            <w:tcW w:w="152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工程和费用名称</w:t>
            </w:r>
          </w:p>
        </w:tc>
        <w:tc>
          <w:tcPr>
            <w:tcW w:w="4055" w:type="dxa"/>
            <w:gridSpan w:val="5"/>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估算价值</w:t>
            </w:r>
          </w:p>
        </w:tc>
        <w:tc>
          <w:tcPr>
            <w:tcW w:w="3246" w:type="dxa"/>
            <w:gridSpan w:val="4"/>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技术经济指标</w:t>
            </w:r>
          </w:p>
        </w:tc>
      </w:tr>
      <w:tr>
        <w:trPr>
          <w:trHeight w:val="391" w:hRule="atLeast"/>
        </w:trPr>
        <w:tc>
          <w:tcPr>
            <w:tcW w:w="81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152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建设工程</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安装工程</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设备购置</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其他费用</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合计</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单位</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数量</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单位价格</w:t>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占总投资比例</w:t>
            </w:r>
          </w:p>
        </w:tc>
      </w:tr>
      <w:tr>
        <w:trPr>
          <w:trHeight w:val="269"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工程费用</w:t>
            </w:r>
          </w:p>
        </w:tc>
        <w:tc>
          <w:tcPr>
            <w:tcW w:w="8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252029.65</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17149.42</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86828.77</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356007.84</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净水厂</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8</w:t>
            </w:r>
            <w:r>
              <w:rPr>
                <w:rFonts w:ascii="宋体;汉仪书宋二KW" w:hAnsi="宋体;汉仪书宋二KW" w:cs="宋体;汉仪书宋二KW"/>
                <w:color w:val="000000"/>
                <w:sz w:val="21"/>
                <w:szCs w:val="21"/>
              </w:rPr>
              <w:t>座</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222.51%</w:t>
            </w:r>
          </w:p>
        </w:tc>
      </w:tr>
      <w:tr>
        <w:trPr>
          <w:trHeight w:val="90"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管网管线</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2885.23</w:t>
            </w:r>
            <w:r>
              <w:rPr>
                <w:rFonts w:ascii="宋体;汉仪书宋二KW" w:hAnsi="宋体;汉仪书宋二KW" w:cs="宋体;汉仪书宋二KW"/>
                <w:color w:val="000000"/>
                <w:sz w:val="21"/>
                <w:szCs w:val="21"/>
              </w:rPr>
              <w:t>公里</w:t>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90"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工程建设其他费用</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7057.05</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7057.05</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无形资产</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4.41%</w:t>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三</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（一）</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基本预备费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（二）</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涨价预备费</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四</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静态总投资合计</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363064.89</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226.92%</w:t>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五</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建设期利息</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六</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动态总投资</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363064.89</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226.92%</w:t>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七</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铺底流动资金</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r>
      <w:tr>
        <w:trPr>
          <w:trHeight w:val="391" w:hRule="atLeast"/>
        </w:trPr>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八</w:t>
            </w:r>
          </w:p>
        </w:tc>
        <w:tc>
          <w:tcPr>
            <w:tcW w:w="1528"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kinsoku w:val="true"/>
              <w:overflowPunct w:val="true"/>
              <w:autoSpaceDE w:val="true"/>
              <w:bidi w:val="0"/>
              <w:snapToGrid w:val="false"/>
              <w:spacing w:lineRule="auto" w:line="240"/>
              <w:jc w:val="left"/>
              <w:textAlignment w:val="center"/>
              <w:rPr>
                <w:rFonts w:ascii="宋体;汉仪书宋二KW" w:hAnsi="宋体;汉仪书宋二KW" w:eastAsia="宋体;汉仪书宋二KW" w:cs="宋体;汉仪书宋二KW"/>
                <w:color w:val="000000"/>
                <w:sz w:val="21"/>
                <w:szCs w:val="21"/>
              </w:rPr>
            </w:pPr>
            <w:r>
              <w:rPr>
                <w:rFonts w:ascii="宋体;汉仪书宋二KW" w:hAnsi="宋体;汉仪书宋二KW" w:cs="宋体;汉仪书宋二KW"/>
                <w:color w:val="000000"/>
                <w:kern w:val="0"/>
                <w:sz w:val="21"/>
                <w:szCs w:val="21"/>
              </w:rPr>
              <w:t>工程总投资</w:t>
            </w:r>
          </w:p>
        </w:tc>
        <w:tc>
          <w:tcPr>
            <w:tcW w:w="810"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2"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kinsoku w:val="true"/>
              <w:overflowPunct w:val="true"/>
              <w:autoSpaceDE w:val="true"/>
              <w:bidi w:val="0"/>
              <w:snapToGrid w:val="false"/>
              <w:spacing w:lineRule="auto" w:line="240"/>
              <w:rPr>
                <w:rFonts w:ascii="宋体;汉仪书宋二KW" w:hAnsi="宋体;汉仪书宋二KW" w:eastAsia="宋体;汉仪书宋二KW" w:cs="宋体;汉仪书宋二KW"/>
                <w:color w:val="000000"/>
                <w:sz w:val="21"/>
                <w:szCs w:val="21"/>
              </w:rPr>
            </w:pPr>
            <w:r>
              <w:rPr>
                <w:rFonts w:eastAsia="宋体;汉仪书宋二KW" w:cs="宋体;汉仪书宋二KW" w:ascii="宋体;汉仪书宋二KW" w:hAnsi="宋体;汉仪书宋二KW"/>
                <w:color w:val="000000"/>
                <w:sz w:val="21"/>
                <w:szCs w:val="21"/>
              </w:rPr>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160000</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1"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812"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kinsoku w:val="true"/>
              <w:overflowPunct w:val="true"/>
              <w:autoSpaceDE w:val="true"/>
              <w:bidi w:val="0"/>
              <w:snapToGrid w:val="false"/>
              <w:spacing w:lineRule="auto" w:line="240" w:before="120" w:after="120"/>
              <w:ind w:right="0"/>
              <w:jc w:val="left"/>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100.00%</w:t>
            </w:r>
          </w:p>
        </w:tc>
      </w:tr>
    </w:tbl>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填表说明：</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、如项目未开工或在建，应根据项目可研或初设总投资，并结合项目实施情况分析项目是否存在缺漏项、有无人为压低或抬高造价行为等。若对批复总投资做调整，应逐一说明原因。</w:t>
      </w:r>
    </w:p>
    <w:p>
      <w:pPr>
        <w:pStyle w:val="Normal"/>
        <w:numPr>
          <w:ilvl w:val="0"/>
          <w:numId w:val="3"/>
        </w:numPr>
        <w:spacing w:lineRule="exact" w:line="480"/>
        <w:ind w:firstLine="420" w:left="0" w:right="0"/>
        <w:rPr>
          <w:rFonts w:ascii="宋体;汉仪书宋二KW" w:hAnsi="宋体;汉仪书宋二KW" w:cs="宋体;汉仪书宋二KW"/>
          <w:szCs w:val="21"/>
        </w:rPr>
      </w:pPr>
      <w:r>
        <w:rPr>
          <w:rFonts w:ascii="宋体;汉仪书宋二KW" w:hAnsi="宋体;汉仪书宋二KW" w:cs="宋体;汉仪书宋二KW"/>
          <w:szCs w:val="21"/>
        </w:rPr>
        <w:t>如项目已完工或接近完工，应按照实际投入资金及计划尚需支付款项进行估算。</w:t>
      </w:r>
    </w:p>
    <w:p>
      <w:pPr>
        <w:pStyle w:val="Normal"/>
        <w:numPr>
          <w:ilvl w:val="0"/>
          <w:numId w:val="3"/>
        </w:numPr>
        <w:spacing w:lineRule="exact" w:line="480"/>
        <w:ind w:firstLine="420" w:left="0" w:right="0"/>
        <w:rPr>
          <w:rFonts w:ascii="宋体;汉仪书宋二KW" w:hAnsi="宋体;汉仪书宋二KW" w:cs="宋体;汉仪书宋二KW"/>
          <w:szCs w:val="21"/>
        </w:rPr>
      </w:pPr>
      <w:r>
        <w:rPr>
          <w:rFonts w:ascii="宋体;汉仪书宋二KW" w:hAnsi="宋体;汉仪书宋二KW" w:cs="宋体;汉仪书宋二KW"/>
          <w:szCs w:val="21"/>
        </w:rPr>
        <w:t>增量授信时，应比较前次评估结果与项目实际总投资，并分析存在差异的原因。</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4</w:t>
      </w:r>
      <w:r>
        <w:rPr>
          <w:rFonts w:ascii="宋体;汉仪书宋二KW" w:hAnsi="宋体;汉仪书宋二KW" w:cs="宋体;汉仪书宋二KW"/>
          <w:szCs w:val="21"/>
        </w:rPr>
        <w:t>、说明项目单位投资水平是否符合行业平均水平，如有重大差异，应进一步分析说明原因。</w:t>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（二）项目筹资方案。</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eastAsia="宋体;汉仪书宋二KW" w:cs="宋体;汉仪书宋二KW" w:ascii="宋体;汉仪书宋二KW" w:hAnsi="宋体;汉仪书宋二KW"/>
          <w:color w:val="000000"/>
          <w:szCs w:val="21"/>
          <w:lang w:val="en-US" w:eastAsia="zh-CN"/>
        </w:rPr>
        <w:t>1</w:t>
      </w:r>
      <w:r>
        <w:rPr>
          <w:rFonts w:ascii="宋体;汉仪书宋二KW" w:hAnsi="宋体;汉仪书宋二KW" w:cs="宋体;汉仪书宋二KW"/>
          <w:color w:val="000000"/>
          <w:szCs w:val="21"/>
          <w:lang w:val="en-US" w:eastAsia="zh-CN"/>
        </w:rPr>
        <w:t>、资本金</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资本金：项目资本金由邺城供水集团有限公司出资，已实缴注册资本10,000.00万元，覆盖供水经营权转让费。资本金比例符合国家关于项目资本金制度的有关规定（水利项目不低于20%）。</w:t>
      </w:r>
    </w:p>
    <w:p>
      <w:pPr>
        <w:pStyle w:val="Normal"/>
        <w:numPr>
          <w:ilvl w:val="0"/>
          <w:numId w:val="0"/>
        </w:numPr>
        <w:spacing w:lineRule="exact" w:line="480"/>
        <w:ind w:hanging="0" w:left="210" w:right="0"/>
        <w:rPr>
          <w:color w:val="000000"/>
        </w:rPr>
      </w:pPr>
      <w:r>
        <w:rPr>
          <w:rFonts w:cs="宋体;汉仪书宋二KW" w:ascii="宋体;汉仪书宋二KW" w:hAnsi="宋体;汉仪书宋二KW"/>
          <w:color w:val="000000"/>
          <w:szCs w:val="21"/>
          <w:lang w:val="en-US" w:eastAsia="zh-CN"/>
        </w:rPr>
        <w:t>2</w:t>
      </w:r>
      <w:r>
        <w:rPr>
          <w:rFonts w:ascii="宋体;汉仪书宋二KW" w:hAnsi="宋体;汉仪书宋二KW" w:cs="宋体;汉仪书宋二KW"/>
          <w:color w:val="000000"/>
          <w:szCs w:val="21"/>
          <w:lang w:val="en-US" w:eastAsia="zh-CN"/>
        </w:rPr>
        <w:t>、</w:t>
      </w:r>
      <w:r>
        <w:rPr>
          <w:rFonts w:ascii="宋体;汉仪书宋二KW" w:hAnsi="宋体;汉仪书宋二KW" w:cs="宋体;汉仪书宋二KW"/>
          <w:color w:val="000000"/>
          <w:szCs w:val="21"/>
        </w:rPr>
        <w:t>银行贷款。说明贷款金额，贷款方式，各银行贷款的参贷份额、贷款主要条款及审批落实情况，已获批贷款的主要条件及贷款投放进度；若为银团贷款，牵头行贷款方案，批复等情况，各参贷行份额。</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银行贷款：拟申请中信银行固定资产贷款，具体金额待项目可研报告完成后确定。贷款期限拟申请15-20年（含宽限期），贷款用途主要用于支付供水经营权转让费及项目建设投资。</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cs="宋体;汉仪书宋二KW" w:ascii="宋体;汉仪书宋二KW" w:hAnsi="宋体;汉仪书宋二KW"/>
          <w:color w:val="000000"/>
          <w:szCs w:val="21"/>
        </w:rPr>
        <w:t>3</w:t>
      </w:r>
      <w:r>
        <w:rPr>
          <w:rFonts w:ascii="宋体;汉仪书宋二KW" w:hAnsi="宋体;汉仪书宋二KW" w:cs="宋体;汉仪书宋二KW"/>
          <w:color w:val="000000"/>
          <w:szCs w:val="21"/>
        </w:rPr>
        <w:t>、其他资金来源，需说明出资机构、落实情况及可行性。</w:t>
      </w:r>
      <w:r>
        <w:rPr>
          <w:rFonts w:ascii="宋体;汉仪书宋二KW" w:hAnsi="宋体;汉仪书宋二KW" w:cs="宋体;汉仪书宋二KW"/>
          <w:color w:val="000000"/>
          <w:szCs w:val="21"/>
          <w:lang w:val="en-US" w:eastAsia="zh-CN"/>
        </w:rPr>
        <w:t>无</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4</w:t>
      </w:r>
      <w:r>
        <w:rPr>
          <w:rFonts w:ascii="宋体;汉仪书宋二KW" w:hAnsi="宋体;汉仪书宋二KW" w:cs="宋体;汉仪书宋二KW"/>
          <w:szCs w:val="21"/>
        </w:rPr>
        <w:t>、对于筹资方案要说明：</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1</w:t>
      </w:r>
      <w:r>
        <w:rPr>
          <w:rFonts w:ascii="宋体;汉仪书宋二KW" w:hAnsi="宋体;汉仪书宋二KW" w:cs="宋体;汉仪书宋二KW"/>
          <w:szCs w:val="21"/>
        </w:rPr>
        <w:t>）分析各项资金来源的真实性，投资是否有资金缺口。</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2</w:t>
      </w:r>
      <w:r>
        <w:rPr>
          <w:rFonts w:ascii="宋体;汉仪书宋二KW" w:hAnsi="宋体;汉仪书宋二KW" w:cs="宋体;汉仪书宋二KW"/>
          <w:szCs w:val="21"/>
        </w:rPr>
        <w:t>）项目资本金比例是否符合国家关于项目资本金制度的有关规定。</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3</w:t>
      </w:r>
      <w:r>
        <w:rPr>
          <w:rFonts w:ascii="宋体;汉仪书宋二KW" w:hAnsi="宋体;汉仪书宋二KW" w:cs="宋体;汉仪书宋二KW"/>
          <w:szCs w:val="21"/>
        </w:rPr>
        <w:t>）增量授信应比较原资金来源计划于实际到位情况，分析差异原因。</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4</w:t>
      </w:r>
      <w:r>
        <w:rPr>
          <w:rFonts w:ascii="宋体;汉仪书宋二KW" w:hAnsi="宋体;汉仪书宋二KW" w:cs="宋体;汉仪书宋二KW"/>
          <w:szCs w:val="21"/>
        </w:rPr>
        <w:t>）根据各项资金来源的到位计划，编制投资计划及资金筹措表。</w:t>
      </w:r>
    </w:p>
    <w:tbl>
      <w:tblPr>
        <w:tblW w:w="8698" w:type="dxa"/>
        <w:jc w:val="center"/>
        <w:tblInd w:w="0" w:type="dxa"/>
        <w:tblLayout w:type="fixed"/>
        <w:tblCellMar>
          <w:top w:w="0" w:type="dxa"/>
          <w:left w:w="108" w:type="dxa"/>
          <w:bottom w:w="0" w:type="dxa"/>
          <w:right w:w="108" w:type="dxa"/>
        </w:tblCellMar>
      </w:tblPr>
      <w:tblGrid>
        <w:gridCol w:w="1617"/>
        <w:gridCol w:w="1296"/>
        <w:gridCol w:w="1185"/>
        <w:gridCol w:w="1065"/>
        <w:gridCol w:w="1117"/>
        <w:gridCol w:w="1350"/>
        <w:gridCol w:w="1068"/>
      </w:tblGrid>
      <w:tr>
        <w:trPr>
          <w:trHeight w:val="135" w:hRule="atLeast"/>
          <w:cantSplit w:val="true"/>
        </w:trPr>
        <w:tc>
          <w:tcPr>
            <w:tcW w:w="16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资金来源</w:t>
            </w:r>
          </w:p>
        </w:tc>
        <w:tc>
          <w:tcPr>
            <w:tcW w:w="2481" w:type="dxa"/>
            <w:gridSpan w:val="2"/>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合计及占比</w:t>
            </w:r>
          </w:p>
        </w:tc>
        <w:tc>
          <w:tcPr>
            <w:tcW w:w="10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第</w:t>
            </w:r>
            <w:r>
              <w:rPr>
                <w:rFonts w:eastAsia="宋体;汉仪书宋二KW" w:cs="宋体;汉仪书宋二KW" w:ascii="宋体;汉仪书宋二KW" w:hAnsi="宋体;汉仪书宋二KW"/>
                <w:color w:val="000000"/>
                <w:kern w:val="0"/>
                <w:sz w:val="21"/>
                <w:szCs w:val="21"/>
              </w:rPr>
              <w:t>1</w:t>
            </w:r>
            <w:r>
              <w:rPr>
                <w:rFonts w:ascii="宋体;汉仪书宋二KW" w:hAnsi="宋体;汉仪书宋二KW" w:cs="宋体;汉仪书宋二KW"/>
                <w:color w:val="000000"/>
                <w:kern w:val="0"/>
                <w:sz w:val="21"/>
                <w:szCs w:val="21"/>
              </w:rPr>
              <w:t>年</w:t>
            </w:r>
          </w:p>
        </w:tc>
        <w:tc>
          <w:tcPr>
            <w:tcW w:w="11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第</w:t>
            </w:r>
            <w:r>
              <w:rPr>
                <w:rFonts w:eastAsia="宋体;汉仪书宋二KW" w:cs="宋体;汉仪书宋二KW" w:ascii="宋体;汉仪书宋二KW" w:hAnsi="宋体;汉仪书宋二KW"/>
                <w:color w:val="000000"/>
                <w:kern w:val="0"/>
                <w:sz w:val="21"/>
                <w:szCs w:val="21"/>
              </w:rPr>
              <w:t>2</w:t>
            </w:r>
            <w:r>
              <w:rPr>
                <w:rFonts w:ascii="宋体;汉仪书宋二KW" w:hAnsi="宋体;汉仪书宋二KW" w:cs="宋体;汉仪书宋二KW"/>
                <w:color w:val="000000"/>
                <w:kern w:val="0"/>
                <w:sz w:val="21"/>
                <w:szCs w:val="21"/>
              </w:rPr>
              <w:t>年</w:t>
            </w:r>
          </w:p>
        </w:tc>
        <w:tc>
          <w:tcPr>
            <w:tcW w:w="13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第</w:t>
            </w:r>
            <w:r>
              <w:rPr>
                <w:rFonts w:eastAsia="宋体;汉仪书宋二KW" w:cs="宋体;汉仪书宋二KW" w:ascii="宋体;汉仪书宋二KW" w:hAnsi="宋体;汉仪书宋二KW"/>
                <w:color w:val="000000"/>
                <w:kern w:val="0"/>
                <w:sz w:val="21"/>
                <w:szCs w:val="21"/>
              </w:rPr>
              <w:t>3</w:t>
            </w:r>
            <w:r>
              <w:rPr>
                <w:rFonts w:ascii="宋体;汉仪书宋二KW" w:hAnsi="宋体;汉仪书宋二KW" w:cs="宋体;汉仪书宋二KW"/>
                <w:color w:val="000000"/>
                <w:kern w:val="0"/>
                <w:sz w:val="21"/>
                <w:szCs w:val="21"/>
              </w:rPr>
              <w:t>年</w:t>
            </w:r>
          </w:p>
        </w:tc>
        <w:tc>
          <w:tcPr>
            <w:tcW w:w="10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w:t>
            </w:r>
          </w:p>
        </w:tc>
      </w:tr>
      <w:tr>
        <w:trPr>
          <w:trHeight w:val="135" w:hRule="atLeast"/>
          <w:cantSplit w:val="true"/>
        </w:trPr>
        <w:tc>
          <w:tcPr>
            <w:tcW w:w="16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c>
          <w:tcPr>
            <w:tcW w:w="129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合计</w:t>
            </w:r>
          </w:p>
        </w:tc>
        <w:tc>
          <w:tcPr>
            <w:tcW w:w="1185"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center"/>
              <w:textAlignment w:val="auto"/>
              <w:rPr>
                <w:rFonts w:ascii="宋体;汉仪书宋二KW" w:hAnsi="宋体;汉仪书宋二KW" w:eastAsia="宋体;汉仪书宋二KW" w:cs="宋体;汉仪书宋二KW"/>
                <w:color w:val="000000"/>
                <w:kern w:val="0"/>
                <w:sz w:val="21"/>
                <w:szCs w:val="21"/>
              </w:rPr>
            </w:pPr>
            <w:r>
              <w:rPr>
                <w:rFonts w:ascii="宋体;汉仪书宋二KW" w:hAnsi="宋体;汉仪书宋二KW" w:cs="宋体;汉仪书宋二KW"/>
                <w:color w:val="000000"/>
                <w:kern w:val="0"/>
                <w:sz w:val="21"/>
                <w:szCs w:val="21"/>
              </w:rPr>
              <w:t>占比</w:t>
            </w:r>
          </w:p>
        </w:tc>
        <w:tc>
          <w:tcPr>
            <w:tcW w:w="10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c>
          <w:tcPr>
            <w:tcW w:w="11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c>
          <w:tcPr>
            <w:tcW w:w="13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c>
          <w:tcPr>
            <w:tcW w:w="10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trHeight w:val="90" w:hRule="atLeast"/>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合计</w:t>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160000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100.00%</w:t>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93000</w:t>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67000</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一、资本金</w:t>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48000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30.00%</w:t>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48000</w:t>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31200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19.50%</w:t>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31200</w:t>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2</w:t>
            </w:r>
            <w:r>
              <w:rPr>
                <w:rFonts w:ascii="宋体;汉仪书宋二KW" w:hAnsi="宋体;汉仪书宋二KW" w:cs="宋体;汉仪书宋二KW"/>
                <w:color w:val="000000"/>
                <w:sz w:val="21"/>
                <w:szCs w:val="21"/>
              </w:rPr>
              <w:t>、电建北方区域参股</w:t>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16800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10.50%</w:t>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16800</w:t>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二、银行贷款</w:t>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112000</w:t>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70.00%</w:t>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45000</w:t>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sz w:val="21"/>
                <w:szCs w:val="21"/>
              </w:rPr>
              <w:t>67000</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其中我行贷款</w:t>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w:t>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r>
        <w:trPr>
          <w:trHeight w:val="90" w:hRule="atLeast"/>
          <w:cantSplit w:val="true"/>
        </w:trPr>
        <w:tc>
          <w:tcPr>
            <w:tcW w:w="16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before="120" w:after="120"/>
              <w:ind w:right="0"/>
              <w:jc w:val="left"/>
              <w:textAlignment w:val="auto"/>
              <w:rPr>
                <w:rFonts w:ascii="宋体;汉仪书宋二KW" w:hAnsi="宋体;汉仪书宋二KW" w:eastAsia="宋体;汉仪书宋二KW" w:cs="宋体;汉仪书宋二KW"/>
                <w:color w:val="000000"/>
                <w:kern w:val="2"/>
                <w:sz w:val="21"/>
                <w:szCs w:val="21"/>
                <w:lang w:val="en-US" w:eastAsia="zh-CN" w:bidi="ar-SA"/>
              </w:rPr>
            </w:pPr>
            <w:r>
              <w:rPr>
                <w:rFonts w:ascii="宋体;汉仪书宋二KW" w:hAnsi="宋体;汉仪书宋二KW" w:cs="宋体;汉仪书宋二KW"/>
                <w:color w:val="000000"/>
                <w:sz w:val="21"/>
                <w:szCs w:val="21"/>
              </w:rPr>
              <w:t>三、其他资金</w:t>
            </w:r>
          </w:p>
        </w:tc>
        <w:tc>
          <w:tcPr>
            <w:tcW w:w="1296"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118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1065"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1117"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bidi w:val="0"/>
              <w:snapToGrid w:val="false"/>
              <w:spacing w:lineRule="auto" w:line="240"/>
              <w:textAlignment w:val="auto"/>
              <w:rPr>
                <w:rFonts w:ascii="宋体;汉仪书宋二KW" w:hAnsi="宋体;汉仪书宋二KW" w:eastAsia="宋体;汉仪书宋二KW" w:cs="宋体;汉仪书宋二KW"/>
                <w:color w:val="000000"/>
                <w:kern w:val="2"/>
                <w:sz w:val="21"/>
                <w:szCs w:val="21"/>
                <w:lang w:val="en-US" w:eastAsia="zh-CN" w:bidi="ar-SA"/>
              </w:rPr>
            </w:pPr>
            <w:r>
              <w:rPr>
                <w:rFonts w:eastAsia="宋体;汉仪书宋二KW" w:cs="宋体;汉仪书宋二KW" w:ascii="宋体;汉仪书宋二KW" w:hAnsi="宋体;汉仪书宋二KW"/>
                <w:color w:val="000000"/>
                <w:kern w:val="2"/>
                <w:sz w:val="21"/>
                <w:szCs w:val="21"/>
                <w:lang w:val="en-US" w:eastAsia="zh-CN" w:bidi="ar-SA"/>
              </w:rPr>
            </w:r>
          </w:p>
        </w:tc>
        <w:tc>
          <w:tcPr>
            <w:tcW w:w="1350"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lang w:val="en-US" w:eastAsia="zh-CN" w:bidi="ar-SA"/>
              </w:rPr>
            </w:pPr>
            <w:r>
              <w:rPr>
                <w:rFonts w:eastAsia="宋体;汉仪书宋二KW" w:cs="宋体;汉仪书宋二KW" w:ascii="宋体;汉仪书宋二KW" w:hAnsi="宋体;汉仪书宋二KW"/>
                <w:color w:val="000000"/>
                <w:kern w:val="0"/>
                <w:sz w:val="21"/>
                <w:szCs w:val="21"/>
                <w:lang w:val="en-US" w:eastAsia="zh-CN" w:bidi="ar-SA"/>
              </w:rPr>
            </w:r>
          </w:p>
        </w:tc>
        <w:tc>
          <w:tcPr>
            <w:tcW w:w="1068" w:type="dxa"/>
            <w:tcBorders>
              <w:top w:val="single" w:sz="4" w:space="0" w:color="000000"/>
              <w:left w:val="single" w:sz="4" w:space="0" w:color="000000"/>
              <w:bottom w:val="single" w:sz="4" w:space="0" w:color="000000"/>
              <w:right w:val="single" w:sz="4" w:space="0" w:color="000000"/>
            </w:tcBorders>
          </w:tcPr>
          <w:p>
            <w:pPr>
              <w:pStyle w:val="Normal"/>
              <w:keepNext w:val="false"/>
              <w:keepLines w:val="false"/>
              <w:widowControl w:val="false"/>
              <w:kinsoku w:val="true"/>
              <w:overflowPunct w:val="true"/>
              <w:autoSpaceDE w:val="false"/>
              <w:bidi w:val="0"/>
              <w:snapToGrid w:val="false"/>
              <w:spacing w:lineRule="auto" w:line="240"/>
              <w:jc w:val="left"/>
              <w:textAlignment w:val="auto"/>
              <w:rPr>
                <w:rFonts w:ascii="宋体;汉仪书宋二KW" w:hAnsi="宋体;汉仪书宋二KW" w:eastAsia="宋体;汉仪书宋二KW" w:cs="宋体;汉仪书宋二KW"/>
                <w:color w:val="000000"/>
                <w:kern w:val="0"/>
                <w:sz w:val="21"/>
                <w:szCs w:val="21"/>
              </w:rPr>
            </w:pPr>
            <w:r>
              <w:rPr>
                <w:rFonts w:eastAsia="宋体;汉仪书宋二KW" w:cs="宋体;汉仪书宋二KW" w:ascii="宋体;汉仪书宋二KW" w:hAnsi="宋体;汉仪书宋二KW"/>
                <w:color w:val="000000"/>
                <w:kern w:val="0"/>
                <w:sz w:val="21"/>
                <w:szCs w:val="21"/>
              </w:rPr>
            </w:r>
          </w:p>
        </w:tc>
      </w:tr>
    </w:tbl>
    <w:p>
      <w:pPr>
        <w:pStyle w:val="Normal"/>
        <w:spacing w:lineRule="exact" w:line="480"/>
        <w:ind w:firstLine="420" w:right="0"/>
        <w:rPr>
          <w:rFonts w:ascii="宋体;汉仪书宋二KW" w:hAnsi="宋体;汉仪书宋二KW" w:eastAsia="宋体;汉仪书宋二KW" w:cs="宋体;汉仪书宋二KW"/>
          <w:szCs w:val="21"/>
        </w:rPr>
      </w:pPr>
      <w:r>
        <w:rPr>
          <w:rFonts w:ascii="宋体;汉仪书宋二KW" w:hAnsi="宋体;汉仪书宋二KW" w:cs="宋体;汉仪书宋二KW"/>
          <w:szCs w:val="21"/>
          <w:lang w:eastAsia="zh-CN"/>
        </w:rPr>
        <w:t>（</w:t>
      </w:r>
      <w:r>
        <w:rPr>
          <w:rFonts w:eastAsia="宋体;汉仪书宋二KW" w:cs="宋体;汉仪书宋二KW" w:ascii="宋体;汉仪书宋二KW" w:hAnsi="宋体;汉仪书宋二KW"/>
          <w:szCs w:val="21"/>
          <w:lang w:val="en-US" w:eastAsia="zh-CN"/>
        </w:rPr>
        <w:t>5</w:t>
      </w:r>
      <w:r>
        <w:rPr>
          <w:rFonts w:ascii="宋体;汉仪书宋二KW" w:hAnsi="宋体;汉仪书宋二KW" w:cs="宋体;汉仪书宋二KW"/>
          <w:szCs w:val="21"/>
          <w:lang w:eastAsia="zh-CN"/>
        </w:rPr>
        <w:t>）</w:t>
      </w:r>
      <w:r>
        <w:rPr>
          <w:rFonts w:ascii="宋体;汉仪书宋二KW" w:hAnsi="宋体;汉仪书宋二KW" w:cs="宋体;汉仪书宋二KW"/>
          <w:szCs w:val="21"/>
        </w:rPr>
        <w:t>借款用途及还款来源是否明确、合法，还款来源是否可靠。</w:t>
      </w:r>
    </w:p>
    <w:p>
      <w:pPr>
        <w:pStyle w:val="Normal"/>
        <w:spacing w:lineRule="exact" w:line="480"/>
        <w:ind w:firstLine="420" w:right="0"/>
        <w:rPr>
          <w:rFonts w:ascii="宋体;汉仪书宋二KW" w:hAnsi="宋体;汉仪书宋二KW" w:eastAsia="宋体;汉仪书宋二KW" w:cs="宋体;汉仪书宋二KW"/>
          <w:szCs w:val="21"/>
        </w:rPr>
      </w:pPr>
      <w:r>
        <w:rPr>
          <w:rFonts w:eastAsia="宋体;汉仪书宋二KW" w:cs="宋体;汉仪书宋二KW" w:ascii="宋体;汉仪书宋二KW" w:hAnsi="宋体;汉仪书宋二KW"/>
          <w:szCs w:val="21"/>
          <w:lang w:val="en-US" w:eastAsia="zh-CN"/>
        </w:rPr>
        <w:t>5</w:t>
      </w:r>
      <w:r>
        <w:rPr>
          <w:rFonts w:ascii="宋体;汉仪书宋二KW" w:hAnsi="宋体;汉仪书宋二KW" w:cs="宋体;汉仪书宋二KW"/>
          <w:szCs w:val="21"/>
          <w:lang w:val="en-US" w:eastAsia="zh-CN"/>
        </w:rPr>
        <w:t>、</w:t>
      </w:r>
      <w:r>
        <w:rPr>
          <w:rFonts w:ascii="宋体;汉仪书宋二KW" w:hAnsi="宋体;汉仪书宋二KW" w:cs="宋体;汉仪书宋二KW"/>
          <w:szCs w:val="21"/>
        </w:rPr>
        <w:t>对于项目融资，是否可通过为项目提供财务顾问服务，为项目设计综合金融服务方案，组合运用各种融资工具，拓宽项目资金来源渠道，有效分散风险。多家银行业金融机构参与同一项目融资的，原则上应当采用银团贷款方式，避免重复融资、过度融资</w:t>
      </w:r>
      <w:r>
        <w:rPr>
          <w:rFonts w:ascii="宋体;汉仪书宋二KW" w:hAnsi="宋体;汉仪书宋二KW" w:cs="宋体;汉仪书宋二KW"/>
          <w:szCs w:val="21"/>
          <w:lang w:eastAsia="zh-CN"/>
        </w:rPr>
        <w:t>。</w:t>
      </w:r>
      <w:r>
        <w:rPr>
          <w:rFonts w:ascii="宋体;汉仪书宋二KW" w:hAnsi="宋体;汉仪书宋二KW" w:cs="宋体;汉仪书宋二KW"/>
          <w:szCs w:val="21"/>
        </w:rPr>
        <w:t>采用银团贷款方式的，</w:t>
      </w:r>
      <w:r>
        <w:rPr>
          <w:rFonts w:ascii="宋体;汉仪书宋二KW" w:hAnsi="宋体;汉仪书宋二KW" w:cs="宋体;汉仪书宋二KW"/>
          <w:szCs w:val="21"/>
          <w:lang w:eastAsia="zh-CN"/>
        </w:rPr>
        <w:t>我行</w:t>
      </w:r>
      <w:r>
        <w:rPr>
          <w:rFonts w:ascii="宋体;汉仪书宋二KW" w:hAnsi="宋体;汉仪书宋二KW" w:cs="宋体;汉仪书宋二KW"/>
          <w:szCs w:val="21"/>
        </w:rPr>
        <w:t>应遵守银团贷款相关监管规定。</w:t>
      </w:r>
    </w:p>
    <w:p>
      <w:pPr>
        <w:pStyle w:val="Normal"/>
        <w:spacing w:lineRule="exact" w:line="480"/>
        <w:ind w:firstLine="420" w:right="0"/>
        <w:rPr>
          <w:rFonts w:ascii="宋体;汉仪书宋二KW" w:hAnsi="宋体;汉仪书宋二KW" w:eastAsia="宋体;汉仪书宋二KW" w:cs="宋体;汉仪书宋二KW"/>
          <w:szCs w:val="21"/>
        </w:rPr>
      </w:pPr>
      <w:r>
        <w:rPr>
          <w:rFonts w:eastAsia="宋体;汉仪书宋二KW" w:cs="宋体;汉仪书宋二KW" w:ascii="宋体;汉仪书宋二KW" w:hAnsi="宋体;汉仪书宋二KW"/>
          <w:szCs w:val="21"/>
          <w:lang w:val="en-US" w:eastAsia="zh-CN"/>
        </w:rPr>
        <w:t>6</w:t>
      </w:r>
      <w:r>
        <w:rPr>
          <w:rFonts w:ascii="宋体;汉仪书宋二KW" w:hAnsi="宋体;汉仪书宋二KW" w:cs="宋体;汉仪书宋二KW"/>
          <w:szCs w:val="21"/>
          <w:lang w:val="en-US" w:eastAsia="zh-CN"/>
        </w:rPr>
        <w:t>、对于项目融资，</w:t>
      </w:r>
      <w:r>
        <w:rPr>
          <w:rFonts w:ascii="宋体;汉仪书宋二KW" w:hAnsi="宋体;汉仪书宋二KW" w:cs="宋体;汉仪书宋二KW"/>
          <w:szCs w:val="21"/>
        </w:rPr>
        <w:t>同时应当与申请人约定专门的项目收入账户，要求所有项目收入进入约定账户，并按照事先约定的条件和方式对外支付</w:t>
      </w:r>
      <w:r>
        <w:rPr>
          <w:rFonts w:ascii="宋体;汉仪书宋二KW" w:hAnsi="宋体;汉仪书宋二KW" w:cs="宋体;汉仪书宋二KW"/>
          <w:szCs w:val="21"/>
          <w:lang w:eastAsia="zh-CN"/>
        </w:rPr>
        <w:t>。我行</w:t>
      </w:r>
      <w:r>
        <w:rPr>
          <w:rFonts w:ascii="宋体;汉仪书宋二KW" w:hAnsi="宋体;汉仪书宋二KW" w:cs="宋体;汉仪书宋二KW"/>
          <w:szCs w:val="21"/>
        </w:rPr>
        <w:t>应当对项目收入账户进行动态监测，当账户资金流动出现异常时，应当及时查明原因并采取相应措施。</w:t>
      </w:r>
    </w:p>
    <w:p>
      <w:pPr>
        <w:pStyle w:val="Normal"/>
        <w:spacing w:lineRule="exact" w:line="480"/>
        <w:ind w:firstLine="420" w:right="0"/>
        <w:rPr>
          <w:rFonts w:ascii="宋体;汉仪书宋二KW" w:hAnsi="宋体;汉仪书宋二KW" w:eastAsia="宋体;汉仪书宋二KW" w:cs="宋体;汉仪书宋二KW"/>
          <w:szCs w:val="21"/>
        </w:rPr>
      </w:pPr>
      <w:r>
        <w:rPr>
          <w:rFonts w:eastAsia="宋体;汉仪书宋二KW" w:cs="宋体;汉仪书宋二KW" w:ascii="宋体;汉仪书宋二KW" w:hAnsi="宋体;汉仪书宋二KW"/>
          <w:szCs w:val="21"/>
        </w:rPr>
      </w:r>
    </w:p>
    <w:p>
      <w:pPr>
        <w:pStyle w:val="Normal"/>
        <w:spacing w:lineRule="exact" w:line="480"/>
        <w:ind w:firstLine="480" w:right="0"/>
        <w:rPr>
          <w:rFonts w:ascii="宋体;汉仪书宋二KW" w:hAnsi="宋体;汉仪书宋二KW" w:cs="宋体;汉仪书宋二KW"/>
          <w:sz w:val="24"/>
          <w:szCs w:val="24"/>
        </w:rPr>
      </w:pPr>
      <w:r>
        <w:rPr>
          <w:rFonts w:cs="宋体;汉仪书宋二KW" w:ascii="宋体;汉仪书宋二KW" w:hAnsi="宋体;汉仪书宋二KW"/>
          <w:sz w:val="24"/>
          <w:szCs w:val="24"/>
        </w:rPr>
      </w:r>
    </w:p>
    <w:p>
      <w:pPr>
        <w:pStyle w:val="Normal"/>
        <w:spacing w:lineRule="exact" w:line="480"/>
        <w:ind w:firstLine="480" w:right="0"/>
        <w:rPr>
          <w:rFonts w:ascii="黑体;汉仪中黑KW" w:hAnsi="黑体;汉仪中黑KW" w:eastAsia="黑体;汉仪中黑KW" w:cs="黑体;汉仪中黑KW"/>
          <w:bCs/>
          <w:sz w:val="24"/>
          <w:szCs w:val="24"/>
        </w:rPr>
      </w:pPr>
      <w:r>
        <w:rPr>
          <w:rFonts w:ascii="黑体;汉仪中黑KW" w:hAnsi="黑体;汉仪中黑KW" w:cs="黑体;汉仪中黑KW" w:eastAsia="黑体;汉仪中黑KW"/>
          <w:bCs/>
          <w:sz w:val="24"/>
          <w:szCs w:val="24"/>
        </w:rPr>
        <w:t>七、经济可行性及偿债能力评价</w:t>
      </w:r>
    </w:p>
    <w:p>
      <w:pPr>
        <w:pStyle w:val="Normal"/>
        <w:spacing w:lineRule="exact" w:line="480"/>
        <w:ind w:firstLine="420" w:right="0"/>
        <w:rPr>
          <w:rFonts w:ascii="宋体;汉仪书宋二KW" w:hAnsi="宋体;汉仪书宋二KW" w:cs="宋体;汉仪书宋二KW"/>
          <w:bCs/>
          <w:szCs w:val="21"/>
        </w:rPr>
      </w:pPr>
      <w:r>
        <w:rPr>
          <w:rFonts w:ascii="宋体;汉仪书宋二KW" w:hAnsi="宋体;汉仪书宋二KW" w:cs="宋体;汉仪书宋二KW"/>
          <w:bCs/>
          <w:szCs w:val="21"/>
        </w:rPr>
        <w:t>重点对项目偿债能力、主要因素的敏感性等情况进行说明。</w:t>
      </w:r>
    </w:p>
    <w:p>
      <w:pPr>
        <w:pStyle w:val="Normal"/>
        <w:spacing w:lineRule="exact" w:line="480"/>
        <w:ind w:firstLine="420" w:right="0"/>
        <w:rPr>
          <w:rFonts w:ascii="宋体;汉仪书宋二KW" w:hAnsi="宋体;汉仪书宋二KW" w:cs="宋体;汉仪书宋二KW"/>
          <w:i/>
          <w:i/>
          <w:iCs/>
          <w:szCs w:val="21"/>
        </w:rPr>
      </w:pPr>
      <w:r>
        <w:rPr>
          <w:rFonts w:ascii="宋体;汉仪书宋二KW" w:hAnsi="宋体;汉仪书宋二KW" w:cs="宋体;汉仪书宋二KW"/>
          <w:i/>
          <w:iCs/>
          <w:szCs w:val="21"/>
        </w:rPr>
        <w:t>本部分仅以制造业项目贷款调查要求为示例，具体行业调查模板结合行业特点另行要求调查内容，具体测算模板随行业调查模板一并下发。</w:t>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（一）项目主要参数的假设。</w:t>
      </w:r>
    </w:p>
    <w:p>
      <w:pPr>
        <w:pStyle w:val="Normal"/>
        <w:spacing w:lineRule="exact" w:line="480"/>
        <w:ind w:firstLine="420" w:right="0"/>
        <w:rPr>
          <w:rFonts w:ascii="宋体;汉仪书宋二KW" w:hAnsi="宋体;汉仪书宋二KW" w:eastAsia="宋体;汉仪书宋二KW" w:cs="宋体;汉仪书宋二KW"/>
          <w:szCs w:val="21"/>
          <w:lang w:eastAsia="zh-CN"/>
        </w:rPr>
      </w:pPr>
      <w:r>
        <w:rPr>
          <w:rFonts w:ascii="宋体;汉仪书宋二KW" w:hAnsi="宋体;汉仪书宋二KW" w:cs="宋体;汉仪书宋二KW"/>
          <w:szCs w:val="21"/>
          <w:lang w:eastAsia="zh-CN"/>
        </w:rPr>
        <w:t>说明对项目计算期、主要收入要素（产能、开工率、销售价格等）、主要成本费用要素（主要原材料、动力及人工等数量与价格）、税费等价格及数量参数的取值依据。调查报告中对相关参数的设定是否合理，如有调整，应说明理由。应充分考虑政策变化、市场波动、汇率风险等不确定因素对项目的影响，审慎预测项目的未来收益和现金流。</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 w:hAnsi="宋体" w:eastAsia="宋体"/>
          <w:sz w:val="21"/>
        </w:rPr>
        <w:t>项目计算期：40年（特许经营期限），其中建设期3-5年分期建设，运营期35-37年。</w:t>
        <w:br/>
        <w:t>收入预测：根据资产评估报告的收益法测算，项目在40年特许经营期内的供水收入可覆盖投资和运营成本。运营负荷：逐年提升，预计第5年达到设计产能80%以上。</w:t>
        <w:br/>
        <w:t>水价方面：居民用水、非居民用水执行临漳县政府定价标准。</w:t>
        <w:br/>
        <w:t>成本费用：原水费按南水北调终端水价测算；职工薪酬、折旧摊销、财务费用按实际情况测算。</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收入：运营负荷方面，</w:t>
      </w:r>
      <w:r>
        <w:rPr>
          <w:rFonts w:eastAsia="宋体;汉仪书宋二KW" w:cs="宋体;汉仪书宋二KW" w:ascii="宋体;汉仪书宋二KW" w:hAnsi="宋体;汉仪书宋二KW"/>
          <w:color w:val="000000"/>
          <w:szCs w:val="21"/>
          <w:lang w:val="en-US" w:eastAsia="zh-CN"/>
        </w:rPr>
        <w:t>2025</w:t>
      </w:r>
      <w:r>
        <w:rPr>
          <w:rFonts w:ascii="宋体;汉仪书宋二KW" w:hAnsi="宋体;汉仪书宋二KW" w:cs="宋体;汉仪书宋二KW"/>
          <w:color w:val="000000"/>
          <w:szCs w:val="21"/>
          <w:lang w:val="en-US" w:eastAsia="zh-CN"/>
        </w:rPr>
        <w:t>年售水量</w:t>
      </w:r>
      <w:r>
        <w:rPr>
          <w:rFonts w:eastAsia="宋体;汉仪书宋二KW" w:cs="宋体;汉仪书宋二KW" w:ascii="宋体;汉仪书宋二KW" w:hAnsi="宋体;汉仪书宋二KW"/>
          <w:color w:val="000000"/>
          <w:szCs w:val="21"/>
          <w:lang w:val="en-US" w:eastAsia="zh-CN"/>
        </w:rPr>
        <w:t>28.13</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日，</w:t>
      </w:r>
      <w:r>
        <w:rPr>
          <w:rFonts w:eastAsia="宋体;汉仪书宋二KW" w:cs="宋体;汉仪书宋二KW" w:ascii="宋体;汉仪书宋二KW" w:hAnsi="宋体;汉仪书宋二KW"/>
          <w:color w:val="000000"/>
          <w:szCs w:val="21"/>
          <w:lang w:val="en-US" w:eastAsia="zh-CN"/>
        </w:rPr>
        <w:t>2026</w:t>
      </w:r>
      <w:r>
        <w:rPr>
          <w:rFonts w:ascii="宋体;汉仪书宋二KW" w:hAnsi="宋体;汉仪书宋二KW" w:cs="宋体;汉仪书宋二KW"/>
          <w:color w:val="000000"/>
          <w:szCs w:val="21"/>
          <w:lang w:val="en-US" w:eastAsia="zh-CN"/>
        </w:rPr>
        <w:t>年</w:t>
      </w:r>
      <w:r>
        <w:rPr>
          <w:rFonts w:eastAsia="宋体;汉仪书宋二KW" w:cs="宋体;汉仪书宋二KW" w:ascii="宋体;汉仪书宋二KW" w:hAnsi="宋体;汉仪书宋二KW"/>
          <w:color w:val="000000"/>
          <w:szCs w:val="21"/>
          <w:lang w:val="en-US" w:eastAsia="zh-CN"/>
        </w:rPr>
        <w:t>31.13</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日，</w:t>
      </w:r>
      <w:r>
        <w:rPr>
          <w:rFonts w:eastAsia="宋体;汉仪书宋二KW" w:cs="宋体;汉仪书宋二KW" w:ascii="宋体;汉仪书宋二KW" w:hAnsi="宋体;汉仪书宋二KW"/>
          <w:color w:val="000000"/>
          <w:szCs w:val="21"/>
          <w:lang w:val="en-US" w:eastAsia="zh-CN"/>
        </w:rPr>
        <w:t>2027</w:t>
      </w:r>
      <w:r>
        <w:rPr>
          <w:rFonts w:ascii="宋体;汉仪书宋二KW" w:hAnsi="宋体;汉仪书宋二KW" w:cs="宋体;汉仪书宋二KW"/>
          <w:color w:val="000000"/>
          <w:szCs w:val="21"/>
          <w:lang w:val="en-US" w:eastAsia="zh-CN"/>
        </w:rPr>
        <w:t>年</w:t>
      </w:r>
      <w:r>
        <w:rPr>
          <w:rFonts w:eastAsia="宋体;汉仪书宋二KW" w:cs="宋体;汉仪书宋二KW" w:ascii="宋体;汉仪书宋二KW" w:hAnsi="宋体;汉仪书宋二KW"/>
          <w:color w:val="000000"/>
          <w:szCs w:val="21"/>
          <w:lang w:val="en-US" w:eastAsia="zh-CN"/>
        </w:rPr>
        <w:t>37.13</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日，</w:t>
      </w:r>
      <w:r>
        <w:rPr>
          <w:rFonts w:eastAsia="宋体;汉仪书宋二KW" w:cs="宋体;汉仪书宋二KW" w:ascii="宋体;汉仪书宋二KW" w:hAnsi="宋体;汉仪书宋二KW"/>
          <w:color w:val="000000"/>
          <w:szCs w:val="21"/>
          <w:lang w:val="en-US" w:eastAsia="zh-CN"/>
        </w:rPr>
        <w:t>2028</w:t>
      </w:r>
      <w:r>
        <w:rPr>
          <w:rFonts w:ascii="宋体;汉仪书宋二KW" w:hAnsi="宋体;汉仪书宋二KW" w:cs="宋体;汉仪书宋二KW"/>
          <w:color w:val="000000"/>
          <w:szCs w:val="21"/>
          <w:lang w:val="en-US" w:eastAsia="zh-CN"/>
        </w:rPr>
        <w:t>年及以后</w:t>
      </w:r>
      <w:r>
        <w:rPr>
          <w:rFonts w:eastAsia="宋体;汉仪书宋二KW" w:cs="宋体;汉仪书宋二KW" w:ascii="宋体;汉仪书宋二KW" w:hAnsi="宋体;汉仪书宋二KW"/>
          <w:color w:val="000000"/>
          <w:szCs w:val="21"/>
          <w:lang w:val="en-US" w:eastAsia="zh-CN"/>
        </w:rPr>
        <w:t>44.13</w:t>
      </w:r>
      <w:r>
        <w:rPr>
          <w:rFonts w:ascii="宋体;汉仪书宋二KW" w:hAnsi="宋体;汉仪书宋二KW" w:cs="宋体;汉仪书宋二KW"/>
          <w:color w:val="000000"/>
          <w:szCs w:val="21"/>
          <w:lang w:val="en-US" w:eastAsia="zh-CN"/>
        </w:rPr>
        <w:t>万立方米</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日；水价方面，居民水价</w:t>
      </w:r>
      <w:r>
        <w:rPr>
          <w:rFonts w:eastAsia="宋体;汉仪书宋二KW" w:cs="宋体;汉仪书宋二KW" w:ascii="宋体;汉仪书宋二KW" w:hAnsi="宋体;汉仪书宋二KW"/>
          <w:color w:val="000000"/>
          <w:szCs w:val="21"/>
          <w:lang w:val="en-US" w:eastAsia="zh-CN"/>
        </w:rPr>
        <w:t>2.67</w:t>
      </w:r>
      <w:r>
        <w:rPr>
          <w:rFonts w:ascii="宋体;汉仪书宋二KW" w:hAnsi="宋体;汉仪书宋二KW" w:cs="宋体;汉仪书宋二KW"/>
          <w:color w:val="000000"/>
          <w:szCs w:val="21"/>
          <w:lang w:val="en-US" w:eastAsia="zh-CN"/>
        </w:rPr>
        <w:t>元</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立方米，非居民水价</w:t>
      </w:r>
      <w:r>
        <w:rPr>
          <w:rFonts w:eastAsia="宋体;汉仪书宋二KW" w:cs="宋体;汉仪书宋二KW" w:ascii="宋体;汉仪书宋二KW" w:hAnsi="宋体;汉仪书宋二KW"/>
          <w:color w:val="000000"/>
          <w:szCs w:val="21"/>
          <w:lang w:val="en-US" w:eastAsia="zh-CN"/>
        </w:rPr>
        <w:t>2028</w:t>
      </w:r>
      <w:r>
        <w:rPr>
          <w:rFonts w:ascii="宋体;汉仪书宋二KW" w:hAnsi="宋体;汉仪书宋二KW" w:cs="宋体;汉仪书宋二KW"/>
          <w:color w:val="000000"/>
          <w:szCs w:val="21"/>
          <w:lang w:val="en-US" w:eastAsia="zh-CN"/>
        </w:rPr>
        <w:t>年前</w:t>
      </w:r>
      <w:r>
        <w:rPr>
          <w:rFonts w:eastAsia="宋体;汉仪书宋二KW" w:cs="宋体;汉仪书宋二KW" w:ascii="宋体;汉仪书宋二KW" w:hAnsi="宋体;汉仪书宋二KW"/>
          <w:color w:val="000000"/>
          <w:szCs w:val="21"/>
          <w:lang w:val="en-US" w:eastAsia="zh-CN"/>
        </w:rPr>
        <w:t>3.70</w:t>
      </w:r>
      <w:r>
        <w:rPr>
          <w:rFonts w:ascii="宋体;汉仪书宋二KW" w:hAnsi="宋体;汉仪书宋二KW" w:cs="宋体;汉仪书宋二KW"/>
          <w:color w:val="000000"/>
          <w:szCs w:val="21"/>
          <w:lang w:val="en-US" w:eastAsia="zh-CN"/>
        </w:rPr>
        <w:t>元</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立方米，</w:t>
      </w:r>
      <w:r>
        <w:rPr>
          <w:rFonts w:eastAsia="宋体;汉仪书宋二KW" w:cs="宋体;汉仪书宋二KW" w:ascii="宋体;汉仪书宋二KW" w:hAnsi="宋体;汉仪书宋二KW"/>
          <w:color w:val="000000"/>
          <w:szCs w:val="21"/>
          <w:lang w:val="en-US" w:eastAsia="zh-CN"/>
        </w:rPr>
        <w:t>2028</w:t>
      </w:r>
      <w:r>
        <w:rPr>
          <w:rFonts w:ascii="宋体;汉仪书宋二KW" w:hAnsi="宋体;汉仪书宋二KW" w:cs="宋体;汉仪书宋二KW"/>
          <w:color w:val="000000"/>
          <w:szCs w:val="21"/>
          <w:lang w:val="en-US" w:eastAsia="zh-CN"/>
        </w:rPr>
        <w:t>年起上调至</w:t>
      </w:r>
      <w:r>
        <w:rPr>
          <w:rFonts w:eastAsia="宋体;汉仪书宋二KW" w:cs="宋体;汉仪书宋二KW" w:ascii="宋体;汉仪书宋二KW" w:hAnsi="宋体;汉仪书宋二KW"/>
          <w:color w:val="000000"/>
          <w:szCs w:val="21"/>
          <w:lang w:val="en-US" w:eastAsia="zh-CN"/>
        </w:rPr>
        <w:t>4.70</w:t>
      </w:r>
      <w:r>
        <w:rPr>
          <w:rFonts w:ascii="宋体;汉仪书宋二KW" w:hAnsi="宋体;汉仪书宋二KW" w:cs="宋体;汉仪书宋二KW"/>
          <w:color w:val="000000"/>
          <w:szCs w:val="21"/>
          <w:lang w:val="en-US" w:eastAsia="zh-CN"/>
        </w:rPr>
        <w:t>元</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立方米，特种行业水价</w:t>
      </w:r>
      <w:r>
        <w:rPr>
          <w:rFonts w:eastAsia="宋体;汉仪书宋二KW" w:cs="宋体;汉仪书宋二KW" w:ascii="宋体;汉仪书宋二KW" w:hAnsi="宋体;汉仪书宋二KW"/>
          <w:color w:val="000000"/>
          <w:szCs w:val="21"/>
          <w:lang w:val="en-US" w:eastAsia="zh-CN"/>
        </w:rPr>
        <w:t>15.00</w:t>
      </w:r>
      <w:r>
        <w:rPr>
          <w:rFonts w:ascii="宋体;汉仪书宋二KW" w:hAnsi="宋体;汉仪书宋二KW" w:cs="宋体;汉仪书宋二KW"/>
          <w:color w:val="000000"/>
          <w:szCs w:val="21"/>
          <w:lang w:val="en-US" w:eastAsia="zh-CN"/>
        </w:rPr>
        <w:t>元</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立方米。</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r>
        <w:rPr>
          <w:rFonts w:ascii="宋体;汉仪书宋二KW" w:hAnsi="宋体;汉仪书宋二KW" w:cs="宋体;汉仪书宋二KW"/>
          <w:color w:val="000000"/>
          <w:szCs w:val="21"/>
          <w:lang w:val="en-US" w:eastAsia="zh-CN"/>
        </w:rPr>
        <w:t>成本费用：原水费按大伙房水库</w:t>
      </w:r>
      <w:r>
        <w:rPr>
          <w:rFonts w:eastAsia="宋体;汉仪书宋二KW" w:cs="宋体;汉仪书宋二KW" w:ascii="宋体;汉仪书宋二KW" w:hAnsi="宋体;汉仪书宋二KW"/>
          <w:color w:val="000000"/>
          <w:szCs w:val="21"/>
          <w:lang w:val="en-US" w:eastAsia="zh-CN"/>
        </w:rPr>
        <w:t>1.05</w:t>
      </w:r>
      <w:r>
        <w:rPr>
          <w:rFonts w:ascii="宋体;汉仪书宋二KW" w:hAnsi="宋体;汉仪书宋二KW" w:cs="宋体;汉仪书宋二KW"/>
          <w:color w:val="000000"/>
          <w:szCs w:val="21"/>
          <w:lang w:val="en-US" w:eastAsia="zh-CN"/>
        </w:rPr>
        <w:t>元</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立方米、辽西北工程</w:t>
      </w:r>
      <w:r>
        <w:rPr>
          <w:rFonts w:eastAsia="宋体;汉仪书宋二KW" w:cs="宋体;汉仪书宋二KW" w:ascii="宋体;汉仪书宋二KW" w:hAnsi="宋体;汉仪书宋二KW"/>
          <w:color w:val="000000"/>
          <w:szCs w:val="21"/>
          <w:lang w:val="en-US" w:eastAsia="zh-CN"/>
        </w:rPr>
        <w:t>2.60</w:t>
      </w:r>
      <w:r>
        <w:rPr>
          <w:rFonts w:ascii="宋体;汉仪书宋二KW" w:hAnsi="宋体;汉仪书宋二KW" w:cs="宋体;汉仪书宋二KW"/>
          <w:color w:val="000000"/>
          <w:szCs w:val="21"/>
          <w:lang w:val="en-US" w:eastAsia="zh-CN"/>
        </w:rPr>
        <w:t>元</w:t>
      </w:r>
      <w:r>
        <w:rPr>
          <w:rFonts w:eastAsia="宋体;汉仪书宋二KW" w:cs="宋体;汉仪书宋二KW" w:ascii="宋体;汉仪书宋二KW" w:hAnsi="宋体;汉仪书宋二KW"/>
          <w:color w:val="000000"/>
          <w:szCs w:val="21"/>
          <w:lang w:val="en-US" w:eastAsia="zh-CN"/>
        </w:rPr>
        <w:t>/</w:t>
      </w:r>
      <w:r>
        <w:rPr>
          <w:rFonts w:ascii="宋体;汉仪书宋二KW" w:hAnsi="宋体;汉仪书宋二KW" w:cs="宋体;汉仪书宋二KW"/>
          <w:color w:val="000000"/>
          <w:szCs w:val="21"/>
          <w:lang w:val="en-US" w:eastAsia="zh-CN"/>
        </w:rPr>
        <w:t>立方米测算；职工薪酬年</w:t>
      </w:r>
      <w:r>
        <w:rPr>
          <w:rFonts w:eastAsia="宋体;汉仪书宋二KW" w:cs="宋体;汉仪书宋二KW" w:ascii="宋体;汉仪书宋二KW" w:hAnsi="宋体;汉仪书宋二KW"/>
          <w:color w:val="000000"/>
          <w:szCs w:val="21"/>
          <w:lang w:val="en-US" w:eastAsia="zh-CN"/>
        </w:rPr>
        <w:t>10458</w:t>
      </w:r>
      <w:r>
        <w:rPr>
          <w:rFonts w:ascii="宋体;汉仪书宋二KW" w:hAnsi="宋体;汉仪书宋二KW" w:cs="宋体;汉仪书宋二KW"/>
          <w:color w:val="000000"/>
          <w:szCs w:val="21"/>
          <w:lang w:val="en-US" w:eastAsia="zh-CN"/>
        </w:rPr>
        <w:t>万元，年节约劳务费用</w:t>
      </w:r>
      <w:r>
        <w:rPr>
          <w:rFonts w:eastAsia="宋体;汉仪书宋二KW" w:cs="宋体;汉仪书宋二KW" w:ascii="宋体;汉仪书宋二KW" w:hAnsi="宋体;汉仪书宋二KW"/>
          <w:color w:val="000000"/>
          <w:szCs w:val="21"/>
          <w:lang w:val="en-US" w:eastAsia="zh-CN"/>
        </w:rPr>
        <w:t>631</w:t>
      </w:r>
      <w:r>
        <w:rPr>
          <w:rFonts w:ascii="宋体;汉仪书宋二KW" w:hAnsi="宋体;汉仪书宋二KW" w:cs="宋体;汉仪书宋二KW"/>
          <w:color w:val="000000"/>
          <w:szCs w:val="21"/>
          <w:lang w:val="en-US" w:eastAsia="zh-CN"/>
        </w:rPr>
        <w:t>万元；折旧摊销年</w:t>
      </w:r>
      <w:r>
        <w:rPr>
          <w:rFonts w:eastAsia="宋体;汉仪书宋二KW" w:cs="宋体;汉仪书宋二KW" w:ascii="宋体;汉仪书宋二KW" w:hAnsi="宋体;汉仪书宋二KW"/>
          <w:color w:val="000000"/>
          <w:szCs w:val="21"/>
          <w:lang w:val="en-US" w:eastAsia="zh-CN"/>
        </w:rPr>
        <w:t>4000</w:t>
      </w:r>
      <w:r>
        <w:rPr>
          <w:rFonts w:ascii="宋体;汉仪书宋二KW" w:hAnsi="宋体;汉仪书宋二KW" w:cs="宋体;汉仪书宋二KW"/>
          <w:color w:val="000000"/>
          <w:szCs w:val="21"/>
          <w:lang w:val="en-US" w:eastAsia="zh-CN"/>
        </w:rPr>
        <w:t>万元；财务费用年</w:t>
      </w:r>
      <w:r>
        <w:rPr>
          <w:rFonts w:eastAsia="宋体;汉仪书宋二KW" w:cs="宋体;汉仪书宋二KW" w:ascii="宋体;汉仪书宋二KW" w:hAnsi="宋体;汉仪书宋二KW"/>
          <w:color w:val="000000"/>
          <w:szCs w:val="21"/>
          <w:lang w:val="en-US" w:eastAsia="zh-CN"/>
        </w:rPr>
        <w:t>4032</w:t>
      </w:r>
      <w:r>
        <w:rPr>
          <w:rFonts w:ascii="宋体;汉仪书宋二KW" w:hAnsi="宋体;汉仪书宋二KW" w:cs="宋体;汉仪书宋二KW"/>
          <w:color w:val="000000"/>
          <w:szCs w:val="21"/>
          <w:lang w:val="en-US" w:eastAsia="zh-CN"/>
        </w:rPr>
        <w:t>万元；其他运营成本按行业平均水平测算。</w:t>
      </w:r>
    </w:p>
    <w:p>
      <w:pPr>
        <w:pStyle w:val="Normal"/>
        <w:spacing w:lineRule="exact" w:line="480"/>
        <w:ind w:firstLine="420" w:right="0"/>
        <w:rPr>
          <w:rFonts w:ascii="宋体;汉仪书宋二KW" w:hAnsi="宋体;汉仪书宋二KW" w:eastAsia="宋体;汉仪书宋二KW" w:cs="宋体;汉仪书宋二KW"/>
          <w:color w:val="000000"/>
          <w:szCs w:val="21"/>
          <w:lang w:val="en-US" w:eastAsia="zh-CN"/>
        </w:rPr>
      </w:pPr>
    </w:p>
    <w:p>
      <w:pPr>
        <w:pStyle w:val="Normal"/>
        <w:spacing w:lineRule="exact" w:line="480"/>
        <w:ind w:firstLine="420" w:right="0"/>
        <w:rPr>
          <w:rFonts w:ascii="宋体;汉仪书宋二KW" w:hAnsi="宋体;汉仪书宋二KW" w:eastAsia="宋体;汉仪书宋二KW" w:cs="宋体;汉仪书宋二KW"/>
          <w:color w:val="FF0000"/>
          <w:szCs w:val="21"/>
          <w:lang w:val="en-US" w:eastAsia="zh-CN"/>
        </w:rPr>
      </w:pPr>
      <w:r>
        <w:rPr>
          <w:rFonts w:eastAsia="宋体;汉仪书宋二KW" w:cs="宋体;汉仪书宋二KW" w:ascii="宋体;汉仪书宋二KW" w:hAnsi="宋体;汉仪书宋二KW"/>
          <w:color w:val="FF0000"/>
          <w:szCs w:val="21"/>
          <w:lang w:val="en-US" w:eastAsia="zh-CN"/>
        </w:rPr>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具体参数设定标准可参照附件执行。</w:t>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（二）项目经济可行性及偿债能力测算结果</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1</w:t>
      </w:r>
      <w:r>
        <w:rPr>
          <w:rFonts w:ascii="宋体;汉仪书宋二KW" w:hAnsi="宋体;汉仪书宋二KW" w:cs="宋体;汉仪书宋二KW"/>
          <w:szCs w:val="21"/>
        </w:rPr>
        <w:t>、按以下格式出具测算结果（根据项目具体情况可做调整）。</w:t>
      </w:r>
    </w:p>
    <w:p>
      <w:pPr>
        <w:pStyle w:val="Normal"/>
        <w:spacing w:lineRule="exact" w:line="480"/>
        <w:ind w:firstLine="480" w:right="0"/>
        <w:rPr>
          <w:rFonts w:eastAsia="宋体;汉仪书宋二KW"/>
          <w:sz w:val="24"/>
          <w:szCs w:val="24"/>
          <w:lang w:val="en-US" w:eastAsia="zh-CN"/>
        </w:rPr>
      </w:pPr>
      <w:r>
        <w:rPr>
          <w:rFonts w:ascii="宋体" w:hAnsi="宋体" w:eastAsia="宋体"/>
          <w:sz w:val="21"/>
        </w:rPr>
        <w:t>详见附件（待可研报告完成后补充详细测算表）。</w:t>
      </w:r>
    </w:p>
    <w:tbl>
      <w:tblPr>
        <w:tblW w:w="8672" w:type="dxa"/>
        <w:jc w:val="left"/>
        <w:tblInd w:w="208" w:type="dxa"/>
        <w:tblLayout w:type="fixed"/>
        <w:tblCellMar>
          <w:top w:w="0" w:type="dxa"/>
          <w:left w:w="108" w:type="dxa"/>
          <w:bottom w:w="0" w:type="dxa"/>
          <w:right w:w="108" w:type="dxa"/>
        </w:tblCellMar>
      </w:tblPr>
      <w:tblGrid>
        <w:gridCol w:w="3335"/>
        <w:gridCol w:w="694"/>
        <w:gridCol w:w="1162"/>
        <w:gridCol w:w="1167"/>
        <w:gridCol w:w="1155"/>
        <w:gridCol w:w="1159"/>
      </w:tblGrid>
      <w:tr>
        <w:trPr>
          <w:trHeight w:val="312" w:hRule="atLeast"/>
          <w:cantSplit w:val="true"/>
        </w:trPr>
        <w:tc>
          <w:tcPr>
            <w:tcW w:w="333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项目</w:t>
            </w:r>
          </w:p>
        </w:tc>
        <w:tc>
          <w:tcPr>
            <w:tcW w:w="69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平均</w:t>
            </w:r>
          </w:p>
        </w:tc>
        <w:tc>
          <w:tcPr>
            <w:tcW w:w="1162"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汉仪书宋二KW" w:hAnsi="宋体;汉仪书宋二KW" w:cs="宋体;汉仪书宋二KW"/>
                <w:kern w:val="0"/>
                <w:szCs w:val="21"/>
              </w:rPr>
            </w:pPr>
            <w:r>
              <w:rPr>
                <w:rFonts w:cs="宋体;汉仪书宋二KW" w:ascii="宋体;汉仪书宋二KW" w:hAnsi="宋体;汉仪书宋二KW"/>
                <w:kern w:val="0"/>
                <w:szCs w:val="21"/>
              </w:rPr>
              <w:t>xxxx</w:t>
            </w:r>
            <w:r>
              <w:rPr>
                <w:rFonts w:ascii="宋体;汉仪书宋二KW" w:hAnsi="宋体;汉仪书宋二KW" w:cs="宋体;汉仪书宋二KW"/>
                <w:kern w:val="0"/>
                <w:szCs w:val="21"/>
              </w:rPr>
              <w:t>年</w:t>
            </w:r>
          </w:p>
        </w:tc>
        <w:tc>
          <w:tcPr>
            <w:tcW w:w="1167"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汉仪书宋二KW" w:hAnsi="宋体;汉仪书宋二KW" w:cs="宋体;汉仪书宋二KW"/>
                <w:kern w:val="0"/>
                <w:szCs w:val="21"/>
              </w:rPr>
            </w:pPr>
            <w:r>
              <w:rPr>
                <w:rFonts w:cs="宋体;汉仪书宋二KW" w:ascii="宋体;汉仪书宋二KW" w:hAnsi="宋体;汉仪书宋二KW"/>
                <w:kern w:val="0"/>
                <w:szCs w:val="21"/>
              </w:rPr>
              <w:t>xxxx</w:t>
            </w:r>
            <w:r>
              <w:rPr>
                <w:rFonts w:ascii="宋体;汉仪书宋二KW" w:hAnsi="宋体;汉仪书宋二KW" w:cs="宋体;汉仪书宋二KW"/>
                <w:kern w:val="0"/>
                <w:szCs w:val="21"/>
              </w:rPr>
              <w:t>年</w:t>
            </w:r>
          </w:p>
        </w:tc>
        <w:tc>
          <w:tcPr>
            <w:tcW w:w="115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汉仪书宋二KW" w:hAnsi="宋体;汉仪书宋二KW" w:cs="宋体;汉仪书宋二KW"/>
                <w:kern w:val="0"/>
                <w:szCs w:val="21"/>
              </w:rPr>
            </w:pPr>
            <w:r>
              <w:rPr>
                <w:rFonts w:cs="宋体;汉仪书宋二KW" w:ascii="宋体;汉仪书宋二KW" w:hAnsi="宋体;汉仪书宋二KW"/>
                <w:kern w:val="0"/>
                <w:szCs w:val="21"/>
              </w:rPr>
              <w:t>xxxx</w:t>
            </w:r>
            <w:r>
              <w:rPr>
                <w:rFonts w:ascii="宋体;汉仪书宋二KW" w:hAnsi="宋体;汉仪书宋二KW" w:cs="宋体;汉仪书宋二KW"/>
                <w:kern w:val="0"/>
                <w:szCs w:val="21"/>
              </w:rPr>
              <w:t>年</w:t>
            </w:r>
          </w:p>
        </w:tc>
        <w:tc>
          <w:tcPr>
            <w:tcW w:w="1159"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right"/>
              <w:rPr>
                <w:rFonts w:ascii="宋体;汉仪书宋二KW" w:hAnsi="宋体;汉仪书宋二KW" w:cs="宋体;汉仪书宋二KW"/>
                <w:kern w:val="0"/>
                <w:szCs w:val="21"/>
              </w:rPr>
            </w:pPr>
            <w:r>
              <w:rPr>
                <w:rFonts w:cs="宋体;汉仪书宋二KW" w:ascii="宋体;汉仪书宋二KW" w:hAnsi="宋体;汉仪书宋二KW"/>
                <w:kern w:val="0"/>
                <w:szCs w:val="21"/>
              </w:rPr>
              <w:t>xxxx</w:t>
            </w:r>
            <w:r>
              <w:rPr>
                <w:rFonts w:ascii="宋体;汉仪书宋二KW" w:hAnsi="宋体;汉仪书宋二KW" w:cs="宋体;汉仪书宋二KW"/>
                <w:kern w:val="0"/>
                <w:szCs w:val="21"/>
              </w:rPr>
              <w:t>年</w:t>
            </w:r>
          </w:p>
        </w:tc>
      </w:tr>
      <w:tr>
        <w:trPr>
          <w:trHeight w:val="312" w:hRule="atLeast"/>
          <w:cantSplit w:val="true"/>
        </w:trPr>
        <w:tc>
          <w:tcPr>
            <w:tcW w:w="333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69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t>1</w:t>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t>2</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t>3</w:t>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right"/>
              <w:rPr>
                <w:rFonts w:ascii="宋体;汉仪书宋二KW" w:hAnsi="宋体;汉仪书宋二KW" w:cs="宋体;汉仪书宋二KW"/>
                <w:kern w:val="0"/>
                <w:szCs w:val="21"/>
              </w:rPr>
            </w:pPr>
            <w:r>
              <w:rPr>
                <w:rFonts w:ascii="宋体;汉仪书宋二KW" w:hAnsi="宋体;汉仪书宋二KW" w:cs="宋体;汉仪书宋二KW"/>
                <w:kern w:val="0"/>
                <w:szCs w:val="21"/>
              </w:rPr>
              <w:t>……</w:t>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1</w:t>
            </w:r>
            <w:r>
              <w:rPr>
                <w:rFonts w:ascii="宋体;汉仪书宋二KW" w:hAnsi="宋体;汉仪书宋二KW" w:cs="宋体;汉仪书宋二KW"/>
                <w:kern w:val="0"/>
                <w:szCs w:val="21"/>
              </w:rPr>
              <w:t>、收入</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其中：产品销售（营业）收入</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2</w:t>
            </w:r>
            <w:r>
              <w:rPr>
                <w:rFonts w:ascii="宋体;汉仪书宋二KW" w:hAnsi="宋体;汉仪书宋二KW" w:cs="宋体;汉仪书宋二KW"/>
                <w:kern w:val="0"/>
                <w:szCs w:val="21"/>
              </w:rPr>
              <w:t>、成本费用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其中：生产成本</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 xml:space="preserve">      …</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 xml:space="preserve">      </w:t>
            </w:r>
            <w:r>
              <w:rPr>
                <w:rFonts w:ascii="宋体;汉仪书宋二KW" w:hAnsi="宋体;汉仪书宋二KW" w:cs="宋体;汉仪书宋二KW"/>
                <w:kern w:val="0"/>
                <w:szCs w:val="21"/>
              </w:rPr>
              <w:t>管理费用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 xml:space="preserve">      </w:t>
            </w:r>
            <w:r>
              <w:rPr>
                <w:rFonts w:ascii="宋体;汉仪书宋二KW" w:hAnsi="宋体;汉仪书宋二KW" w:cs="宋体;汉仪书宋二KW"/>
                <w:kern w:val="0"/>
                <w:szCs w:val="21"/>
              </w:rPr>
              <w:t>营业费用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 xml:space="preserve">      </w:t>
            </w:r>
            <w:r>
              <w:rPr>
                <w:rFonts w:ascii="宋体;汉仪书宋二KW" w:hAnsi="宋体;汉仪书宋二KW" w:cs="宋体;汉仪书宋二KW"/>
                <w:kern w:val="0"/>
                <w:szCs w:val="21"/>
              </w:rPr>
              <w:t>财务费用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 xml:space="preserve">      </w:t>
            </w:r>
            <w:r>
              <w:rPr>
                <w:rFonts w:ascii="宋体;汉仪书宋二KW" w:hAnsi="宋体;汉仪书宋二KW" w:cs="宋体;汉仪书宋二KW"/>
                <w:kern w:val="0"/>
                <w:szCs w:val="21"/>
              </w:rPr>
              <w:t>税金及附加</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3</w:t>
            </w:r>
            <w:r>
              <w:rPr>
                <w:rFonts w:ascii="宋体;汉仪书宋二KW" w:hAnsi="宋体;汉仪书宋二KW" w:cs="宋体;汉仪书宋二KW"/>
                <w:kern w:val="0"/>
                <w:szCs w:val="21"/>
              </w:rPr>
              <w:t>、利润总额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4</w:t>
            </w:r>
            <w:r>
              <w:rPr>
                <w:rFonts w:ascii="宋体;汉仪书宋二KW" w:hAnsi="宋体;汉仪书宋二KW" w:cs="宋体;汉仪书宋二KW"/>
                <w:kern w:val="0"/>
                <w:szCs w:val="21"/>
              </w:rPr>
              <w:t>、所得税</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5</w:t>
            </w:r>
            <w:r>
              <w:rPr>
                <w:rFonts w:ascii="宋体;汉仪书宋二KW" w:hAnsi="宋体;汉仪书宋二KW" w:cs="宋体;汉仪书宋二KW"/>
                <w:kern w:val="0"/>
                <w:szCs w:val="21"/>
              </w:rPr>
              <w:t>、净利润</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6</w:t>
            </w:r>
            <w:r>
              <w:rPr>
                <w:rFonts w:ascii="宋体;汉仪书宋二KW" w:hAnsi="宋体;汉仪书宋二KW" w:cs="宋体;汉仪书宋二KW"/>
                <w:kern w:val="0"/>
                <w:szCs w:val="21"/>
              </w:rPr>
              <w:t>、年初贷款余额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7</w:t>
            </w:r>
            <w:r>
              <w:rPr>
                <w:rFonts w:ascii="宋体;汉仪书宋二KW" w:hAnsi="宋体;汉仪书宋二KW" w:cs="宋体;汉仪书宋二KW"/>
                <w:kern w:val="0"/>
                <w:szCs w:val="21"/>
              </w:rPr>
              <w:t>、可还款现金流（净利润</w:t>
            </w:r>
            <w:r>
              <w:rPr>
                <w:rFonts w:cs="宋体;汉仪书宋二KW" w:ascii="宋体;汉仪书宋二KW" w:hAnsi="宋体;汉仪书宋二KW"/>
                <w:kern w:val="0"/>
                <w:szCs w:val="21"/>
              </w:rPr>
              <w:t>+</w:t>
            </w:r>
            <w:r>
              <w:rPr>
                <w:rFonts w:ascii="宋体;汉仪书宋二KW" w:hAnsi="宋体;汉仪书宋二KW" w:cs="宋体;汉仪书宋二KW"/>
                <w:kern w:val="0"/>
                <w:szCs w:val="21"/>
              </w:rPr>
              <w:t>折旧）</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8</w:t>
            </w:r>
            <w:r>
              <w:rPr>
                <w:rFonts w:ascii="宋体;汉仪书宋二KW" w:hAnsi="宋体;汉仪书宋二KW" w:cs="宋体;汉仪书宋二KW"/>
                <w:kern w:val="0"/>
                <w:szCs w:val="21"/>
              </w:rPr>
              <w:t>、年末贷款余额</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rHeight w:val="312" w:hRule="atLeast"/>
        </w:trPr>
        <w:tc>
          <w:tcPr>
            <w:tcW w:w="3335" w:type="dxa"/>
            <w:tcBorders>
              <w:top w:val="single" w:sz="4" w:space="0" w:color="000000"/>
              <w:left w:val="single" w:sz="4" w:space="0" w:color="000000"/>
              <w:bottom w:val="single" w:sz="4" w:space="0" w:color="000000"/>
              <w:right w:val="single" w:sz="4" w:space="0" w:color="000000"/>
            </w:tcBorders>
            <w:vAlign w:val="bottom"/>
          </w:tcPr>
          <w:p>
            <w:pPr>
              <w:pStyle w:val="Normal"/>
              <w:widowControl/>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t>9</w:t>
            </w:r>
            <w:r>
              <w:rPr>
                <w:rFonts w:ascii="宋体;汉仪书宋二KW" w:hAnsi="宋体;汉仪书宋二KW" w:cs="宋体;汉仪书宋二KW"/>
                <w:kern w:val="0"/>
                <w:szCs w:val="21"/>
              </w:rPr>
              <w:t>、净现金流（净利润</w:t>
            </w:r>
            <w:r>
              <w:rPr>
                <w:rFonts w:cs="宋体;汉仪书宋二KW" w:ascii="宋体;汉仪书宋二KW" w:hAnsi="宋体;汉仪书宋二KW"/>
                <w:kern w:val="0"/>
                <w:szCs w:val="21"/>
              </w:rPr>
              <w:t>+</w:t>
            </w:r>
            <w:r>
              <w:rPr>
                <w:rFonts w:ascii="宋体;汉仪书宋二KW" w:hAnsi="宋体;汉仪书宋二KW" w:cs="宋体;汉仪书宋二KW"/>
                <w:kern w:val="0"/>
                <w:szCs w:val="21"/>
              </w:rPr>
              <w:t>折旧</w:t>
            </w:r>
            <w:r>
              <w:rPr>
                <w:rFonts w:cs="宋体;汉仪书宋二KW" w:ascii="宋体;汉仪书宋二KW" w:hAnsi="宋体;汉仪书宋二KW"/>
                <w:kern w:val="0"/>
                <w:szCs w:val="21"/>
              </w:rPr>
              <w:t>+</w:t>
            </w:r>
            <w:r>
              <w:rPr>
                <w:rFonts w:ascii="宋体;汉仪书宋二KW" w:hAnsi="宋体;汉仪书宋二KW" w:cs="宋体;汉仪书宋二KW"/>
                <w:kern w:val="0"/>
                <w:szCs w:val="21"/>
              </w:rPr>
              <w:t>财务费用）</w:t>
            </w:r>
          </w:p>
        </w:tc>
        <w:tc>
          <w:tcPr>
            <w:tcW w:w="694"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2"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67"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c>
          <w:tcPr>
            <w:tcW w:w="11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lineRule="exact" w:line="320"/>
              <w:jc w:val="center"/>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bl>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对于借款人有综合收入的固定资产贷款，可将其综合收入和运营成本结合项目一并测算。</w:t>
      </w:r>
    </w:p>
    <w:p>
      <w:pPr>
        <w:pStyle w:val="Normal"/>
        <w:spacing w:lineRule="exact" w:line="480"/>
        <w:ind w:firstLine="420" w:right="0"/>
        <w:rPr>
          <w:rFonts w:ascii="宋体;汉仪书宋二KW" w:hAnsi="宋体;汉仪书宋二KW" w:cs="宋体;汉仪书宋二KW"/>
          <w:szCs w:val="21"/>
          <w:highlight w:val="yellow"/>
        </w:rPr>
      </w:pPr>
      <w:r>
        <w:rPr>
          <w:rFonts w:cs="宋体;汉仪书宋二KW" w:ascii="宋体;汉仪书宋二KW" w:hAnsi="宋体;汉仪书宋二KW"/>
          <w:szCs w:val="21"/>
        </w:rPr>
        <w:t>2</w:t>
      </w:r>
      <w:r>
        <w:rPr>
          <w:rFonts w:ascii="宋体;汉仪书宋二KW" w:hAnsi="宋体;汉仪书宋二KW" w:cs="宋体;汉仪书宋二KW"/>
          <w:szCs w:val="21"/>
        </w:rPr>
        <w:t>、项</w:t>
      </w:r>
      <w:r>
        <w:rPr>
          <w:rFonts w:ascii="宋体;汉仪书宋二KW" w:hAnsi="宋体;汉仪书宋二KW" w:cs="宋体;汉仪书宋二KW"/>
          <w:szCs w:val="21"/>
          <w:highlight w:val="yellow"/>
        </w:rPr>
        <w:t>目经济可行性及偿债能力指标</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计算项目主要包括财务内部收益率（</w:t>
      </w:r>
      <w:r>
        <w:rPr>
          <w:rFonts w:cs="宋体;汉仪书宋二KW" w:ascii="宋体;汉仪书宋二KW" w:hAnsi="宋体;汉仪书宋二KW"/>
          <w:szCs w:val="21"/>
        </w:rPr>
        <w:t>FIRR</w:t>
      </w:r>
      <w:r>
        <w:rPr>
          <w:rFonts w:ascii="宋体;汉仪书宋二KW" w:hAnsi="宋体;汉仪书宋二KW" w:cs="宋体;汉仪书宋二KW"/>
          <w:szCs w:val="21"/>
        </w:rPr>
        <w:t>）、贷款偿还期（最大偿还能力下）、偿债保证比（客户申请期限下）等，可参照下表计算并分析：</w:t>
      </w:r>
    </w:p>
    <w:tbl>
      <w:tblPr>
        <w:tblW w:w="8522" w:type="dxa"/>
        <w:jc w:val="left"/>
        <w:tblInd w:w="-113" w:type="dxa"/>
        <w:tblLayout w:type="fixed"/>
        <w:tblCellMar>
          <w:top w:w="0" w:type="dxa"/>
          <w:left w:w="108" w:type="dxa"/>
          <w:bottom w:w="0" w:type="dxa"/>
          <w:right w:w="108" w:type="dxa"/>
        </w:tblCellMar>
      </w:tblPr>
      <w:tblGrid>
        <w:gridCol w:w="4275"/>
        <w:gridCol w:w="4247"/>
      </w:tblGrid>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财务评价指标（税后指标）</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center"/>
              <w:rPr>
                <w:rFonts w:ascii="宋体;汉仪书宋二KW" w:hAnsi="宋体;汉仪书宋二KW" w:cs="宋体;汉仪书宋二KW"/>
                <w:kern w:val="0"/>
                <w:szCs w:val="21"/>
              </w:rPr>
            </w:pPr>
            <w:r>
              <w:rPr>
                <w:rFonts w:ascii="宋体;汉仪书宋二KW" w:hAnsi="宋体;汉仪书宋二KW" w:cs="宋体;汉仪书宋二KW"/>
                <w:kern w:val="0"/>
                <w:szCs w:val="21"/>
              </w:rPr>
              <w:t>计算值</w:t>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财务内部收益率（</w:t>
            </w:r>
            <w:r>
              <w:rPr>
                <w:rFonts w:cs="宋体;汉仪书宋二KW" w:ascii="宋体;汉仪书宋二KW" w:hAnsi="宋体;汉仪书宋二KW"/>
                <w:kern w:val="0"/>
                <w:szCs w:val="21"/>
              </w:rPr>
              <w:t>FIRR</w:t>
            </w:r>
            <w:r>
              <w:rPr>
                <w:rFonts w:ascii="宋体;汉仪书宋二KW" w:hAnsi="宋体;汉仪书宋二KW" w:cs="宋体;汉仪书宋二KW"/>
                <w:kern w:val="0"/>
                <w:szCs w:val="21"/>
              </w:rPr>
              <w:t>）</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贷款偿还期（最大偿还能力下）</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r>
        <w:trPr/>
        <w:tc>
          <w:tcPr>
            <w:tcW w:w="4275" w:type="dxa"/>
            <w:tcBorders>
              <w:top w:val="single" w:sz="4" w:space="0" w:color="000000"/>
              <w:left w:val="single" w:sz="4" w:space="0" w:color="000000"/>
              <w:bottom w:val="single" w:sz="4" w:space="0" w:color="000000"/>
              <w:right w:val="single" w:sz="4" w:space="0" w:color="000000"/>
            </w:tcBorders>
          </w:tcPr>
          <w:p>
            <w:pPr>
              <w:pStyle w:val="Normal"/>
              <w:autoSpaceDE w:val="false"/>
              <w:spacing w:lineRule="exact" w:line="320"/>
              <w:jc w:val="left"/>
              <w:rPr>
                <w:rFonts w:ascii="宋体;汉仪书宋二KW" w:hAnsi="宋体;汉仪书宋二KW" w:cs="宋体;汉仪书宋二KW"/>
                <w:kern w:val="0"/>
                <w:szCs w:val="21"/>
              </w:rPr>
            </w:pPr>
            <w:r>
              <w:rPr>
                <w:rFonts w:ascii="宋体;汉仪书宋二KW" w:hAnsi="宋体;汉仪书宋二KW" w:cs="宋体;汉仪书宋二KW"/>
                <w:kern w:val="0"/>
                <w:szCs w:val="21"/>
              </w:rPr>
              <w:t>偿债保证比（客户申请期限下）</w:t>
            </w:r>
          </w:p>
        </w:tc>
        <w:tc>
          <w:tcPr>
            <w:tcW w:w="4247" w:type="dxa"/>
            <w:tcBorders>
              <w:top w:val="single" w:sz="4" w:space="0" w:color="000000"/>
              <w:left w:val="single" w:sz="4" w:space="0" w:color="000000"/>
              <w:bottom w:val="single" w:sz="4" w:space="0" w:color="000000"/>
              <w:right w:val="single" w:sz="4" w:space="0" w:color="000000"/>
            </w:tcBorders>
          </w:tcPr>
          <w:p>
            <w:pPr>
              <w:pStyle w:val="Normal"/>
              <w:autoSpaceDE w:val="false"/>
              <w:snapToGrid w:val="false"/>
              <w:spacing w:lineRule="exact" w:line="320"/>
              <w:jc w:val="left"/>
              <w:rPr>
                <w:rFonts w:ascii="宋体;汉仪书宋二KW" w:hAnsi="宋体;汉仪书宋二KW" w:cs="宋体;汉仪书宋二KW"/>
                <w:kern w:val="0"/>
                <w:szCs w:val="21"/>
              </w:rPr>
            </w:pPr>
            <w:r>
              <w:rPr>
                <w:rFonts w:cs="宋体;汉仪书宋二KW" w:ascii="宋体;汉仪书宋二KW" w:hAnsi="宋体;汉仪书宋二KW"/>
                <w:kern w:val="0"/>
                <w:szCs w:val="21"/>
              </w:rPr>
            </w:r>
          </w:p>
        </w:tc>
      </w:tr>
    </w:tbl>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kern w:val="0"/>
          <w:szCs w:val="21"/>
        </w:rPr>
        <w:t>注：偿债保证比</w:t>
      </w:r>
      <w:r>
        <w:rPr>
          <w:rFonts w:cs="宋体;汉仪书宋二KW" w:ascii="宋体;汉仪书宋二KW" w:hAnsi="宋体;汉仪书宋二KW"/>
          <w:kern w:val="0"/>
          <w:szCs w:val="21"/>
        </w:rPr>
        <w:t>=</w:t>
      </w:r>
      <w:r>
        <w:rPr>
          <w:rFonts w:ascii="宋体;汉仪书宋二KW" w:hAnsi="宋体;汉仪书宋二KW" w:cs="宋体;汉仪书宋二KW"/>
          <w:kern w:val="0"/>
          <w:szCs w:val="21"/>
        </w:rPr>
        <w:t>（经营活动现金流量净额</w:t>
      </w:r>
      <w:r>
        <w:rPr>
          <w:rFonts w:cs="宋体;汉仪书宋二KW" w:ascii="宋体;汉仪书宋二KW" w:hAnsi="宋体;汉仪书宋二KW"/>
          <w:kern w:val="0"/>
          <w:szCs w:val="21"/>
        </w:rPr>
        <w:t>/</w:t>
      </w:r>
      <w:r>
        <w:rPr>
          <w:rFonts w:ascii="宋体;汉仪书宋二KW" w:hAnsi="宋体;汉仪书宋二KW" w:cs="宋体;汉仪书宋二KW"/>
          <w:kern w:val="0"/>
          <w:szCs w:val="21"/>
        </w:rPr>
        <w:t>负债总额）</w:t>
      </w:r>
      <w:r>
        <w:rPr>
          <w:rFonts w:cs="宋体;汉仪书宋二KW" w:ascii="宋体;汉仪书宋二KW" w:hAnsi="宋体;汉仪书宋二KW"/>
          <w:kern w:val="0"/>
          <w:szCs w:val="21"/>
        </w:rPr>
        <w:t>*100%</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项目财务内部收益率和贷款偿还期与同行业同类项目正常财务指标进行比较，如显著低于或高于同类项目应说明原因。</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偿债保证比（客户申请期限下）下如不足，可延长还款期在行业基准期限下测算，并可考虑是否需调整贷款期限。</w:t>
      </w:r>
    </w:p>
    <w:p>
      <w:pPr>
        <w:pStyle w:val="Normal"/>
        <w:spacing w:lineRule="exact" w:line="480"/>
        <w:ind w:firstLine="420" w:right="0"/>
        <w:rPr>
          <w:rFonts w:ascii="宋体;汉仪书宋二KW" w:hAnsi="宋体;汉仪书宋二KW" w:cs="宋体;汉仪书宋二KW"/>
          <w:szCs w:val="21"/>
        </w:rPr>
      </w:pPr>
      <w:r>
        <w:rPr>
          <w:rFonts w:cs="宋体;汉仪书宋二KW" w:ascii="宋体;汉仪书宋二KW" w:hAnsi="宋体;汉仪书宋二KW"/>
          <w:szCs w:val="21"/>
        </w:rPr>
        <w:t>3</w:t>
      </w:r>
      <w:r>
        <w:rPr>
          <w:rFonts w:ascii="宋体;汉仪书宋二KW" w:hAnsi="宋体;汉仪书宋二KW" w:cs="宋体;汉仪书宋二KW"/>
          <w:szCs w:val="21"/>
        </w:rPr>
        <w:t>、不确定性（敏感性）分析</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单因素敏感性分析：可参照下表计算、分析，敏感变动幅度可根据项目及行业情况取值（也可从谨慎性考虑，做单边不利变化测算即可）：</w:t>
      </w:r>
    </w:p>
    <w:tbl>
      <w:tblPr>
        <w:tblW w:w="8522" w:type="dxa"/>
        <w:jc w:val="left"/>
        <w:tblInd w:w="-113" w:type="dxa"/>
        <w:tblLayout w:type="fixed"/>
        <w:tblCellMar>
          <w:top w:w="0" w:type="dxa"/>
          <w:left w:w="108" w:type="dxa"/>
          <w:bottom w:w="0" w:type="dxa"/>
          <w:right w:w="108" w:type="dxa"/>
        </w:tblCellMar>
      </w:tblPr>
      <w:tblGrid>
        <w:gridCol w:w="637"/>
        <w:gridCol w:w="1395"/>
        <w:gridCol w:w="1627"/>
        <w:gridCol w:w="1621"/>
        <w:gridCol w:w="1621"/>
        <w:gridCol w:w="1621"/>
      </w:tblGrid>
      <w:tr>
        <w:trPr/>
        <w:tc>
          <w:tcPr>
            <w:tcW w:w="6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序号</w:t>
            </w:r>
          </w:p>
        </w:tc>
        <w:tc>
          <w:tcPr>
            <w:tcW w:w="1395"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项目</w:t>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变动指数</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财务内部收益率（资本金</w:t>
            </w:r>
            <w:r>
              <w:rPr>
                <w:rFonts w:eastAsia="宋体;汉仪书宋二KW" w:cs="宋体;汉仪书宋二KW" w:ascii="宋体;汉仪书宋二KW" w:hAnsi="宋体;汉仪书宋二KW"/>
                <w:sz w:val="21"/>
                <w:szCs w:val="21"/>
              </w:rPr>
              <w:t>IRR</w:t>
            </w:r>
            <w:r>
              <w:rPr>
                <w:rFonts w:ascii="宋体;汉仪书宋二KW" w:hAnsi="宋体;汉仪书宋二KW" w:cs="宋体;汉仪书宋二KW"/>
                <w:sz w:val="21"/>
                <w:szCs w:val="21"/>
              </w:rPr>
              <w:t>）</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财务内部收益率（全投资</w:t>
            </w:r>
            <w:r>
              <w:rPr>
                <w:rFonts w:eastAsia="宋体;汉仪书宋二KW" w:cs="宋体;汉仪书宋二KW" w:ascii="宋体;汉仪书宋二KW" w:hAnsi="宋体;汉仪书宋二KW"/>
                <w:sz w:val="21"/>
                <w:szCs w:val="21"/>
              </w:rPr>
              <w:t>IRR</w:t>
            </w:r>
            <w:r>
              <w:rPr>
                <w:rFonts w:ascii="宋体;汉仪书宋二KW" w:hAnsi="宋体;汉仪书宋二KW" w:cs="宋体;汉仪书宋二KW"/>
                <w:sz w:val="21"/>
                <w:szCs w:val="21"/>
              </w:rPr>
              <w:t>）</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贷款偿还期（最大偿还能力下）</w:t>
            </w:r>
          </w:p>
        </w:tc>
      </w:tr>
      <w:tr>
        <w:trPr/>
        <w:tc>
          <w:tcPr>
            <w:tcW w:w="637"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395"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正常值</w:t>
            </w:r>
          </w:p>
        </w:tc>
        <w:tc>
          <w:tcPr>
            <w:tcW w:w="1627"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6.62%</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5.15%</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21.41</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1</w:t>
            </w:r>
          </w:p>
        </w:tc>
        <w:tc>
          <w:tcPr>
            <w:tcW w:w="1395"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项目投资</w:t>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增加</w:t>
            </w:r>
            <w:r>
              <w:rPr>
                <w:rFonts w:eastAsia="宋体;汉仪书宋二KW" w:cs="宋体;汉仪书宋二KW" w:ascii="宋体;汉仪书宋二KW" w:hAnsi="宋体;汉仪书宋二KW"/>
                <w:sz w:val="21"/>
                <w:szCs w:val="21"/>
              </w:rPr>
              <w:t>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6.01%</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4.73%</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23.2</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39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减少</w:t>
            </w:r>
            <w:r>
              <w:rPr>
                <w:rFonts w:eastAsia="宋体;汉仪书宋二KW" w:cs="宋体;汉仪书宋二KW" w:ascii="宋体;汉仪书宋二KW" w:hAnsi="宋体;汉仪书宋二KW"/>
                <w:sz w:val="21"/>
                <w:szCs w:val="21"/>
              </w:rPr>
              <w:t>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7.32%</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5.61%</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19.5</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w:t>
            </w:r>
          </w:p>
        </w:tc>
        <w:tc>
          <w:tcPr>
            <w:tcW w:w="1395"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经营成本</w:t>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增加</w:t>
            </w:r>
            <w:r>
              <w:rPr>
                <w:rFonts w:eastAsia="宋体;汉仪书宋二KW" w:cs="宋体;汉仪书宋二KW" w:ascii="宋体;汉仪书宋二KW" w:hAnsi="宋体;汉仪书宋二KW"/>
                <w:sz w:val="21"/>
                <w:szCs w:val="21"/>
              </w:rPr>
              <w:t>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6.15%</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4.82%</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22.7</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39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减少</w:t>
            </w:r>
            <w:r>
              <w:rPr>
                <w:rFonts w:eastAsia="宋体;汉仪书宋二KW" w:cs="宋体;汉仪书宋二KW" w:ascii="宋体;汉仪书宋二KW" w:hAnsi="宋体;汉仪书宋二KW"/>
                <w:sz w:val="21"/>
                <w:szCs w:val="21"/>
              </w:rPr>
              <w:t>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7.10%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5.53%</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20.1</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3</w:t>
            </w:r>
          </w:p>
        </w:tc>
        <w:tc>
          <w:tcPr>
            <w:tcW w:w="1395"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产品售价（非居民水价）</w:t>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增加</w:t>
            </w:r>
            <w:r>
              <w:rPr>
                <w:rFonts w:eastAsia="宋体;汉仪书宋二KW" w:cs="宋体;汉仪书宋二KW" w:ascii="宋体;汉仪书宋二KW" w:hAnsi="宋体;汉仪书宋二KW"/>
                <w:sz w:val="21"/>
                <w:szCs w:val="21"/>
              </w:rPr>
              <w:t>10%</w:t>
            </w:r>
            <w:r>
              <w:rPr>
                <w:rFonts w:ascii="宋体;汉仪书宋二KW" w:hAnsi="宋体;汉仪书宋二KW" w:cs="宋体;汉仪书宋二KW"/>
                <w:sz w:val="21"/>
                <w:szCs w:val="21"/>
              </w:rPr>
              <w:t>（</w:t>
            </w:r>
            <w:r>
              <w:rPr>
                <w:rFonts w:eastAsia="宋体;汉仪书宋二KW" w:cs="宋体;汉仪书宋二KW" w:ascii="宋体;汉仪书宋二KW" w:hAnsi="宋体;汉仪书宋二KW"/>
                <w:sz w:val="21"/>
                <w:szCs w:val="21"/>
              </w:rPr>
              <w:t>+0.37</w:t>
            </w:r>
            <w:r>
              <w:rPr>
                <w:rFonts w:ascii="宋体;汉仪书宋二KW" w:hAnsi="宋体;汉仪书宋二KW" w:cs="宋体;汉仪书宋二KW"/>
                <w:sz w:val="21"/>
                <w:szCs w:val="21"/>
              </w:rPr>
              <w:t>元</w:t>
            </w:r>
            <w:r>
              <w:rPr>
                <w:rFonts w:eastAsia="宋体;汉仪书宋二KW" w:cs="宋体;汉仪书宋二KW" w:ascii="宋体;汉仪书宋二KW" w:hAnsi="宋体;汉仪书宋二KW"/>
                <w:sz w:val="21"/>
                <w:szCs w:val="21"/>
              </w:rPr>
              <w:t>/</w:t>
            </w:r>
            <w:r>
              <w:rPr>
                <w:rFonts w:ascii="宋体;汉仪书宋二KW" w:hAnsi="宋体;汉仪书宋二KW" w:cs="宋体;汉仪书宋二KW"/>
                <w:sz w:val="21"/>
                <w:szCs w:val="21"/>
              </w:rPr>
              <w:t>立方米）</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7.28%</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5.68%</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18.9</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39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减少</w:t>
            </w:r>
            <w:r>
              <w:rPr>
                <w:rFonts w:eastAsia="宋体;汉仪书宋二KW" w:cs="宋体;汉仪书宋二KW" w:ascii="宋体;汉仪书宋二KW" w:hAnsi="宋体;汉仪书宋二KW"/>
                <w:sz w:val="21"/>
                <w:szCs w:val="21"/>
              </w:rPr>
              <w:t>10%</w:t>
            </w:r>
            <w:r>
              <w:rPr>
                <w:rFonts w:ascii="宋体;汉仪书宋二KW" w:hAnsi="宋体;汉仪书宋二KW" w:cs="宋体;汉仪书宋二KW"/>
                <w:sz w:val="21"/>
                <w:szCs w:val="21"/>
              </w:rPr>
              <w:t>（</w:t>
            </w:r>
            <w:r>
              <w:rPr>
                <w:rFonts w:eastAsia="宋体;汉仪书宋二KW" w:cs="宋体;汉仪书宋二KW" w:ascii="宋体;汉仪书宋二KW" w:hAnsi="宋体;汉仪书宋二KW"/>
                <w:sz w:val="21"/>
                <w:szCs w:val="21"/>
              </w:rPr>
              <w:t>-0.37</w:t>
            </w:r>
            <w:r>
              <w:rPr>
                <w:rFonts w:ascii="宋体;汉仪书宋二KW" w:hAnsi="宋体;汉仪书宋二KW" w:cs="宋体;汉仪书宋二KW"/>
                <w:sz w:val="21"/>
                <w:szCs w:val="21"/>
              </w:rPr>
              <w:t>元</w:t>
            </w:r>
            <w:r>
              <w:rPr>
                <w:rFonts w:eastAsia="宋体;汉仪书宋二KW" w:cs="宋体;汉仪书宋二KW" w:ascii="宋体;汉仪书宋二KW" w:hAnsi="宋体;汉仪书宋二KW"/>
                <w:sz w:val="21"/>
                <w:szCs w:val="21"/>
              </w:rPr>
              <w:t>/</w:t>
            </w:r>
            <w:r>
              <w:rPr>
                <w:rFonts w:ascii="宋体;汉仪书宋二KW" w:hAnsi="宋体;汉仪书宋二KW" w:cs="宋体;汉仪书宋二KW"/>
                <w:sz w:val="21"/>
                <w:szCs w:val="21"/>
              </w:rPr>
              <w:t>立方米）</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5.89%</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4.57%</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24.3</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4</w:t>
            </w:r>
          </w:p>
        </w:tc>
        <w:tc>
          <w:tcPr>
            <w:tcW w:w="1395"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产量（供水量）</w:t>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增加</w:t>
            </w:r>
            <w:r>
              <w:rPr>
                <w:rFonts w:eastAsia="宋体;汉仪书宋二KW" w:cs="宋体;汉仪书宋二KW" w:ascii="宋体;汉仪书宋二KW" w:hAnsi="宋体;汉仪书宋二KW"/>
                <w:sz w:val="21"/>
                <w:szCs w:val="21"/>
              </w:rPr>
              <w:t>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7.23%</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5.58%</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19.8</w:t>
            </w:r>
            <w:r>
              <w:rPr>
                <w:rFonts w:ascii="宋体;汉仪书宋二KW" w:hAnsi="宋体;汉仪书宋二KW" w:cs="宋体;汉仪书宋二KW"/>
                <w:sz w:val="21"/>
                <w:szCs w:val="21"/>
              </w:rPr>
              <w:t>年</w:t>
            </w:r>
          </w:p>
        </w:tc>
      </w:tr>
      <w:tr>
        <w:trPr>
          <w:cantSplit w:val="true"/>
        </w:trPr>
        <w:tc>
          <w:tcPr>
            <w:tcW w:w="637"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395"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color w:val="FF0000"/>
                <w:kern w:val="0"/>
                <w:sz w:val="21"/>
                <w:szCs w:val="21"/>
              </w:rPr>
            </w:r>
          </w:p>
        </w:tc>
        <w:tc>
          <w:tcPr>
            <w:tcW w:w="1627"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ascii="宋体;汉仪书宋二KW" w:hAnsi="宋体;汉仪书宋二KW" w:cs="宋体;汉仪书宋二KW"/>
                <w:sz w:val="21"/>
                <w:szCs w:val="21"/>
              </w:rPr>
              <w:t>减少</w:t>
            </w:r>
            <w:r>
              <w:rPr>
                <w:rFonts w:eastAsia="宋体;汉仪书宋二KW" w:cs="宋体;汉仪书宋二KW" w:ascii="宋体;汉仪书宋二KW" w:hAnsi="宋体;汉仪书宋二KW"/>
                <w:sz w:val="21"/>
                <w:szCs w:val="21"/>
              </w:rPr>
              <w:t>10%</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5.98%</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4.67%</w:t>
            </w:r>
          </w:p>
        </w:tc>
        <w:tc>
          <w:tcPr>
            <w:tcW w:w="1621" w:type="dxa"/>
            <w:tcBorders>
              <w:top w:val="single" w:sz="4" w:space="0" w:color="000000"/>
              <w:left w:val="single" w:sz="4" w:space="0" w:color="000000"/>
              <w:bottom w:val="single" w:sz="4" w:space="0" w:color="000000"/>
              <w:right w:val="single" w:sz="4" w:space="0" w:color="000000"/>
            </w:tcBorders>
          </w:tcPr>
          <w:p>
            <w:pPr>
              <w:pStyle w:val="Normal"/>
              <w:spacing w:lineRule="auto" w:line="288" w:before="120" w:after="120"/>
              <w:ind w:right="0"/>
              <w:jc w:val="left"/>
              <w:rPr>
                <w:rFonts w:ascii="宋体;汉仪书宋二KW" w:hAnsi="宋体;汉仪书宋二KW" w:eastAsia="宋体;汉仪书宋二KW" w:cs="宋体;汉仪书宋二KW"/>
                <w:color w:val="FF0000"/>
                <w:kern w:val="0"/>
                <w:sz w:val="21"/>
                <w:szCs w:val="21"/>
              </w:rPr>
            </w:pPr>
            <w:r>
              <w:rPr>
                <w:rFonts w:eastAsia="宋体;汉仪书宋二KW" w:cs="宋体;汉仪书宋二KW" w:ascii="宋体;汉仪书宋二KW" w:hAnsi="宋体;汉仪书宋二KW"/>
                <w:sz w:val="21"/>
                <w:szCs w:val="21"/>
              </w:rPr>
              <w:t>23.6</w:t>
            </w:r>
            <w:r>
              <w:rPr>
                <w:rFonts w:ascii="宋体;汉仪书宋二KW" w:hAnsi="宋体;汉仪书宋二KW" w:cs="宋体;汉仪书宋二KW"/>
                <w:sz w:val="21"/>
                <w:szCs w:val="21"/>
              </w:rPr>
              <w:t>年</w:t>
            </w:r>
          </w:p>
        </w:tc>
      </w:tr>
    </w:tbl>
    <w:p>
      <w:pPr>
        <w:pStyle w:val="Normal"/>
        <w:spacing w:lineRule="exact" w:line="480"/>
        <w:ind w:firstLine="420" w:right="0"/>
        <w:rPr>
          <w:szCs w:val="21"/>
        </w:rPr>
      </w:pPr>
      <w:r>
        <w:rPr>
          <w:szCs w:val="21"/>
        </w:rPr>
        <w:t>盈亏平衡点分析：可选择产品产量、产品价格和主要成本因素进行盈亏平衡点测算和分析。</w:t>
      </w:r>
    </w:p>
    <w:p>
      <w:pPr>
        <w:pStyle w:val="Normal"/>
        <w:spacing w:lineRule="exact" w:line="480"/>
        <w:ind w:firstLine="480" w:right="0"/>
        <w:rPr>
          <w:rFonts w:ascii="黑体;汉仪中黑KW" w:hAnsi="黑体;汉仪中黑KW" w:eastAsia="黑体;汉仪中黑KW" w:cs="黑体;汉仪中黑KW"/>
          <w:b/>
          <w:sz w:val="24"/>
          <w:szCs w:val="24"/>
        </w:rPr>
      </w:pPr>
      <w:r>
        <w:rPr>
          <w:rFonts w:ascii="黑体;汉仪中黑KW" w:hAnsi="黑体;汉仪中黑KW" w:cs="黑体;汉仪中黑KW" w:eastAsia="黑体;汉仪中黑KW"/>
          <w:b/>
          <w:sz w:val="24"/>
          <w:szCs w:val="24"/>
        </w:rPr>
        <w:t>八、授信担保与担保代偿能力（选择性填写）</w:t>
      </w:r>
    </w:p>
    <w:p>
      <w:pPr>
        <w:pStyle w:val="Normal"/>
        <w:spacing w:lineRule="exact" w:line="480"/>
        <w:ind w:firstLine="420" w:right="0"/>
        <w:rPr>
          <w:rFonts w:ascii="Times New Roman" w:hAnsi="Times New Roman" w:eastAsia="宋体;汉仪书宋二KW" w:cs="Times New Roman"/>
          <w:szCs w:val="21"/>
          <w:lang w:eastAsia="zh-CN"/>
        </w:rPr>
      </w:pPr>
      <w:r>
        <w:rPr>
          <w:rFonts w:ascii="宋体" w:hAnsi="宋体" w:eastAsia="宋体"/>
          <w:sz w:val="21"/>
        </w:rPr>
        <w:t>本项目拟采用组合担保方式：特许经营权质押（评估值13,963.70万元）+供水收费权质押+项目资产抵押+邺城供水集团有限公司持有的借款人100%股权质押。项目收入全部进入中信银行监管账户，实行资金封闭管理。</w:t>
      </w:r>
    </w:p>
    <w:p>
      <w:pPr>
        <w:pStyle w:val="Normal"/>
        <w:spacing w:lineRule="exact" w:line="480"/>
        <w:ind w:firstLine="480" w:right="0"/>
        <w:rPr>
          <w:rFonts w:ascii="黑体;汉仪中黑KW" w:hAnsi="黑体;汉仪中黑KW" w:eastAsia="黑体;汉仪中黑KW" w:cs="黑体;汉仪中黑KW"/>
          <w:b/>
          <w:sz w:val="24"/>
          <w:szCs w:val="24"/>
        </w:rPr>
      </w:pPr>
      <w:r>
        <w:rPr>
          <w:rFonts w:ascii="黑体;汉仪中黑KW" w:hAnsi="黑体;汉仪中黑KW" w:cs="黑体;汉仪中黑KW" w:eastAsia="黑体;汉仪中黑KW"/>
          <w:b/>
          <w:sz w:val="24"/>
          <w:szCs w:val="24"/>
        </w:rPr>
        <w:t>九、风险评价与风险控制方案</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1</w:t>
      </w:r>
      <w:r>
        <w:rPr>
          <w:rFonts w:ascii="宋体;汉仪书宋二KW" w:hAnsi="宋体;汉仪书宋二KW" w:cs="宋体;汉仪书宋二KW"/>
          <w:szCs w:val="21"/>
        </w:rPr>
        <w:t>）经营与市场风险：</w:t>
      </w:r>
    </w:p>
    <w:p>
      <w:pPr>
        <w:pStyle w:val="Normal"/>
        <w:spacing w:lineRule="exact" w:line="480"/>
        <w:ind w:firstLine="420" w:right="0"/>
        <w:rPr>
          <w:rFonts w:ascii="宋体;汉仪书宋二KW" w:hAnsi="宋体;汉仪书宋二KW" w:cs="宋体;汉仪书宋二KW"/>
          <w:szCs w:val="21"/>
        </w:rPr>
      </w:pPr>
      <w:r>
        <w:rPr>
          <w:rFonts w:ascii="宋体" w:hAnsi="宋体" w:eastAsia="宋体"/>
          <w:sz w:val="21"/>
        </w:rPr>
        <w:t>供水需求风险：项目供水量受城镇化进度和经济发展影响，存在需求增长不及预期的风险。应对措施：本项目为区域唯一供水主体，供水需求具有刚性；同时地下水超采区治理政策将释放增量需求。</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2</w:t>
      </w:r>
      <w:r>
        <w:rPr>
          <w:rFonts w:ascii="宋体;汉仪书宋二KW" w:hAnsi="宋体;汉仪书宋二KW" w:cs="宋体;汉仪书宋二KW"/>
          <w:szCs w:val="21"/>
        </w:rPr>
        <w:t>）水价调整风险：</w:t>
      </w:r>
      <w:r>
        <w:rPr>
          <w:rFonts w:cs="宋体;汉仪书宋二KW" w:ascii="宋体;汉仪书宋二KW" w:hAnsi="宋体;汉仪书宋二KW"/>
          <w:szCs w:val="21"/>
        </w:rPr>
        <w:t>2028</w:t>
      </w:r>
      <w:r>
        <w:rPr>
          <w:rFonts w:ascii="宋体;汉仪书宋二KW" w:hAnsi="宋体;汉仪书宋二KW" w:cs="宋体;汉仪书宋二KW"/>
          <w:szCs w:val="21"/>
        </w:rPr>
        <w:t>年非居民水价上调</w:t>
      </w:r>
      <w:r>
        <w:rPr>
          <w:rFonts w:cs="宋体;汉仪书宋二KW" w:ascii="宋体;汉仪书宋二KW" w:hAnsi="宋体;汉仪书宋二KW"/>
          <w:szCs w:val="21"/>
        </w:rPr>
        <w:t>1</w:t>
      </w:r>
      <w:r>
        <w:rPr>
          <w:rFonts w:ascii="宋体;汉仪书宋二KW" w:hAnsi="宋体;汉仪书宋二KW" w:cs="宋体;汉仪书宋二KW"/>
          <w:szCs w:val="21"/>
        </w:rPr>
        <w:t>元的承诺可能因种种原因（如 下游大用户反对）无法兑现。应对措施：在协议中设计“水价与原水价挂钩”的条款，若水价不调，则通过政府降低项目公司原水采购价来弥补收入缺口。</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w:t>
      </w:r>
      <w:r>
        <w:rPr>
          <w:rFonts w:cs="宋体;汉仪书宋二KW" w:ascii="宋体;汉仪书宋二KW" w:hAnsi="宋体;汉仪书宋二KW"/>
          <w:szCs w:val="21"/>
        </w:rPr>
        <w:t>3</w:t>
      </w:r>
      <w:r>
        <w:rPr>
          <w:rFonts w:ascii="宋体;汉仪书宋二KW" w:hAnsi="宋体;汉仪书宋二KW" w:cs="宋体;汉仪书宋二KW"/>
          <w:szCs w:val="21"/>
        </w:rPr>
        <w:t>）中法供水相关风险：</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高水价风险：目前向合资公司“中法供水”购买净水价格较高（</w:t>
      </w:r>
      <w:r>
        <w:rPr>
          <w:rFonts w:cs="宋体;汉仪书宋二KW" w:ascii="宋体;汉仪书宋二KW" w:hAnsi="宋体;汉仪书宋二KW"/>
          <w:szCs w:val="21"/>
        </w:rPr>
        <w:t>1.7</w:t>
      </w:r>
      <w:r>
        <w:rPr>
          <w:rFonts w:ascii="宋体;汉仪书宋二KW" w:hAnsi="宋体;汉仪书宋二KW" w:cs="宋体;汉仪书宋二KW"/>
          <w:szCs w:val="21"/>
        </w:rPr>
        <w:t>元</w:t>
      </w:r>
      <w:r>
        <w:rPr>
          <w:rFonts w:cs="宋体;汉仪书宋二KW" w:ascii="宋体;汉仪书宋二KW" w:hAnsi="宋体;汉仪书宋二KW"/>
          <w:szCs w:val="21"/>
        </w:rPr>
        <w:t>/</w:t>
      </w:r>
      <w:r>
        <w:rPr>
          <w:rFonts w:ascii="宋体;汉仪书宋二KW" w:hAnsi="宋体;汉仪书宋二KW" w:cs="宋体;汉仪书宋二KW"/>
          <w:szCs w:val="21"/>
        </w:rPr>
        <w:t>立方米） 。 应对：用其分红抵顶部分原水费，并争取重谈协议。</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移交风险：核心资产“市区净水厂”由中法供水运营，需至</w:t>
      </w:r>
      <w:r>
        <w:rPr>
          <w:rFonts w:cs="宋体;汉仪书宋二KW" w:ascii="宋体;汉仪书宋二KW" w:hAnsi="宋体;汉仪书宋二KW"/>
          <w:szCs w:val="21"/>
        </w:rPr>
        <w:t>2040</w:t>
      </w:r>
      <w:r>
        <w:rPr>
          <w:rFonts w:ascii="宋体;汉仪书宋二KW" w:hAnsi="宋体;汉仪书宋二KW" w:cs="宋体;汉仪书宋二KW"/>
          <w:szCs w:val="21"/>
        </w:rPr>
        <w:t>年底才无偿移交，存在无法按时移交的法律和操作风险。应对：在协议中设置严格的移交条款和违约补偿机制。</w:t>
      </w:r>
    </w:p>
    <w:p>
      <w:pPr>
        <w:pStyle w:val="Normal"/>
        <w:spacing w:lineRule="exact" w:line="480"/>
        <w:ind w:firstLine="420" w:right="0"/>
        <w:rPr>
          <w:rFonts w:ascii="宋体;汉仪书宋二KW" w:hAnsi="宋体;汉仪书宋二KW" w:cs="宋体;汉仪书宋二KW"/>
          <w:szCs w:val="21"/>
        </w:rPr>
      </w:pPr>
      <w:r>
        <w:rPr>
          <w:rFonts w:ascii="宋体;汉仪书宋二KW" w:hAnsi="宋体;汉仪书宋二KW" w:cs="宋体;汉仪书宋二KW"/>
          <w:szCs w:val="21"/>
        </w:rPr>
        <w:t>财务与法律风险：</w:t>
      </w:r>
    </w:p>
    <w:p>
      <w:pPr>
        <w:pStyle w:val="Normal"/>
        <w:spacing w:lineRule="exact" w:line="480"/>
        <w:ind w:firstLine="420" w:right="0"/>
        <w:rPr>
          <w:rFonts w:ascii="宋体;汉仪书宋二KW" w:hAnsi="宋体;汉仪书宋二KW" w:cs="宋体;汉仪书宋二KW"/>
          <w:szCs w:val="21"/>
        </w:rPr>
      </w:pPr>
      <w:r>
        <w:rPr>
          <w:rFonts w:ascii="宋体" w:hAnsi="宋体" w:eastAsia="宋体"/>
          <w:sz w:val="21"/>
        </w:rPr>
        <w:t>资产权属：部分供水设施产权资料待完善。应对措施：在项目移交过程中完善产权登记，确保可质押资产的权属清晰。</w:t>
      </w:r>
    </w:p>
    <w:p>
      <w:pPr>
        <w:pStyle w:val="Normal"/>
        <w:spacing w:lineRule="exact" w:line="480"/>
        <w:ind w:firstLine="420" w:right="0"/>
        <w:rPr>
          <w:rFonts w:ascii="宋体;汉仪书宋二KW" w:hAnsi="宋体;汉仪书宋二KW" w:cs="宋体;汉仪书宋二KW"/>
          <w:szCs w:val="21"/>
        </w:rPr>
      </w:pPr>
      <w:r>
        <w:rPr>
          <w:rFonts w:ascii="宋体" w:hAnsi="宋体" w:eastAsia="宋体"/>
          <w:sz w:val="21"/>
        </w:rPr>
        <w:t>水费回收风险：部分农村供水站水费回收率有待提升。应对措施：建立完善的水费收缴体系，推广智能水表，与村委会合作加强水费催缴。</w:t>
      </w:r>
    </w:p>
    <w:p>
      <w:pPr>
        <w:pStyle w:val="Normal"/>
        <w:spacing w:lineRule="exact" w:line="480"/>
        <w:ind w:firstLine="420" w:right="0"/>
        <w:rPr>
          <w:rFonts w:ascii="宋体;汉仪书宋二KW" w:hAnsi="宋体;汉仪书宋二KW" w:cs="宋体;汉仪书宋二KW"/>
          <w:szCs w:val="21"/>
        </w:rPr>
      </w:pPr>
      <w:r>
        <w:rPr>
          <w:rFonts w:ascii="宋体" w:hAnsi="宋体" w:eastAsia="宋体"/>
          <w:sz w:val="21"/>
        </w:rPr>
        <w:t>融资风险：项目经营期内可能存在后续融资需求。应对措施：项目收入全部进入银行监管账户，按约定条件支付，确保还款来源可控。</w:t>
      </w:r>
    </w:p>
    <w:p>
      <w:pPr>
        <w:pStyle w:val="Normal"/>
        <w:spacing w:lineRule="exact" w:line="480"/>
        <w:ind w:firstLine="420" w:right="0"/>
        <w:rPr>
          <w:rFonts w:ascii="宋体;汉仪书宋二KW" w:hAnsi="宋体;汉仪书宋二KW" w:cs="宋体;汉仪书宋二KW"/>
          <w:szCs w:val="21"/>
        </w:rPr>
      </w:pPr>
      <w:r>
        <w:rPr>
          <w:rFonts w:ascii="宋体" w:hAnsi="宋体" w:eastAsia="宋体"/>
          <w:sz w:val="21"/>
        </w:rPr>
        <w:t>人员安置风险：项目需接收临漳县水利局划转的供水从业人员。应对措施：通过"定岗、定编、定员"优化人员结构，提升运营效率。</w:t>
      </w:r>
    </w:p>
    <w:p>
      <w:pPr>
        <w:pStyle w:val="Normal"/>
        <w:spacing w:lineRule="exact" w:line="480"/>
        <w:ind w:firstLine="480" w:right="0"/>
        <w:rPr>
          <w:rFonts w:ascii="楷体;汉仪楷体KW" w:hAnsi="楷体;汉仪楷体KW" w:eastAsia="楷体;汉仪楷体KW" w:cs="楷体;汉仪楷体KW"/>
          <w:b/>
          <w:sz w:val="24"/>
          <w:szCs w:val="24"/>
        </w:rPr>
      </w:pPr>
      <w:r>
        <w:rPr>
          <w:rFonts w:ascii="楷体;汉仪楷体KW" w:hAnsi="楷体;汉仪楷体KW" w:cs="楷体;汉仪楷体KW" w:eastAsia="楷体;汉仪楷体KW"/>
          <w:b/>
          <w:sz w:val="24"/>
          <w:szCs w:val="24"/>
        </w:rPr>
        <w:t>（二）风险控制方案。</w:t>
      </w:r>
    </w:p>
    <w:p>
      <w:pPr>
        <w:pStyle w:val="Normal"/>
        <w:spacing w:lineRule="exact" w:line="480"/>
        <w:ind w:firstLine="420" w:right="0"/>
        <w:rPr>
          <w:szCs w:val="21"/>
        </w:rPr>
      </w:pPr>
      <w:r>
        <w:rPr>
          <w:szCs w:val="21"/>
        </w:rPr>
        <w:t>针对上述风险说明拟采取的风险控制措施，包括贷款的前提条件、项目资金封闭管理方案、贷后管理方案、对借款人的财务限制性要求等。</w:t>
      </w:r>
    </w:p>
    <w:p>
      <w:pPr>
        <w:pStyle w:val="Normal"/>
        <w:spacing w:lineRule="exact" w:line="480"/>
        <w:ind w:firstLine="480" w:right="0"/>
        <w:rPr>
          <w:sz w:val="24"/>
          <w:szCs w:val="24"/>
        </w:rPr>
      </w:pPr>
      <w:r>
        <w:rPr>
          <w:sz w:val="24"/>
          <w:szCs w:val="24"/>
        </w:rPr>
      </w:r>
    </w:p>
    <w:p>
      <w:pPr>
        <w:pStyle w:val="Normal"/>
        <w:spacing w:lineRule="exact" w:line="480"/>
        <w:ind w:firstLine="480" w:right="0"/>
        <w:rPr>
          <w:rFonts w:ascii="黑体;汉仪中黑KW" w:hAnsi="黑体;汉仪中黑KW" w:eastAsia="黑体;汉仪中黑KW" w:cs="黑体;汉仪中黑KW"/>
          <w:b/>
          <w:sz w:val="24"/>
          <w:szCs w:val="24"/>
          <w:highlight w:val="yellow"/>
        </w:rPr>
      </w:pPr>
      <w:r>
        <w:rPr>
          <w:rFonts w:ascii="黑体;汉仪中黑KW" w:hAnsi="黑体;汉仪中黑KW" w:cs="黑体;汉仪中黑KW" w:eastAsia="黑体;汉仪中黑KW"/>
          <w:b/>
          <w:sz w:val="24"/>
          <w:szCs w:val="24"/>
        </w:rPr>
        <w:t>十、</w:t>
      </w:r>
      <w:r>
        <w:rPr>
          <w:rFonts w:ascii="黑体;汉仪中黑KW" w:hAnsi="黑体;汉仪中黑KW" w:cs="黑体;汉仪中黑KW" w:eastAsia="黑体;汉仪中黑KW"/>
          <w:b/>
          <w:sz w:val="24"/>
          <w:szCs w:val="24"/>
          <w:highlight w:val="yellow"/>
        </w:rPr>
        <w:t>综合评价</w:t>
      </w:r>
    </w:p>
    <w:p>
      <w:pPr>
        <w:pStyle w:val="Normal"/>
        <w:spacing w:lineRule="exact" w:line="480"/>
        <w:ind w:firstLine="480" w:right="0"/>
        <w:rPr>
          <w:rFonts w:ascii="楷体;汉仪楷体KW" w:hAnsi="楷体;汉仪楷体KW" w:eastAsia="楷体;汉仪楷体KW" w:cs="楷体;汉仪楷体KW"/>
          <w:sz w:val="24"/>
          <w:szCs w:val="24"/>
        </w:rPr>
      </w:pPr>
      <w:r>
        <w:rPr>
          <w:rFonts w:ascii="楷体;汉仪楷体KW" w:hAnsi="楷体;汉仪楷体KW" w:cs="楷体;汉仪楷体KW" w:eastAsia="楷体;汉仪楷体KW"/>
          <w:sz w:val="24"/>
          <w:szCs w:val="24"/>
          <w:highlight w:val="yellow"/>
        </w:rPr>
        <w:t>（一）说明项目</w:t>
      </w:r>
      <w:r>
        <w:rPr>
          <w:rFonts w:ascii="楷体;汉仪楷体KW" w:hAnsi="楷体;汉仪楷体KW" w:cs="楷体;汉仪楷体KW" w:eastAsia="楷体;汉仪楷体KW"/>
          <w:sz w:val="24"/>
          <w:szCs w:val="24"/>
        </w:rPr>
        <w:t>理由，包括与申请人原有的合作关系、项目竞争优势以及本笔业务为我行带来的收益。</w:t>
      </w:r>
    </w:p>
    <w:p>
      <w:pPr>
        <w:pStyle w:val="Normal"/>
        <w:numPr>
          <w:ilvl w:val="0"/>
          <w:numId w:val="4"/>
        </w:numPr>
        <w:spacing w:lineRule="exact" w:line="480"/>
        <w:ind w:firstLine="480" w:left="0" w:right="0"/>
        <w:rPr>
          <w:rFonts w:ascii="楷体;汉仪楷体KW" w:hAnsi="楷体;汉仪楷体KW" w:eastAsia="楷体;汉仪楷体KW" w:cs="楷体;汉仪楷体KW"/>
          <w:sz w:val="24"/>
          <w:szCs w:val="24"/>
        </w:rPr>
      </w:pPr>
      <w:r>
        <w:rPr>
          <w:rFonts w:ascii="楷体;汉仪楷体KW" w:hAnsi="楷体;汉仪楷体KW" w:cs="楷体;汉仪楷体KW" w:eastAsia="楷体;汉仪楷体KW"/>
          <w:sz w:val="24"/>
          <w:szCs w:val="24"/>
        </w:rPr>
        <w:t>提请审批决策时关注的问题及其他需要说明的事项。</w:t>
      </w:r>
    </w:p>
    <w:p>
      <w:pPr>
        <w:pStyle w:val="Normal"/>
        <w:numPr>
          <w:ilvl w:val="0"/>
          <w:numId w:val="4"/>
        </w:numPr>
        <w:spacing w:lineRule="exact" w:line="480"/>
        <w:ind w:firstLine="480" w:left="0" w:right="0"/>
        <w:rPr>
          <w:rFonts w:ascii="楷体;汉仪楷体KW" w:hAnsi="楷体;汉仪楷体KW" w:eastAsia="楷体;汉仪楷体KW" w:cs="楷体;汉仪楷体KW"/>
          <w:sz w:val="24"/>
          <w:szCs w:val="24"/>
        </w:rPr>
      </w:pPr>
      <w:r>
        <w:rPr>
          <w:rFonts w:ascii="楷体;汉仪楷体KW" w:hAnsi="楷体;汉仪楷体KW" w:cs="楷体;汉仪楷体KW" w:eastAsia="楷体;汉仪楷体KW"/>
          <w:sz w:val="24"/>
          <w:szCs w:val="24"/>
        </w:rPr>
        <w:t>给出综合性的评价意见，明确表示是否同意。</w:t>
      </w:r>
    </w:p>
    <w:p>
      <w:pPr>
        <w:pStyle w:val="Normal"/>
        <w:spacing w:lineRule="exact" w:line="480"/>
        <w:ind w:firstLine="420" w:right="0"/>
        <w:rPr>
          <w:rFonts w:ascii="宋体;汉仪书宋二KW" w:hAnsi="宋体;汉仪书宋二KW" w:eastAsia="宋体;汉仪书宋二KW" w:cs="宋体;汉仪书宋二KW"/>
          <w:szCs w:val="21"/>
        </w:rPr>
      </w:pPr>
      <w:r>
        <w:rPr>
          <w:rFonts w:ascii="宋体" w:hAnsi="宋体" w:eastAsia="宋体"/>
          <w:sz w:val="21"/>
        </w:rPr>
        <w:t>申请人控股股东邺城供水集团有限公司在供水行业具有丰富经验，项目具有以下优势：</w:t>
        <w:br/>
        <w:t>1. 政策优势：本项目符合国家城乡供水一体化战略和PPP新机制要求，属于市政基础设施领域重点支持项目。临漳县政府高度重视，已出具专题会议纪要和授权批复。</w:t>
        <w:br/>
        <w:t>2. 市场优势：城镇供水具有自然垄断属性，申请人独家持有临漳县供水特许经营权40年，市场竞争风险极低。供水为刚需民生服务，需求稳定可预测。</w:t>
        <w:br/>
        <w:t>3. 收益保障：特许经营40年，期限长、收益稳定。水价由政府定价，收费有保障。收益法评估40年经营权价值13,963.70万元。</w:t>
        <w:br/>
        <w:t>4. 担保充分：特许经营权质押+收费权质押+项目资产抵押+股权质押的组合担保方式，风险缓释措施完善。</w:t>
      </w:r>
    </w:p>
    <w:p>
      <w:pPr>
        <w:pStyle w:val="Normal"/>
        <w:spacing w:lineRule="exact" w:line="480"/>
        <w:ind w:firstLine="420" w:right="0"/>
        <w:rPr>
          <w:rFonts w:ascii="宋体;汉仪书宋二KW" w:hAnsi="宋体;汉仪书宋二KW" w:eastAsia="宋体;汉仪书宋二KW" w:cs="宋体;汉仪书宋二KW"/>
          <w:szCs w:val="21"/>
        </w:rPr>
      </w:pPr>
      <w:r>
        <w:rPr>
          <w:rFonts w:ascii="宋体" w:hAnsi="宋体" w:eastAsia="宋体"/>
          <w:sz w:val="21"/>
        </w:rPr>
        <w:t>综合评价意见：本项目属于政策支持的市政供水基础设施项目，申请人股东在供水行业具有丰富经验，项目具有自然垄断属性、需求稳定、收益有保障、担保充分等特点。建议予以支持，同意为申请人办理固定资产贷款业务。</w:t>
        <w:br/>
        <w:t>请审批决策时关注：（1）可研报告完成后及时补充详细财务测算；（2）贷款条件落实后及时办理各项质押和抵押登记；（3）建立严格的资金封闭管理和贷后监控机制。</w:t>
      </w:r>
    </w:p>
    <w:p>
      <w:pPr>
        <w:pStyle w:val="Normal"/>
        <w:spacing w:lineRule="exact" w:line="480"/>
        <w:rPr>
          <w:rFonts w:ascii="宋体;汉仪书宋二KW" w:hAnsi="宋体;汉仪书宋二KW" w:eastAsia="宋体;汉仪书宋二KW" w:cs="宋体;汉仪书宋二KW"/>
          <w:sz w:val="24"/>
          <w:szCs w:val="24"/>
        </w:rPr>
      </w:pPr>
      <w:r>
        <w:rPr>
          <w:rFonts w:eastAsia="宋体;汉仪书宋二KW" w:cs="宋体;汉仪书宋二KW" w:ascii="宋体;汉仪书宋二KW" w:hAnsi="宋体;汉仪书宋二KW"/>
          <w:sz w:val="24"/>
          <w:szCs w:val="24"/>
        </w:rPr>
      </w:r>
    </w:p>
    <w:p>
      <w:pPr>
        <w:pStyle w:val="Normal"/>
        <w:spacing w:lineRule="exact" w:line="480"/>
        <w:ind w:firstLine="480" w:right="0"/>
        <w:rPr>
          <w:sz w:val="24"/>
          <w:szCs w:val="24"/>
        </w:rPr>
      </w:pPr>
      <w:r>
        <w:rPr>
          <w:sz w:val="24"/>
          <w:szCs w:val="24"/>
        </w:rPr>
      </w:r>
    </w:p>
    <w:sectPr>
      <w:headerReference w:type="default" r:id="rId5"/>
      <w:footerReference w:type="default" r:id="rId6"/>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 w:name="宋体">
    <w:altName w:val="汉仪书宋二KW"/>
    <w:charset w:val="00"/>
    <w:family w:val="auto"/>
    <w:pitch w:val="default"/>
  </w:font>
  <w:font w:name="方正小标宋简体">
    <w:altName w:val="汉仪书宋二KW"/>
    <w:charset w:val="00"/>
    <w:family w:val="auto"/>
    <w:pitch w:val="default"/>
  </w:font>
  <w:font w:name="宋体">
    <w:altName w:val="汉仪书宋二KW"/>
    <w:charset w:val="86"/>
    <w:family w:val="auto"/>
    <w:pitch w:val="default"/>
  </w:font>
  <w:font w:name="黑体">
    <w:altName w:val="汉仪中黑KW"/>
    <w:charset w:val="00"/>
    <w:family w:val="auto"/>
    <w:pitch w:val="default"/>
  </w:font>
  <w:font w:name="楷体">
    <w:altName w:val="汉仪楷体KW"/>
    <w:charset w:val="00"/>
    <w:family w:val="modern"/>
    <w:pitch w:val="default"/>
  </w:font>
  <w:font w:name="仿宋_GB2312">
    <w:altName w:val="方正仿宋_GBK"/>
    <w:charset w:val="00"/>
    <w:family w:val="auto"/>
    <w:pitch w:val="default"/>
  </w:font>
  <w:font w:name="仿宋">
    <w:altName w:val="方正仿宋_GBK"/>
    <w:charset w:val="0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58">
              <wp:simplePos x="0" y="0"/>
              <wp:positionH relativeFrom="margin">
                <wp:align>right</wp:align>
              </wp:positionH>
              <wp:positionV relativeFrom="paragraph">
                <wp:posOffset>635</wp:posOffset>
              </wp:positionV>
              <wp:extent cx="128270" cy="164465"/>
              <wp:effectExtent l="0" t="0" r="0" b="0"/>
              <wp:wrapSquare wrapText="bothSides"/>
              <wp:docPr id="4" name="框架2"/>
              <a:graphic xmlns:a="http://schemas.openxmlformats.org/drawingml/2006/main">
                <a:graphicData uri="http://schemas.microsoft.com/office/word/2010/wordprocessingShape">
                  <wps:wsp>
                    <wps:cNvSpPr txBox="1"/>
                    <wps:spPr>
                      <a:xfrm>
                        <a:off x="0" y="0"/>
                        <a:ext cx="128270" cy="164465"/>
                      </a:xfrm>
                      <a:prstGeom prst="rect"/>
                      <a:solidFill>
                        <a:srgbClr val="FFFFFF">
                          <a:alpha val="0"/>
                        </a:srgbClr>
                      </a:solidFill>
                    </wps:spPr>
                    <wps:txbx>
                      <w:txbxContent>
                        <w:p>
                          <w:pPr>
                            <w:pStyle w:val="Footer"/>
                            <w:pBdr/>
                            <w:rPr>
                              <w:rFonts w:ascii="宋体;汉仪书宋二KW" w:hAnsi="宋体;汉仪书宋二KW" w:eastAsia="宋体;汉仪书宋二KW" w:cs="宋体;汉仪书宋二KW"/>
                            </w:rPr>
                          </w:pPr>
                          <w:r>
                            <w:rPr>
                              <w:rFonts w:ascii="宋体;汉仪书宋二KW" w:hAnsi="宋体;汉仪书宋二KW" w:cs="宋体;汉仪书宋二KW"/>
                            </w:rPr>
                            <w:fldChar w:fldCharType="begin"/>
                          </w:r>
                          <w:r>
                            <w:rPr>
                              <w:rFonts w:ascii="宋体;汉仪书宋二KW" w:hAnsi="宋体;汉仪书宋二KW" w:cs="宋体;汉仪书宋二KW"/>
                            </w:rPr>
                            <w:instrText xml:space="preserve"> PAGE </w:instrText>
                          </w:r>
                          <w:r>
                            <w:rPr>
                              <w:rFonts w:ascii="宋体;汉仪书宋二KW" w:hAnsi="宋体;汉仪书宋二KW" w:cs="宋体;汉仪书宋二KW"/>
                            </w:rPr>
                            <w:fldChar w:fldCharType="separate"/>
                          </w:r>
                          <w:r>
                            <w:rPr>
                              <w:rFonts w:ascii="宋体;汉仪书宋二KW" w:hAnsi="宋体;汉仪书宋二KW" w:cs="宋体;汉仪书宋二KW"/>
                            </w:rPr>
                            <w:t>55</w:t>
                          </w:r>
                          <w:r>
                            <w:rPr>
                              <w:rFonts w:ascii="宋体;汉仪书宋二KW" w:hAnsi="宋体;汉仪书宋二KW" w:cs="宋体;汉仪书宋二KW"/>
                            </w:rPr>
                            <w:fldChar w:fldCharType="end"/>
                          </w:r>
                        </w:p>
                      </w:txbxContent>
                    </wps:txbx>
                    <wps:bodyPr anchor="t" lIns="0" tIns="0" rIns="0" bIns="0">
                      <a:noAutofit/>
                    </wps:bodyPr>
                  </wps:wsp>
                </a:graphicData>
              </a:graphic>
            </wp:anchor>
          </w:drawing>
        </mc:Choice>
        <mc:Fallback>
          <w:pict>
            <v:rect fillcolor="#FFFFFF" style="position:absolute;rotation:-0;width:10.1pt;height:12.95pt;mso-wrap-distance-left:0pt;mso-wrap-distance-right:0pt;mso-wrap-distance-top:0pt;mso-wrap-distance-bottom:0pt;margin-top:0pt;mso-position-vertical:top;mso-position-vertical-relative:text;margin-left:405.2pt;mso-position-horizontal:right;mso-position-horizontal-relative:margin">
              <v:fill opacity="0f"/>
              <v:textbox inset="0in,0in,0in,0in">
                <w:txbxContent>
                  <w:p>
                    <w:pPr>
                      <w:pStyle w:val="Footer"/>
                      <w:pBdr/>
                      <w:rPr>
                        <w:rFonts w:ascii="宋体;汉仪书宋二KW" w:hAnsi="宋体;汉仪书宋二KW" w:eastAsia="宋体;汉仪书宋二KW" w:cs="宋体;汉仪书宋二KW"/>
                      </w:rPr>
                    </w:pPr>
                    <w:r>
                      <w:rPr>
                        <w:rFonts w:ascii="宋体;汉仪书宋二KW" w:hAnsi="宋体;汉仪书宋二KW" w:cs="宋体;汉仪书宋二KW"/>
                      </w:rPr>
                      <w:fldChar w:fldCharType="begin"/>
                    </w:r>
                    <w:r>
                      <w:rPr>
                        <w:rFonts w:ascii="宋体;汉仪书宋二KW" w:hAnsi="宋体;汉仪书宋二KW" w:cs="宋体;汉仪书宋二KW"/>
                      </w:rPr>
                      <w:instrText xml:space="preserve"> PAGE </w:instrText>
                    </w:r>
                    <w:r>
                      <w:rPr>
                        <w:rFonts w:ascii="宋体;汉仪书宋二KW" w:hAnsi="宋体;汉仪书宋二KW" w:cs="宋体;汉仪书宋二KW"/>
                      </w:rPr>
                      <w:fldChar w:fldCharType="separate"/>
                    </w:r>
                    <w:r>
                      <w:rPr>
                        <w:rFonts w:ascii="宋体;汉仪书宋二KW" w:hAnsi="宋体;汉仪书宋二KW" w:cs="宋体;汉仪书宋二KW"/>
                      </w:rPr>
                      <w:t>55</w:t>
                    </w:r>
                    <w:r>
                      <w:rPr>
                        <w:rFonts w:ascii="宋体;汉仪书宋二KW" w:hAnsi="宋体;汉仪书宋二KW" w:cs="宋体;汉仪书宋二KW"/>
                      </w:rPr>
                      <w:fldChar w:fldCharType="end"/>
                    </w:r>
                  </w:p>
                </w:txbxContent>
              </v:textbox>
              <w10:wrap type="square"/>
            </v:rect>
          </w:pict>
        </mc:Fallback>
      </mc:AlternateContent>
    </w:r>
    <w:r>
      <mc:AlternateContent>
        <mc:Choice Requires="wps">
          <w:drawing>
            <wp:anchor behindDoc="1" distT="0" distB="0" distL="114935" distR="114935" simplePos="0" locked="0" layoutInCell="0" allowOverlap="1" relativeHeight="113">
              <wp:simplePos x="0" y="0"/>
              <wp:positionH relativeFrom="margin">
                <wp:align>center</wp:align>
              </wp:positionH>
              <wp:positionV relativeFrom="paragraph">
                <wp:posOffset>635</wp:posOffset>
              </wp:positionV>
              <wp:extent cx="15875" cy="127635"/>
              <wp:effectExtent l="0" t="0" r="0" b="0"/>
              <wp:wrapNone/>
              <wp:docPr id="5" name="框架3"/>
              <a:graphic xmlns:a="http://schemas.openxmlformats.org/drawingml/2006/main">
                <a:graphicData uri="http://schemas.microsoft.com/office/word/2010/wordprocessingShape">
                  <wps:wsp>
                    <wps:cNvSpPr txBox="1"/>
                    <wps:spPr>
                      <a:xfrm>
                        <a:off x="0" y="0"/>
                        <a:ext cx="15875" cy="127635"/>
                      </a:xfrm>
                      <a:prstGeom prst="rect"/>
                      <a:solidFill>
                        <a:srgbClr val="FFFFFF">
                          <a:alpha val="0"/>
                        </a:srgbClr>
                      </a:solidFill>
                    </wps:spPr>
                    <wps:txbx>
                      <w:txbxContent>
                        <w:p>
                          <w:pPr>
                            <w:pStyle w:val="Normal"/>
                            <w:snapToGrid w:val="false"/>
                            <w:rPr>
                              <w:sz w:val="18"/>
                            </w:rPr>
                          </w:pPr>
                          <w:r>
                            <w:rPr>
                              <w:sz w:val="18"/>
                            </w:rPr>
                          </w:r>
                        </w:p>
                      </w:txbxContent>
                    </wps:txbx>
                    <wps:bodyPr anchor="t" lIns="635" tIns="635" rIns="635" bIns="635">
                      <a:spAutoFit/>
                    </wps:bodyPr>
                  </wps:wsp>
                </a:graphicData>
              </a:graphic>
            </wp:anchor>
          </w:drawing>
        </mc:Choice>
        <mc:Fallback>
          <w:pict>
            <v:rect fillcolor="#FFFFFF" style="position:absolute;rotation:-0;width:1.25pt;height:10.05pt;mso-wrap-distance-left:9.05pt;mso-wrap-distance-right:9.05pt;mso-wrap-distance-top:0pt;mso-wrap-distance-bottom:0pt;margin-top:0pt;mso-position-vertical-relative:text;margin-left:207.05pt;mso-position-horizontal:center;mso-position-horizontal-relative:margin">
              <v:fill opacity="0f"/>
              <v:textbox inset="0.000694444444444445in,0.000694444444444445in,0.000694444444444445in,0.000694444444444445in">
                <w:txbxContent>
                  <w:p>
                    <w:pPr>
                      <w:pStyle w:val="Normal"/>
                      <w:snapToGrid w:val="false"/>
                      <w:rPr>
                        <w:sz w:val="18"/>
                      </w:rPr>
                    </w:pPr>
                    <w:r>
                      <w:rPr>
                        <w:sz w:val="18"/>
                      </w:rPr>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nothing"/>
      <w:lvlText w:val="%1、"/>
      <w:lvlJc w:val="left"/>
      <w:pPr>
        <w:tabs>
          <w:tab w:val="num" w:pos="0"/>
        </w:tabs>
        <w:ind w:left="0" w:hanging="0"/>
      </w:pPr>
    </w:lvl>
  </w:abstractNum>
  <w:abstractNum w:abstractNumId="2">
    <w:lvl w:ilvl="0">
      <w:start w:val="2"/>
      <w:numFmt w:val="decimal"/>
      <w:suff w:val="nothing"/>
      <w:lvlText w:val="%1、"/>
      <w:lvlJc w:val="left"/>
      <w:pPr>
        <w:tabs>
          <w:tab w:val="num" w:pos="0"/>
        </w:tabs>
        <w:ind w:left="0" w:hanging="0"/>
      </w:pPr>
    </w:lvl>
  </w:abstractNum>
  <w:abstractNum w:abstractNumId="3">
    <w:lvl w:ilvl="0">
      <w:start w:val="2"/>
      <w:numFmt w:val="decimal"/>
      <w:suff w:val="nothing"/>
      <w:lvlText w:val="%1、"/>
      <w:lvlJc w:val="left"/>
      <w:pPr>
        <w:tabs>
          <w:tab w:val="num" w:pos="0"/>
        </w:tabs>
        <w:ind w:left="0" w:hanging="0"/>
      </w:pPr>
    </w:lvl>
  </w:abstractNum>
  <w:abstractNum w:abstractNumId="4">
    <w:lvl w:ilvl="0">
      <w:start w:val="2"/>
      <w:numFmt w:val="taiwaneseCountingThousand"/>
      <w:suff w:val="nothing"/>
      <w:lvlText w:val="（%1）"/>
      <w:lvlJc w:val="left"/>
      <w:pPr>
        <w:tabs>
          <w:tab w:val="num" w:pos="0"/>
        </w:tabs>
        <w:ind w:left="0" w:hanging="0"/>
      </w:pPr>
    </w:lvl>
  </w:abstractNum>
  <w:abstractNum w:abstractNumId="5">
    <w:lvl w:ilvl="0">
      <w:start w:val="2"/>
      <w:numFmt w:val="decimal"/>
      <w:lvlText w:val="%1."/>
      <w:lvlJc w:val="left"/>
      <w:pPr>
        <w:tabs>
          <w:tab w:val="num" w:pos="420"/>
        </w:tabs>
        <w:ind w:left="0" w:hanging="0"/>
      </w:pPr>
    </w:lvl>
  </w:abstractNum>
  <w:abstractNum w:abstractNumId="6">
    <w:lvl w:ilvl="0">
      <w:start w:val="9"/>
      <w:numFmt w:val="decimal"/>
      <w:suff w:val="nothing"/>
      <w:lvlText w:val="（%1）"/>
      <w:lvlJc w:val="left"/>
      <w:pPr>
        <w:tabs>
          <w:tab w:val="num" w:pos="0"/>
        </w:tabs>
        <w:ind w:left="0" w:hanging="0"/>
      </w:pPr>
    </w:lvl>
  </w:abstractNum>
  <w:abstractNum w:abstractNumId="7">
    <w:lvl w:ilvl="0">
      <w:start w:val="3"/>
      <w:numFmt w:val="decimal"/>
      <w:suff w:val="nothing"/>
      <w:lvlText w:val="%1、"/>
      <w:lvlJc w:val="left"/>
      <w:pPr>
        <w:tabs>
          <w:tab w:val="num" w:pos="0"/>
        </w:tabs>
        <w:ind w:left="0" w:hanging="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50"/>
  <w:defaultTabStop w:val="42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sz w:val="24"/>
        <w:szCs w:val="24"/>
        <w:lang w:val="en-US" w:eastAsia="zh-CN" w:bidi="hi-IN"/>
      </w:rPr>
    </w:rPrDefault>
    <w:pPrDefault>
      <w:pPr>
        <w:suppressAutoHyphens w:val="true"/>
      </w:pPr>
    </w:pPrDefault>
  </w:docDefaults>
  <w:style w:type="paragraph" w:styleId="Normal">
    <w:name w:val="Normal"/>
    <w:next w:val="6"/>
    <w:qFormat/>
    <w:pPr>
      <w:widowControl w:val="false"/>
      <w:bidi w:val="0"/>
      <w:jc w:val="both"/>
    </w:pPr>
    <w:rPr>
      <w:rFonts w:ascii="Times New Roman" w:hAnsi="Times New Roman" w:eastAsia="宋体;汉仪书宋二KW" w:cs="Times New Roman"/>
      <w:color w:val="auto"/>
      <w:kern w:val="2"/>
      <w:sz w:val="21"/>
      <w:szCs w:val="22"/>
      <w:lang w:val="en-US" w:eastAsia="zh-CN" w:bidi="ar-SA"/>
    </w:rPr>
  </w:style>
  <w:style w:type="character" w:styleId="Style14">
    <w:name w:val="默认段落字体"/>
    <w:qFormat/>
    <w:rPr/>
  </w:style>
  <w:style w:type="character" w:styleId="Char">
    <w:name w:val="批注框文本 Char"/>
    <w:qFormat/>
    <w:rPr>
      <w:sz w:val="18"/>
    </w:rPr>
  </w:style>
  <w:style w:type="character" w:styleId="Char1">
    <w:name w:val="页脚 Char"/>
    <w:qFormat/>
    <w:rPr>
      <w:sz w:val="18"/>
    </w:rPr>
  </w:style>
  <w:style w:type="character" w:styleId="Char2">
    <w:name w:val="页眉 Char"/>
    <w:qFormat/>
    <w:rPr>
      <w:sz w:val="18"/>
    </w:rPr>
  </w:style>
  <w:style w:type="character" w:styleId="Strong">
    <w:name w:val="Strong"/>
    <w:basedOn w:val="Style14"/>
    <w:qFormat/>
    <w:rPr>
      <w:b/>
    </w:rPr>
  </w:style>
  <w:style w:type="character" w:styleId="PageNumber">
    <w:name w:val="Page Number"/>
    <w:basedOn w:val="Style14"/>
    <w:rPr/>
  </w:style>
  <w:style w:type="character" w:styleId="Hyperlink">
    <w:name w:val="Hyperlink"/>
    <w:rPr>
      <w:color w:val="0000FF"/>
      <w:u w:val="single"/>
    </w:rPr>
  </w:style>
  <w:style w:type="paragraph" w:styleId="Style15">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next w:val="BodyTextIndent"/>
    <w:pPr>
      <w:autoSpaceDE w:val="false"/>
      <w:jc w:val="left"/>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6">
    <w:name w:val="索引"/>
    <w:basedOn w:val="Normal"/>
    <w:qFormat/>
    <w:pPr>
      <w:suppressLineNumbers/>
    </w:pPr>
    <w:rPr>
      <w:rFonts w:cs="Noto Sans CJK SC"/>
    </w:rPr>
  </w:style>
  <w:style w:type="paragraph" w:styleId="6">
    <w:name w:val="索引 6"/>
    <w:basedOn w:val="Normal"/>
    <w:next w:val="Normal"/>
    <w:qFormat/>
    <w:pPr>
      <w:ind w:hanging="0" w:left="1000" w:right="0"/>
    </w:pPr>
    <w:rPr/>
  </w:style>
  <w:style w:type="paragraph" w:styleId="Style17">
    <w:name w:val="正文缩进"/>
    <w:basedOn w:val="Normal"/>
    <w:qFormat/>
    <w:pPr>
      <w:ind w:firstLine="420" w:left="0" w:right="0"/>
    </w:pPr>
    <w:rPr>
      <w:szCs w:val="20"/>
    </w:rPr>
  </w:style>
  <w:style w:type="paragraph" w:styleId="Style18">
    <w:name w:val="批注文字"/>
    <w:basedOn w:val="Normal"/>
    <w:qFormat/>
    <w:pPr>
      <w:jc w:val="left"/>
    </w:pPr>
    <w:rPr/>
  </w:style>
  <w:style w:type="paragraph" w:styleId="BodyTextIndent">
    <w:name w:val="Body Text Indent"/>
    <w:basedOn w:val="Normal"/>
    <w:next w:val="2"/>
    <w:pPr>
      <w:spacing w:lineRule="auto" w:line="360"/>
      <w:ind w:firstLine="480" w:left="0" w:right="0"/>
    </w:pPr>
    <w:rPr>
      <w:rFonts w:ascii="宋体;汉仪书宋二KW" w:hAnsi="宋体;汉仪书宋二KW" w:cs="宋体;汉仪书宋二KW"/>
      <w:sz w:val="24"/>
      <w:szCs w:val="24"/>
    </w:rPr>
  </w:style>
  <w:style w:type="paragraph" w:styleId="2">
    <w:name w:val="正文文本缩进 2"/>
    <w:basedOn w:val="Normal"/>
    <w:qFormat/>
    <w:pPr>
      <w:ind w:firstLine="624" w:left="0" w:right="17"/>
    </w:pPr>
    <w:rPr>
      <w:sz w:val="32"/>
    </w:rPr>
  </w:style>
  <w:style w:type="paragraph" w:styleId="Style19">
    <w:name w:val="批注框文本"/>
    <w:basedOn w:val="Normal"/>
    <w:qFormat/>
    <w:pPr/>
    <w:rPr>
      <w:sz w:val="18"/>
    </w:rPr>
  </w:style>
  <w:style w:type="paragraph" w:styleId="Style2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rPr>
  </w:style>
  <w:style w:type="paragraph" w:styleId="FootnoteText">
    <w:name w:val="Footnote Text"/>
    <w:basedOn w:val="Normal"/>
    <w:pPr>
      <w:snapToGrid w:val="false"/>
      <w:jc w:val="left"/>
    </w:pPr>
    <w:rPr>
      <w:sz w:val="18"/>
    </w:rPr>
  </w:style>
  <w:style w:type="paragraph" w:styleId="Style21">
    <w:name w:val="普通(网站)"/>
    <w:basedOn w:val="Normal"/>
    <w:qFormat/>
    <w:pPr>
      <w:spacing w:before="100" w:after="100"/>
      <w:ind w:hanging="0" w:left="0" w:right="0"/>
      <w:jc w:val="left"/>
    </w:pPr>
    <w:rPr>
      <w:kern w:val="0"/>
      <w:sz w:val="24"/>
      <w:lang w:val="en-US" w:eastAsia="zh-CN" w:bidi="ar"/>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汉仪书宋二KW" w:cs="Times New Roman"/>
      <w:color w:val="auto"/>
      <w:kern w:val="2"/>
      <w:sz w:val="21"/>
      <w:szCs w:val="21"/>
      <w:lang w:val="en-US" w:eastAsia="zh-CN" w:bidi="ar-SA"/>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汉仪书宋二KW" w:cs="Times New Roman"/>
      <w:color w:val="auto"/>
      <w:kern w:val="2"/>
      <w:sz w:val="21"/>
      <w:szCs w:val="20"/>
      <w:lang w:val="en-US" w:eastAsia="zh-CN" w:bidi="ar-SA"/>
    </w:rPr>
  </w:style>
  <w:style w:type="paragraph" w:styleId="ListParagraph">
    <w:name w:val="List Paragraph"/>
    <w:basedOn w:val="Normal"/>
    <w:qFormat/>
    <w:pPr>
      <w:ind w:firstLine="420" w:left="0" w:right="0"/>
    </w:pPr>
    <w:rPr/>
  </w:style>
  <w:style w:type="paragraph" w:styleId="1">
    <w:name w:val="正文缩进1"/>
    <w:basedOn w:val="Normal"/>
    <w:next w:val="Normal"/>
    <w:qFormat/>
    <w:pPr>
      <w:spacing w:lineRule="exact" w:line="400"/>
      <w:textAlignment w:val="baseline"/>
    </w:pPr>
    <w:rPr>
      <w:rFonts w:eastAsia="楷体_GB2312;汉仪楷体简"/>
      <w:spacing w:val="8"/>
      <w:kern w:val="0"/>
      <w:sz w:val="28"/>
      <w:szCs w:val="20"/>
    </w:rPr>
  </w:style>
  <w:style w:type="paragraph" w:styleId="New">
    <w:name w:val="正文 New"/>
    <w:qFormat/>
    <w:pPr>
      <w:widowControl w:val="false"/>
      <w:bidi w:val="0"/>
      <w:jc w:val="both"/>
    </w:pPr>
    <w:rPr>
      <w:rFonts w:ascii="Times New Roman" w:hAnsi="Times New Roman" w:eastAsia="宋体;汉仪书宋二KW" w:cs="Times New Roman"/>
      <w:color w:val="auto"/>
      <w:kern w:val="2"/>
      <w:sz w:val="21"/>
      <w:szCs w:val="24"/>
      <w:lang w:val="en-US" w:eastAsia="zh-CN" w:bidi="ar-SA"/>
    </w:rPr>
  </w:style>
  <w:style w:type="paragraph" w:styleId="3">
    <w:name w:val="样式3"/>
    <w:basedOn w:val="Normal"/>
    <w:qFormat/>
    <w:pPr>
      <w:spacing w:lineRule="auto" w:line="360" w:before="25" w:after="25"/>
      <w:ind w:firstLine="480" w:left="0" w:right="0"/>
    </w:pPr>
    <w:rPr>
      <w:rFonts w:eastAsia="楷体_GB2312;汉仪楷体简"/>
      <w:color w:val="000000"/>
      <w:kern w:val="0"/>
      <w:sz w:val="24"/>
      <w:szCs w:val="21"/>
    </w:rPr>
  </w:style>
  <w:style w:type="paragraph" w:styleId="Style22">
    <w:name w:val="表格内容"/>
    <w:basedOn w:val="Normal"/>
    <w:qFormat/>
    <w:pPr>
      <w:widowControl w:val="false"/>
      <w:suppressLineNumbers/>
    </w:pPr>
    <w:rPr/>
  </w:style>
  <w:style w:type="paragraph" w:styleId="Style23">
    <w:name w:val="表格标题"/>
    <w:basedOn w:val="Style22"/>
    <w:qFormat/>
    <w:pPr>
      <w:suppressLineNumbers/>
      <w:jc w:val="center"/>
    </w:pPr>
    <w:rPr>
      <w:b/>
      <w:bCs/>
    </w:rPr>
  </w:style>
  <w:style w:type="paragraph" w:styleId="Style24">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2020-08-31T09:43:00Z</dcterms:created>
  <dc:creator>PC</dc:creator>
  <dc:description/>
  <dc:language>zh-CN</dc:language>
  <cp:lastModifiedBy>rong</cp:lastModifiedBy>
  <cp:lastPrinted>2024-12-28T03:08:00Z</cp:lastPrinted>
  <dcterms:modified xsi:type="dcterms:W3CDTF">2026-03-27T17:11:53Z</dcterms:modified>
  <cp:revision>4</cp:revision>
  <dc:subject/>
  <dc:title>中信银行流动资金贷款类授信业务分行调查报告模板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F8DD42D9CC6DCF50800859674F81A603</vt:lpwstr>
  </property>
  <property fmtid="{D5CDD505-2E9C-101B-9397-08002B2CF9AE}" pid="3" name="KSOProductBuildVer">
    <vt:lpwstr>2052-12.1.25205.25205</vt:lpwstr>
  </property>
</Properties>
</file>