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56"/>
        </w:rPr>
        <w:t>A股不对称战场</w:t>
        <w:br/>
        <w:t>操盘手册（完整版）</w:t>
      </w:r>
    </w:p>
    <w:p>
      <w:pPr>
        <w:jc w:val="center"/>
      </w:pPr>
      <w:r>
        <w:rPr>
          <w:color w:val="646464"/>
          <w:sz w:val="28"/>
        </w:rPr>
        <w:t>截至 2026-04-19 | 含18章 + 实盘案例库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第一部分：盘口微观分析</w:t>
      </w:r>
    </w:p>
    <w:p>
      <w:r>
        <w:t xml:space="preserve">  第一章 工具中性原则</w:t>
      </w:r>
    </w:p>
    <w:p>
      <w:r>
        <w:t xml:space="preserve">  第二章 小单占比阈值</w:t>
      </w:r>
    </w:p>
    <w:p>
      <w:r>
        <w:t xml:space="preserve">  第三章 价格墙理论</w:t>
      </w:r>
    </w:p>
    <w:p>
      <w:r>
        <w:t xml:space="preserve">  第四章 成交量的本质</w:t>
      </w:r>
    </w:p>
    <w:p>
      <w:r>
        <w:t xml:space="preserve">  第五章 千档盘口分析方法</w:t>
      </w:r>
    </w:p>
    <w:p>
      <w:r>
        <w:rPr>
          <w:b/>
        </w:rPr>
        <w:t>第二部分：主力行为分析</w:t>
      </w:r>
    </w:p>
    <w:p>
      <w:r>
        <w:t xml:space="preserve">  第六章 主力操盘三种手法</w:t>
      </w:r>
    </w:p>
    <w:p>
      <w:r>
        <w:t xml:space="preserve">  第七章 拉高出货识别</w:t>
      </w:r>
    </w:p>
    <w:p>
      <w:r>
        <w:t xml:space="preserve">  第八章 主力控盘度判断</w:t>
      </w:r>
    </w:p>
    <w:p>
      <w:r>
        <w:t xml:space="preserve">  第九章 主力拉升动力分析</w:t>
      </w:r>
    </w:p>
    <w:p>
      <w:r>
        <w:rPr>
          <w:b/>
        </w:rPr>
        <w:t>第三部分：选股与择时</w:t>
      </w:r>
    </w:p>
    <w:p>
      <w:r>
        <w:t xml:space="preserve">  第十章 股东人数选股</w:t>
      </w:r>
    </w:p>
    <w:p>
      <w:r>
        <w:t xml:space="preserve">  第十一章 价格区间选股</w:t>
      </w:r>
    </w:p>
    <w:p>
      <w:r>
        <w:t xml:space="preserve">  第十二章 趋势跟踪三步法</w:t>
      </w:r>
    </w:p>
    <w:p>
      <w:r>
        <w:t xml:space="preserve">  第十三章 盈亏比与仓位管理</w:t>
      </w:r>
    </w:p>
    <w:p>
      <w:r>
        <w:rPr>
          <w:b/>
        </w:rPr>
        <w:t>第四部分：操盘手理论（庄家视角）</w:t>
      </w:r>
    </w:p>
    <w:p>
      <w:r>
        <w:t xml:space="preserve">  第十四章 控盘坐庄模型推演</w:t>
      </w:r>
    </w:p>
    <w:p>
      <w:r>
        <w:t xml:space="preserve">  第十五章 妖股形态必要条件</w:t>
      </w:r>
    </w:p>
    <w:p>
      <w:r>
        <w:rPr>
          <w:b/>
        </w:rPr>
        <w:t>第五部分：心智纪律</w:t>
      </w:r>
    </w:p>
    <w:p>
      <w:r>
        <w:t xml:space="preserve">  第十六章 无我交易</w:t>
      </w:r>
    </w:p>
    <w:p>
      <w:r>
        <w:t xml:space="preserve">  第十七章 震荡市纪律</w:t>
      </w:r>
    </w:p>
    <w:p>
      <w:r>
        <w:t xml:space="preserve">  第十八章 周末效应</w:t>
      </w:r>
    </w:p>
    <w:p>
      <w:r>
        <w:rPr>
          <w:b/>
        </w:rPr>
        <w:t>第六部分：实盘案例库</w:t>
      </w:r>
    </w:p>
    <w:p>
      <w:r>
        <w:t>附录A 交易成本对比</w:t>
      </w:r>
    </w:p>
    <w:p>
      <w:r>
        <w:t>附录B 关键阈值速查表</w:t>
      </w:r>
    </w:p>
    <w:p>
      <w:r>
        <w:br w:type="page"/>
      </w:r>
    </w:p>
    <w:p>
      <w:pPr>
        <w:pStyle w:val="Heading1"/>
      </w:pPr>
      <w:r>
        <w:t>第一部分：盘口微观分析</w:t>
      </w:r>
    </w:p>
    <w:p>
      <w:pPr>
        <w:pStyle w:val="Heading2"/>
      </w:pPr>
      <w:r>
        <w:t>第一章 工具中性原则</w:t>
      </w:r>
    </w:p>
    <w:p>
      <w:r>
        <w:t>核心理念：技术指标（MACD/RSI/均线）不预判未来，只描述当前状态。</w:t>
      </w:r>
    </w:p>
    <w:p>
      <w:pPr>
        <w:pStyle w:val="ListBullet"/>
      </w:pPr>
      <w:r>
        <w:t>用"如果...那么..."代替"所以...会..."。</w:t>
      </w:r>
    </w:p>
    <w:p>
      <w:pPr>
        <w:pStyle w:val="ListBullet"/>
      </w:pPr>
      <w:r>
        <w:t>阻力位是观察区，不是卖出点。</w:t>
      </w:r>
    </w:p>
    <w:p>
      <w:pPr>
        <w:pStyle w:val="ListBullet"/>
      </w:pPr>
      <w:r>
        <w:t>买卖逻辑必须对称：跟随买入，跟随卖出。</w:t>
      </w:r>
    </w:p>
    <w:p>
      <w:pPr>
        <w:pStyle w:val="Heading2"/>
      </w:pPr>
      <w:r>
        <w:t>第二章 小单占比阈值</w:t>
      </w:r>
    </w:p>
    <w:p>
      <w:r>
        <w:t>数据来源：2026-04-02 实盘量化（600666奥瑞德 + 002788鹭燕）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吸筹</w:t>
            </w:r>
          </w:p>
        </w:tc>
        <w:tc>
          <w:tcPr>
            <w:tcW w:type="dxa" w:w="2880"/>
          </w:tcPr>
          <w:p>
            <w:r>
              <w:t>卖盘小单&gt;80% + 买盘小单&lt;30% + 价格稳定 + 铁底未动</w:t>
            </w:r>
          </w:p>
        </w:tc>
        <w:tc>
          <w:tcPr>
            <w:tcW w:type="dxa" w:w="2880"/>
          </w:tcPr>
          <w:p>
            <w:r>
              <w:t>主力在收集筹码</w:t>
            </w:r>
          </w:p>
        </w:tc>
      </w:tr>
      <w:tr>
        <w:tc>
          <w:tcPr>
            <w:tcW w:type="dxa" w:w="2880"/>
          </w:tcPr>
          <w:p>
            <w:r>
              <w:t>出货</w:t>
            </w:r>
          </w:p>
        </w:tc>
        <w:tc>
          <w:tcPr>
            <w:tcW w:type="dxa" w:w="2880"/>
          </w:tcPr>
          <w:p>
            <w:r>
              <w:t>买盘小单&gt;80% + 卖盘大单密集 + 价格区间下移</w:t>
            </w:r>
          </w:p>
        </w:tc>
        <w:tc>
          <w:tcPr>
            <w:tcW w:type="dxa" w:w="2880"/>
          </w:tcPr>
          <w:p>
            <w:r>
              <w:t>主力在派发</w:t>
            </w:r>
          </w:p>
        </w:tc>
      </w:tr>
      <w:tr>
        <w:tc>
          <w:tcPr>
            <w:tcW w:type="dxa" w:w="2880"/>
          </w:tcPr>
          <w:p>
            <w:r>
              <w:t>散户主导</w:t>
            </w:r>
          </w:p>
        </w:tc>
        <w:tc>
          <w:tcPr>
            <w:tcW w:type="dxa" w:w="2880"/>
          </w:tcPr>
          <w:p>
            <w:r>
              <w:t>买卖盘小单占比均衡(各50-60%)，无明显大单</w:t>
            </w:r>
          </w:p>
        </w:tc>
        <w:tc>
          <w:tcPr>
            <w:tcW w:type="dxa" w:w="2880"/>
          </w:tcPr>
          <w:p>
            <w:r>
              <w:t>无主力参与</w:t>
            </w:r>
          </w:p>
        </w:tc>
      </w:tr>
      <w:tr>
        <w:tc>
          <w:tcPr>
            <w:tcW w:type="dxa" w:w="2880"/>
          </w:tcPr>
          <w:p>
            <w:r>
              <w:t>对倒</w:t>
            </w:r>
          </w:p>
        </w:tc>
        <w:tc>
          <w:tcPr>
            <w:tcW w:type="dxa" w:w="2880"/>
          </w:tcPr>
          <w:p>
            <w:r>
              <w:t>买卖盘同时出现大单，金额接近，快速交替</w:t>
            </w:r>
          </w:p>
        </w:tc>
        <w:tc>
          <w:tcPr>
            <w:tcW w:type="dxa" w:w="2880"/>
          </w:tcPr>
          <w:p>
            <w:r>
              <w:t>主力在做量</w:t>
            </w:r>
          </w:p>
        </w:tc>
      </w:tr>
    </w:tbl>
    <w:p/>
    <w:p>
      <w:r>
        <w:t>实操四步判断法：</w:t>
      </w:r>
    </w:p>
    <w:p>
      <w:pPr>
        <w:pStyle w:val="ListNumber"/>
      </w:pPr>
      <w:r>
        <w:t>第1步：看逐笔成交的买卖比</w:t>
      </w:r>
    </w:p>
    <w:p>
      <w:pPr>
        <w:pStyle w:val="ListNumber"/>
      </w:pPr>
      <w:r>
        <w:t>第2步：统计买/卖盘小单占比</w:t>
      </w:r>
    </w:p>
    <w:p>
      <w:pPr>
        <w:pStyle w:val="ListNumber"/>
      </w:pPr>
      <w:r>
        <w:t>第3步：对照价格区间是否稳定</w:t>
      </w:r>
    </w:p>
    <w:p>
      <w:pPr>
        <w:pStyle w:val="ListNumber"/>
      </w:pPr>
      <w:r>
        <w:t>第4步：检查铁底（万手托单）是否存在</w:t>
      </w:r>
    </w:p>
    <w:p>
      <w:pPr>
        <w:pStyle w:val="Heading2"/>
      </w:pPr>
      <w:r>
        <w:t>第三章 价格墙理论</w:t>
      </w:r>
    </w:p>
    <w:p>
      <w:r>
        <w:t>核心定义：价格墙 = 某价位堆积万手级别挂单（压单=天花板，托单=铁底）。</w:t>
      </w:r>
    </w:p>
    <w:p>
      <w:r>
        <w:t>核心机制：控制者在现价上下挂大单，中间区间是散户投票区。控制者通过反向操作收割：</w:t>
      </w:r>
    </w:p>
    <w:p>
      <w:pPr>
        <w:pStyle w:val="ListBullet"/>
      </w:pPr>
      <w:r>
        <w:t>人多 → 撤地板下跌洗盘</w:t>
      </w:r>
    </w:p>
    <w:p>
      <w:pPr>
        <w:pStyle w:val="ListBullet"/>
      </w:pPr>
      <w:r>
        <w:t>人少 → 撤天花板喷发</w:t>
      </w:r>
    </w:p>
    <w:p>
      <w:pPr>
        <w:pStyle w:val="ListBullet"/>
      </w:pPr>
      <w:r>
        <w:t>30%止损率：马丁策略+长持者不会被洗，正好洗30%摇摆筹码。</w:t>
      </w:r>
    </w:p>
    <w:p/>
    <w:p>
      <w:r>
        <w:t>价格墙厚度变化规律：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变化方向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25万→10万→5万→消失</w:t>
            </w:r>
          </w:p>
        </w:tc>
        <w:tc>
          <w:tcPr>
            <w:tcW w:type="dxa" w:w="4320"/>
          </w:tcPr>
          <w:p>
            <w:r>
              <w:t>主力撤退，准备发车</w:t>
            </w:r>
          </w:p>
        </w:tc>
      </w:tr>
      <w:tr>
        <w:tc>
          <w:tcPr>
            <w:tcW w:type="dxa" w:w="4320"/>
          </w:tcPr>
          <w:p>
            <w:r>
              <w:t>5万→10万→25万</w:t>
            </w:r>
          </w:p>
        </w:tc>
        <w:tc>
          <w:tcPr>
            <w:tcW w:type="dxa" w:w="4320"/>
          </w:tcPr>
          <w:p>
            <w:r>
              <w:t>主力加压，准备出货</w:t>
            </w:r>
          </w:p>
        </w:tc>
      </w:tr>
    </w:tbl>
    <w:p>
      <w:pPr>
        <w:pStyle w:val="Heading2"/>
      </w:pPr>
      <w:r>
        <w:t>第四章 成交量的本质</w:t>
      </w:r>
    </w:p>
    <w:p>
      <w:r>
        <w:t>核心认知：成交量是分歧指标，不是方向信号。放量只能说明买卖双方想法不一样，不知道谁对。</w:t>
      </w:r>
    </w:p>
    <w:p>
      <w:r>
        <w:t>四种量价关系：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底部无量涨停</w:t>
            </w:r>
          </w:p>
        </w:tc>
        <w:tc>
          <w:tcPr>
            <w:tcW w:type="dxa" w:w="4320"/>
          </w:tcPr>
          <w:p>
            <w:r>
              <w:t>没人卖，真强</w:t>
            </w:r>
          </w:p>
        </w:tc>
      </w:tr>
      <w:tr>
        <w:tc>
          <w:tcPr>
            <w:tcW w:type="dxa" w:w="4320"/>
          </w:tcPr>
          <w:p>
            <w:r>
              <w:t>底部放量涨停</w:t>
            </w:r>
          </w:p>
        </w:tc>
        <w:tc>
          <w:tcPr>
            <w:tcW w:type="dxa" w:w="4320"/>
          </w:tcPr>
          <w:p>
            <w:r>
              <w:t>有人卖，可能对倒，观察次日</w:t>
            </w:r>
          </w:p>
        </w:tc>
      </w:tr>
      <w:tr>
        <w:tc>
          <w:tcPr>
            <w:tcW w:type="dxa" w:w="4320"/>
          </w:tcPr>
          <w:p>
            <w:r>
              <w:t>高位放巨量冲高回落</w:t>
            </w:r>
          </w:p>
        </w:tc>
        <w:tc>
          <w:tcPr>
            <w:tcW w:type="dxa" w:w="4320"/>
          </w:tcPr>
          <w:p>
            <w:r>
              <w:t>主力大规模派发，危险</w:t>
            </w:r>
          </w:p>
        </w:tc>
      </w:tr>
      <w:tr>
        <w:tc>
          <w:tcPr>
            <w:tcW w:type="dxa" w:w="4320"/>
          </w:tcPr>
          <w:p>
            <w:r>
              <w:t>高位缩量下跌</w:t>
            </w:r>
          </w:p>
        </w:tc>
        <w:tc>
          <w:tcPr>
            <w:tcW w:type="dxa" w:w="4320"/>
          </w:tcPr>
          <w:p>
            <w:r>
              <w:t>没人接盘，更危险</w:t>
            </w:r>
          </w:p>
        </w:tc>
      </w:tr>
    </w:tbl>
    <w:p>
      <w:pPr>
        <w:pStyle w:val="Heading2"/>
      </w:pPr>
      <w:r>
        <w:t>第五章 千档盘口分析方法</w:t>
      </w:r>
    </w:p>
    <w:p>
      <w:r>
        <w:t>工具：本地OCR（skills/local-ocr/ocr_logic.py），禁止用视觉模型。</w:t>
      </w:r>
    </w:p>
    <w:p>
      <w:r>
        <w:t>关注三要素：委比变化、买/卖盘总量对比、大单分布。</w:t>
      </w:r>
    </w:p>
    <w:p>
      <w:r>
        <w:t>核心规则：委比 = 哪边人多 → 人多的那边要被反向收割。</w:t>
      </w:r>
    </w:p>
    <w:p>
      <w:r>
        <w:br w:type="page"/>
      </w:r>
    </w:p>
    <w:p>
      <w:pPr>
        <w:pStyle w:val="Heading1"/>
      </w:pPr>
      <w:r>
        <w:t>第二部分：主力行为分析</w:t>
      </w:r>
    </w:p>
    <w:p>
      <w:pPr>
        <w:pStyle w:val="Heading2"/>
      </w:pPr>
      <w:r>
        <w:t>第六章 主力操盘三种手法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手法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案例</w:t>
            </w:r>
          </w:p>
        </w:tc>
      </w:tr>
      <w:tr>
        <w:tc>
          <w:tcPr>
            <w:tcW w:type="dxa" w:w="2880"/>
          </w:tcPr>
          <w:p>
            <w:r>
              <w:t>A手法</w:t>
            </w:r>
          </w:p>
        </w:tc>
        <w:tc>
          <w:tcPr>
            <w:tcW w:type="dxa" w:w="2880"/>
          </w:tcPr>
          <w:p>
            <w:r>
              <w:t>拉高→封板→消耗封单→次日低开（单边出货）</w:t>
            </w:r>
          </w:p>
        </w:tc>
        <w:tc>
          <w:tcPr>
            <w:tcW w:type="dxa" w:w="2880"/>
          </w:tcPr>
          <w:p>
            <w:r>
              <w:t>鹭燕</w:t>
            </w:r>
          </w:p>
        </w:tc>
      </w:tr>
      <w:tr>
        <w:tc>
          <w:tcPr>
            <w:tcW w:type="dxa" w:w="2880"/>
          </w:tcPr>
          <w:p>
            <w:r>
              <w:t>B手法</w:t>
            </w:r>
          </w:p>
        </w:tc>
        <w:tc>
          <w:tcPr>
            <w:tcW w:type="dxa" w:w="2880"/>
          </w:tcPr>
          <w:p>
            <w:r>
              <w:t>吸筹→出货→回补→再拉→再出（两头剥皮）</w:t>
            </w:r>
          </w:p>
        </w:tc>
        <w:tc>
          <w:tcPr>
            <w:tcW w:type="dxa" w:w="2880"/>
          </w:tcPr>
          <w:p>
            <w:r>
              <w:t>奥瑞德</w:t>
            </w:r>
          </w:p>
        </w:tc>
      </w:tr>
      <w:tr>
        <w:tc>
          <w:tcPr>
            <w:tcW w:type="dxa" w:w="2880"/>
          </w:tcPr>
          <w:p>
            <w:r>
              <w:t>C手法</w:t>
            </w:r>
          </w:p>
        </w:tc>
        <w:tc>
          <w:tcPr>
            <w:tcW w:type="dxa" w:w="2880"/>
          </w:tcPr>
          <w:p>
            <w:r>
              <w:t>连续涨停→高位横盘出货→阴跌</w:t>
            </w:r>
          </w:p>
        </w:tc>
        <w:tc>
          <w:tcPr>
            <w:tcW w:type="dxa" w:w="2880"/>
          </w:tcPr>
          <w:p>
            <w:r>
              <w:t>妖股模式</w:t>
            </w:r>
          </w:p>
        </w:tc>
      </w:tr>
    </w:tbl>
    <w:p>
      <w:pPr>
        <w:pStyle w:val="Heading2"/>
      </w:pPr>
      <w:r>
        <w:t>第七章 拉高出货识别</w:t>
      </w:r>
    </w:p>
    <w:p>
      <w:r>
        <w:t>完整识别链条（2026-04-16 鹭燕完整验证）：</w:t>
      </w:r>
    </w:p>
    <w:p>
      <w:pPr>
        <w:pStyle w:val="ListNumber"/>
      </w:pPr>
      <w:r>
        <w:t>第1步：封单消耗</w:t>
      </w:r>
    </w:p>
    <w:p>
      <w:pPr>
        <w:pStyle w:val="ListNumber"/>
      </w:pPr>
      <w:r>
        <w:t>第2步：集合竞价未涨停</w:t>
      </w:r>
    </w:p>
    <w:p>
      <w:pPr>
        <w:pStyle w:val="ListNumber"/>
      </w:pPr>
      <w:r>
        <w:t>第3步：盘口委比翻负</w:t>
      </w:r>
    </w:p>
    <w:p>
      <w:pPr>
        <w:pStyle w:val="ListNumber"/>
      </w:pPr>
      <w:r>
        <w:t>第4步：超大单净流出</w:t>
      </w:r>
    </w:p>
    <w:p>
      <w:pPr>
        <w:pStyle w:val="ListNumber"/>
      </w:pPr>
      <w:r>
        <w:t>第5步：逐笔卖:买比例恶化</w:t>
      </w:r>
    </w:p>
    <w:p>
      <w:pPr>
        <w:pStyle w:val="ListNumber"/>
      </w:pPr>
      <w:r>
        <w:t>第6步：价格崩塌</w:t>
      </w:r>
    </w:p>
    <w:p/>
    <w:p>
      <w:r>
        <w:t>关键信号阈值：</w:t>
      </w:r>
    </w:p>
    <w:p>
      <w:pPr>
        <w:pStyle w:val="ListBullet"/>
      </w:pPr>
      <w:r>
        <w:t>集合竞价未涨停 = 出货确认第一步</w:t>
      </w:r>
    </w:p>
    <w:p>
      <w:pPr>
        <w:pStyle w:val="ListBullet"/>
      </w:pPr>
      <w:r>
        <w:t>委比从正转负 = 诱多结束</w:t>
      </w:r>
    </w:p>
    <w:p>
      <w:pPr>
        <w:pStyle w:val="ListBullet"/>
      </w:pPr>
      <w:r>
        <w:t>超大单4分钟净流出 &gt;1000万 = 实锤</w:t>
      </w:r>
    </w:p>
    <w:p>
      <w:pPr>
        <w:pStyle w:val="ListBullet"/>
      </w:pPr>
      <w:r>
        <w:t>逐笔卖:买 &gt;3:1 = 加速出货</w:t>
      </w:r>
    </w:p>
    <w:p>
      <w:r>
        <w:rPr>
          <w:b/>
        </w:rPr>
        <w:t>重要纠正（Adam）：出货区间下沿 ≠ 支撑位。</w:t>
      </w:r>
    </w:p>
    <w:p>
      <w:pPr>
        <w:pStyle w:val="Heading2"/>
      </w:pPr>
      <w:r>
        <w:t>第八章 主力控盘度判断</w:t>
      </w:r>
    </w:p>
    <w:p>
      <w:r>
        <w:t>控盘甜区：流通盘的30-50%。</w:t>
      </w:r>
    </w:p>
    <w:p>
      <w:pPr>
        <w:pStyle w:val="ListBullet"/>
      </w:pPr>
      <w:r>
        <w:t>80%控盘理论上利润最大，但现实中几乎不可能（举牌线+减持新规限制）。</w:t>
      </w:r>
    </w:p>
    <w:p>
      <w:pPr>
        <w:pStyle w:val="ListBullet"/>
      </w:pPr>
      <w:r>
        <w:t>50%控盘实操中最灵活，进退有余。</w:t>
      </w:r>
    </w:p>
    <w:p>
      <w:r>
        <w:t>控盘度判断方法：</w:t>
      </w:r>
    </w:p>
    <w:p>
      <w:pPr>
        <w:pStyle w:val="ListBullet"/>
      </w:pPr>
      <w:r>
        <w:t>股东人数减少 + 人均持股量增加</w:t>
      </w:r>
    </w:p>
    <w:p>
      <w:pPr>
        <w:pStyle w:val="ListBullet"/>
      </w:pPr>
      <w:r>
        <w:t>成交量萎缩但价格稳定</w:t>
      </w:r>
    </w:p>
    <w:p>
      <w:pPr>
        <w:pStyle w:val="ListBullet"/>
      </w:pPr>
      <w:r>
        <w:t>极度缩量（日成交&lt;常态的1/3）</w:t>
      </w:r>
    </w:p>
    <w:p>
      <w:pPr>
        <w:pStyle w:val="Heading2"/>
      </w:pPr>
      <w:r>
        <w:t>第九章 主力拉升动力分析</w:t>
      </w:r>
    </w:p>
    <w:p>
      <w:r>
        <w:t>拉升三条件（缺一不可）：</w:t>
      </w:r>
    </w:p>
    <w:p>
      <w:r>
        <w:t>1. 筹码清洗完毕（极度缩量=筹码锁定）</w:t>
      </w:r>
    </w:p>
    <w:p>
      <w:r>
        <w:t>2. 板块有风（板块轮动主线）</w:t>
      </w:r>
    </w:p>
    <w:p>
      <w:r>
        <w:t>3. 大盘配合（稳定或上涨）</w:t>
      </w:r>
    </w:p>
    <w:p/>
    <w:p>
      <w:r>
        <w:t>拉升历史规律：极度缩量 → 突然放量涨停 → 阴跌出货</w:t>
      </w:r>
    </w:p>
    <w:p>
      <w:r>
        <w:t>主力成本估算：横盘区均价 ≈ 主力成本</w:t>
      </w:r>
    </w:p>
    <w:p>
      <w:r>
        <w:br w:type="page"/>
      </w:r>
    </w:p>
    <w:p>
      <w:pPr>
        <w:pStyle w:val="Heading1"/>
      </w:pPr>
      <w:r>
        <w:t>第三部分：选股与择时</w:t>
      </w:r>
    </w:p>
    <w:p>
      <w:pPr>
        <w:pStyle w:val="Heading2"/>
      </w:pPr>
      <w:r>
        <w:t>第十章 股东人数选股</w:t>
      </w:r>
    </w:p>
    <w:p>
      <w:r>
        <w:t>甜区：2万-20万人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人数区间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2-5万人</w:t>
            </w:r>
          </w:p>
        </w:tc>
        <w:tc>
          <w:tcPr>
            <w:tcW w:type="dxa" w:w="4320"/>
          </w:tcPr>
          <w:p>
            <w:r>
              <w:t>高度集中，主力控盘迹象明显</w:t>
            </w:r>
          </w:p>
        </w:tc>
      </w:tr>
      <w:tr>
        <w:tc>
          <w:tcPr>
            <w:tcW w:type="dxa" w:w="4320"/>
          </w:tcPr>
          <w:p>
            <w:r>
              <w:t>5-10万人</w:t>
            </w:r>
          </w:p>
        </w:tc>
        <w:tc>
          <w:tcPr>
            <w:tcW w:type="dxa" w:w="4320"/>
          </w:tcPr>
          <w:p>
            <w:r>
              <w:t>中等集中，主力建仓中期</w:t>
            </w:r>
          </w:p>
        </w:tc>
      </w:tr>
      <w:tr>
        <w:tc>
          <w:tcPr>
            <w:tcW w:type="dxa" w:w="4320"/>
          </w:tcPr>
          <w:p>
            <w:r>
              <w:t>10-20万人</w:t>
            </w:r>
          </w:p>
        </w:tc>
        <w:tc>
          <w:tcPr>
            <w:tcW w:type="dxa" w:w="4320"/>
          </w:tcPr>
          <w:p>
            <w:r>
              <w:t>开始分散，主力可能在派发</w:t>
            </w:r>
          </w:p>
        </w:tc>
      </w:tr>
      <w:tr>
        <w:tc>
          <w:tcPr>
            <w:tcW w:type="dxa" w:w="4320"/>
          </w:tcPr>
          <w:p>
            <w:r>
              <w:t>&gt;20万人</w:t>
            </w:r>
          </w:p>
        </w:tc>
        <w:tc>
          <w:tcPr>
            <w:tcW w:type="dxa" w:w="4320"/>
          </w:tcPr>
          <w:p>
            <w:r>
              <w:t>散户化，基本没戏</w:t>
            </w:r>
          </w:p>
        </w:tc>
      </w:tr>
      <w:tr>
        <w:tc>
          <w:tcPr>
            <w:tcW w:type="dxa" w:w="4320"/>
          </w:tcPr>
          <w:p>
            <w:r>
              <w:t>&lt;2万人</w:t>
            </w:r>
          </w:p>
        </w:tc>
        <w:tc>
          <w:tcPr>
            <w:tcW w:type="dxa" w:w="4320"/>
          </w:tcPr>
          <w:p>
            <w:r>
              <w:t>筹码太集中或僵尸股</w:t>
            </w:r>
          </w:p>
        </w:tc>
      </w:tr>
    </w:tbl>
    <w:p/>
    <w:p>
      <w:r>
        <w:t>披露频率差异：</w:t>
      </w:r>
    </w:p>
    <w:p>
      <w:pPr>
        <w:pStyle w:val="ListBullet"/>
      </w:pPr>
      <w:r>
        <w:t>深交所（0开头）：每10个交易日更新一次（一个月2-3次）</w:t>
      </w:r>
    </w:p>
    <w:p>
      <w:pPr>
        <w:pStyle w:val="ListBullet"/>
      </w:pPr>
      <w:r>
        <w:t>上交所（6开头）：只在季报/年报披露（一个季度1次）</w:t>
      </w:r>
    </w:p>
    <w:p/>
    <w:p>
      <w:r>
        <w:t>最佳信号：股东人数连续2-3期递减 + 人均持股量上升 + 股价低位横盘</w:t>
      </w:r>
    </w:p>
    <w:p>
      <w:r>
        <w:t>⚠️ 数据有10天滞后，需配合量价关系判断</w:t>
      </w:r>
    </w:p>
    <w:p>
      <w:pPr>
        <w:pStyle w:val="Heading2"/>
      </w:pPr>
      <w:r>
        <w:t>第十一章 价格区间选股</w:t>
      </w:r>
    </w:p>
    <w:p>
      <w:r>
        <w:t>散户最佳机会窗口：10-50元</w:t>
      </w:r>
    </w:p>
    <w:p>
      <w:pPr>
        <w:pStyle w:val="ListBullet"/>
      </w:pPr>
      <w:r>
        <w:t>5元以下：低价股，流动性差，盈亏比低，主力不愿碰</w:t>
      </w:r>
    </w:p>
    <w:p>
      <w:pPr>
        <w:pStyle w:val="ListBullet"/>
      </w:pPr>
      <w:r>
        <w:t>100元以上：不是散户机会，看都别看</w:t>
      </w:r>
    </w:p>
    <w:p>
      <w:pPr>
        <w:pStyle w:val="Heading2"/>
      </w:pPr>
      <w:r>
        <w:t>第十二章 趋势跟踪三步法</w:t>
      </w:r>
    </w:p>
    <w:p>
      <w:r>
        <w:t>口诀：观察资金在哪 → 等待突破 → 发车再入，倒车离场</w:t>
      </w:r>
    </w:p>
    <w:p>
      <w:r>
        <w:t>三不原则：</w:t>
      </w:r>
    </w:p>
    <w:p>
      <w:pPr>
        <w:pStyle w:val="ListBullet"/>
      </w:pPr>
      <w:r>
        <w:t>不猜底（等资金进场再跟）</w:t>
      </w:r>
    </w:p>
    <w:p>
      <w:pPr>
        <w:pStyle w:val="ListBullet"/>
      </w:pPr>
      <w:r>
        <w:t>不猜顶（看到倒车就走）</w:t>
      </w:r>
    </w:p>
    <w:p>
      <w:pPr>
        <w:pStyle w:val="ListBullet"/>
      </w:pPr>
      <w:r>
        <w:t>不贪心（不赚最后一个铜板）</w:t>
      </w:r>
    </w:p>
    <w:p>
      <w:r>
        <w:rPr>
          <w:b/>
        </w:rPr>
        <w:t>铁律：涨停开盘必走。涨停 = 流动性最好的出货窗口。</w:t>
      </w:r>
    </w:p>
    <w:p>
      <w:pPr>
        <w:pStyle w:val="Heading2"/>
      </w:pPr>
      <w:r>
        <w:t>第十三章 盈亏比与仓位管理</w:t>
      </w:r>
    </w:p>
    <w:p>
      <w:r>
        <w:t>最优仓位公式（凯利公式）：</w:t>
      </w:r>
    </w:p>
    <w:p>
      <w:r>
        <w:t>仓位 = (胜率 × 赔率 - 败率) / 赔率</w:t>
      </w:r>
    </w:p>
    <w:p>
      <w:r>
        <w:t>实际使用取半（保守原则）。</w:t>
      </w:r>
    </w:p>
    <w:p>
      <w:r>
        <w:t>盈亏比不达标（&lt;2:1）不进场。</w:t>
      </w:r>
    </w:p>
    <w:p>
      <w:r>
        <w:t>高盈亏比只在恐惧和不耐烦中产生。</w:t>
      </w:r>
    </w:p>
    <w:p>
      <w:r>
        <w:br w:type="page"/>
      </w:r>
    </w:p>
    <w:p>
      <w:pPr>
        <w:pStyle w:val="Heading1"/>
      </w:pPr>
      <w:r>
        <w:t>第四部分：操盘手理论（庄家视角）</w:t>
      </w:r>
    </w:p>
    <w:p>
      <w:pPr>
        <w:pStyle w:val="Heading2"/>
      </w:pPr>
      <w:r>
        <w:t>第十四章 控盘坐庄模型推演</w:t>
      </w:r>
    </w:p>
    <w:p>
      <w:r>
        <w:t>3-15-10形态（经典妖股套路）：</w:t>
      </w:r>
    </w:p>
    <w:p>
      <w:pPr>
        <w:pStyle w:val="ListBullet"/>
      </w:pPr>
      <w:r>
        <w:t>3→5：试盘+吸筹（缓慢放量）</w:t>
      </w:r>
    </w:p>
    <w:p>
      <w:pPr>
        <w:pStyle w:val="ListBullet"/>
      </w:pPr>
      <w:r>
        <w:t>5→10：主升浪（连续涨停，制造人气）</w:t>
      </w:r>
    </w:p>
    <w:p>
      <w:pPr>
        <w:pStyle w:val="ListBullet"/>
      </w:pPr>
      <w:r>
        <w:t>10→15：加速赶顶（最疯狂，吸引散户接力）</w:t>
      </w:r>
    </w:p>
    <w:p>
      <w:pPr>
        <w:pStyle w:val="ListBullet"/>
      </w:pPr>
      <w:r>
        <w:t>15→10：高位派发（横盘震荡出货）</w:t>
      </w:r>
    </w:p>
    <w:p/>
    <w:p>
      <w:r>
        <w:t>50%流通控盘是实操甜区：</w:t>
      </w:r>
    </w:p>
    <w:p>
      <w:r>
        <w:t>外面50%筹码中，真正活跃的只有15-20%</w:t>
      </w:r>
    </w:p>
    <w:p>
      <w:r>
        <w:t>实际浮动筹码只有总股本的7-10%</w:t>
      </w:r>
    </w:p>
    <w:p>
      <w:r>
        <w:t>用1-2亿就能拉动股价</w:t>
      </w:r>
    </w:p>
    <w:p/>
    <w:p>
      <w:r>
        <w:t>大资金交易成本对比：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大资金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散户</w:t>
            </w:r>
          </w:p>
        </w:tc>
      </w:tr>
      <w:tr>
        <w:tc>
          <w:tcPr>
            <w:tcW w:type="dxa" w:w="2880"/>
          </w:tcPr>
          <w:p>
            <w:r>
              <w:t>佣金</w:t>
            </w:r>
          </w:p>
        </w:tc>
        <w:tc>
          <w:tcPr>
            <w:tcW w:type="dxa" w:w="2880"/>
          </w:tcPr>
          <w:p>
            <w:r>
              <w:t>万1</w:t>
            </w:r>
          </w:p>
        </w:tc>
        <w:tc>
          <w:tcPr>
            <w:tcW w:type="dxa" w:w="2880"/>
          </w:tcPr>
          <w:p>
            <w:r>
              <w:t>万2.5</w:t>
            </w:r>
          </w:p>
        </w:tc>
      </w:tr>
      <w:tr>
        <w:tc>
          <w:tcPr>
            <w:tcW w:type="dxa" w:w="2880"/>
          </w:tcPr>
          <w:p>
            <w:r>
              <w:t>过户费</w:t>
            </w:r>
          </w:p>
        </w:tc>
        <w:tc>
          <w:tcPr>
            <w:tcW w:type="dxa" w:w="2880"/>
          </w:tcPr>
          <w:p>
            <w:r>
              <w:t>万0.5</w:t>
            </w:r>
          </w:p>
        </w:tc>
        <w:tc>
          <w:tcPr>
            <w:tcW w:type="dxa" w:w="2880"/>
          </w:tcPr>
          <w:p>
            <w:r>
              <w:t>万0.5</w:t>
            </w:r>
          </w:p>
        </w:tc>
      </w:tr>
      <w:tr>
        <w:tc>
          <w:tcPr>
            <w:tcW w:type="dxa" w:w="2880"/>
          </w:tcPr>
          <w:p>
            <w:r>
              <w:t>印花税</w:t>
            </w:r>
          </w:p>
        </w:tc>
        <w:tc>
          <w:tcPr>
            <w:tcW w:type="dxa" w:w="2880"/>
          </w:tcPr>
          <w:p>
            <w:r>
              <w:t>千1（卖出）</w:t>
            </w:r>
          </w:p>
        </w:tc>
        <w:tc>
          <w:tcPr>
            <w:tcW w:type="dxa" w:w="2880"/>
          </w:tcPr>
          <w:p>
            <w:r>
              <w:t>千1（卖出）</w:t>
            </w:r>
          </w:p>
        </w:tc>
      </w:tr>
      <w:tr>
        <w:tc>
          <w:tcPr>
            <w:tcW w:type="dxa" w:w="2880"/>
          </w:tcPr>
          <w:p>
            <w:r>
              <w:t>一个来回</w:t>
            </w:r>
          </w:p>
        </w:tc>
        <w:tc>
          <w:tcPr>
            <w:tcW w:type="dxa" w:w="2880"/>
          </w:tcPr>
          <w:p>
            <w:r>
              <w:t>~千1.3</w:t>
            </w:r>
          </w:p>
        </w:tc>
        <w:tc>
          <w:tcPr>
            <w:tcW w:type="dxa" w:w="2880"/>
          </w:tcPr>
          <w:p>
            <w:r>
              <w:t>~千3.5</w:t>
            </w:r>
          </w:p>
        </w:tc>
      </w:tr>
    </w:tbl>
    <w:p/>
    <w:p>
      <w:r>
        <w:t>庄家利润三来源：筹码优势 + 成本优势 + 信息优势</w:t>
      </w:r>
    </w:p>
    <w:p>
      <w:pPr>
        <w:pStyle w:val="Heading2"/>
      </w:pPr>
      <w:r>
        <w:t>第十五章 妖股形态必要条件</w:t>
      </w:r>
    </w:p>
    <w:p>
      <w:r>
        <w:t>同时满足四条才能走出妖股形态：</w:t>
      </w:r>
    </w:p>
    <w:p>
      <w:r>
        <w:t>1. 绝对控盘（&gt;60%，实操中30-50%更常见）</w:t>
      </w:r>
    </w:p>
    <w:p>
      <w:r>
        <w:t>2. 没有大资金对手盘</w:t>
      </w:r>
    </w:p>
    <w:p>
      <w:r>
        <w:t>3. 市场情绪配合（牛市或题材热点）</w:t>
      </w:r>
    </w:p>
    <w:p>
      <w:r>
        <w:t>4. 出货阶段有足够的散户涌入</w:t>
      </w:r>
    </w:p>
    <w:p/>
    <w:p>
      <w:r>
        <w:t>四条缺一条，形态就走不出来。看到的妖股都是幸存者偏差——走不出来的K线上根本不会出现3-15-10。</w:t>
      </w:r>
    </w:p>
    <w:p>
      <w:r>
        <w:br w:type="page"/>
      </w:r>
    </w:p>
    <w:p>
      <w:pPr>
        <w:pStyle w:val="Heading1"/>
      </w:pPr>
      <w:r>
        <w:t>第五部分：心智纪律</w:t>
      </w:r>
    </w:p>
    <w:p>
      <w:pPr>
        <w:pStyle w:val="Heading2"/>
      </w:pPr>
      <w:r>
        <w:t>第十六章 无我交易</w:t>
      </w:r>
    </w:p>
    <w:p>
      <w:r>
        <w:t>核心测试：如果今天空仓，我会以当前价买入吗？</w:t>
      </w:r>
    </w:p>
    <w:p>
      <w:r>
        <w:t>答案是否定的 → 不要因为持仓而持有</w:t>
      </w:r>
    </w:p>
    <w:p>
      <w:r>
        <w:t>沉没成本谬误：已亏的钱不是钱，未来的盈亏才是决策依据</w:t>
      </w:r>
    </w:p>
    <w:p>
      <w:pPr>
        <w:pStyle w:val="Heading2"/>
      </w:pPr>
      <w:r>
        <w:t>第十七章 震荡市纪律</w:t>
      </w:r>
    </w:p>
    <w:p>
      <w:r>
        <w:t>追跌杀涨（不是追涨杀跌）</w:t>
      </w:r>
    </w:p>
    <w:p>
      <w:r>
        <w:t>恐惧时买入，兴奋时卖出</w:t>
      </w:r>
    </w:p>
    <w:p>
      <w:pPr>
        <w:pStyle w:val="Heading2"/>
      </w:pPr>
      <w:r>
        <w:t>第十八章 周末效应</w:t>
      </w:r>
    </w:p>
    <w:p>
      <w:r>
        <w:t>周末前游资通常减仓避险</w:t>
      </w:r>
    </w:p>
    <w:p>
      <w:r>
        <w:t>周五不追高，除非板块确定性强</w:t>
      </w:r>
    </w:p>
    <w:p>
      <w:r>
        <w:br w:type="page"/>
      </w:r>
    </w:p>
    <w:p>
      <w:pPr>
        <w:pStyle w:val="Heading1"/>
      </w:pPr>
      <w:r>
        <w:t>第六部分：实盘案例库</w:t>
      </w:r>
    </w:p>
    <w:p>
      <w:pPr>
        <w:pStyle w:val="Heading2"/>
      </w:pPr>
      <w:r>
        <w:t>成功案例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关键信号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600666奥瑞德</w:t>
            </w:r>
          </w:p>
        </w:tc>
        <w:tc>
          <w:tcPr>
            <w:tcW w:type="dxa" w:w="1728"/>
          </w:tcPr>
          <w:p>
            <w:r>
              <w:t>2026-04-02</w:t>
            </w:r>
          </w:p>
        </w:tc>
        <w:tc>
          <w:tcPr>
            <w:tcW w:type="dxa" w:w="1728"/>
          </w:tcPr>
          <w:p>
            <w:r>
              <w:t>压盘吸筹</w:t>
            </w:r>
          </w:p>
        </w:tc>
        <w:tc>
          <w:tcPr>
            <w:tcW w:type="dxa" w:w="1728"/>
          </w:tcPr>
          <w:p>
            <w:r>
              <w:t>卖盘小单&gt;80%，买盘平均152手</w:t>
            </w:r>
          </w:p>
        </w:tc>
        <w:tc>
          <w:tcPr>
            <w:tcW w:type="dxa" w:w="1728"/>
          </w:tcPr>
          <w:p>
            <w:r>
              <w:t>4.5建仓，6.5清仓</w:t>
            </w:r>
          </w:p>
        </w:tc>
      </w:tr>
      <w:tr>
        <w:tc>
          <w:tcPr>
            <w:tcW w:type="dxa" w:w="1728"/>
          </w:tcPr>
          <w:p>
            <w:r>
              <w:t>002788鹭燕</w:t>
            </w:r>
          </w:p>
        </w:tc>
        <w:tc>
          <w:tcPr>
            <w:tcW w:type="dxa" w:w="1728"/>
          </w:tcPr>
          <w:p>
            <w:r>
              <w:t>2026-04-03</w:t>
            </w:r>
          </w:p>
        </w:tc>
        <w:tc>
          <w:tcPr>
            <w:tcW w:type="dxa" w:w="1728"/>
          </w:tcPr>
          <w:p>
            <w:r>
              <w:t>试仓卖出</w:t>
            </w:r>
          </w:p>
        </w:tc>
        <w:tc>
          <w:tcPr>
            <w:tcW w:type="dxa" w:w="1728"/>
          </w:tcPr>
          <w:p>
            <w:r>
              <w:t>天量冲高回落+换手30%+</w:t>
            </w:r>
          </w:p>
        </w:tc>
        <w:tc>
          <w:tcPr>
            <w:tcW w:type="dxa" w:w="1728"/>
          </w:tcPr>
          <w:p>
            <w:r>
              <w:t>16.97买200股，17.37卖</w:t>
            </w:r>
          </w:p>
        </w:tc>
      </w:tr>
      <w:tr>
        <w:tc>
          <w:tcPr>
            <w:tcW w:type="dxa" w:w="1728"/>
          </w:tcPr>
          <w:p>
            <w:r>
              <w:t>600666奥瑞德</w:t>
            </w:r>
          </w:p>
        </w:tc>
        <w:tc>
          <w:tcPr>
            <w:tcW w:type="dxa" w:w="1728"/>
          </w:tcPr>
          <w:p>
            <w:r>
              <w:t>2026-04-16</w:t>
            </w:r>
          </w:p>
        </w:tc>
        <w:tc>
          <w:tcPr>
            <w:tcW w:type="dxa" w:w="1728"/>
          </w:tcPr>
          <w:p>
            <w:r>
              <w:t>涨停出货预判</w:t>
            </w:r>
          </w:p>
        </w:tc>
        <w:tc>
          <w:tcPr>
            <w:tcW w:type="dxa" w:w="1728"/>
          </w:tcPr>
          <w:p>
            <w:r>
              <w:t>封单消耗+集合竞价未涨停</w:t>
            </w:r>
          </w:p>
        </w:tc>
        <w:tc>
          <w:tcPr>
            <w:tcW w:type="dxa" w:w="1728"/>
          </w:tcPr>
          <w:p>
            <w:r>
              <w:t>预判完全兑现，14:32清仓</w:t>
            </w:r>
          </w:p>
        </w:tc>
      </w:tr>
    </w:tbl>
    <w:p>
      <w:pPr>
        <w:pStyle w:val="Heading2"/>
      </w:pPr>
      <w:r>
        <w:t>教训案例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教训</w:t>
            </w:r>
          </w:p>
        </w:tc>
      </w:tr>
      <w:tr>
        <w:tc>
          <w:tcPr>
            <w:tcW w:type="dxa" w:w="2880"/>
          </w:tcPr>
          <w:p>
            <w:r>
              <w:t>002788鹭燕</w:t>
            </w:r>
          </w:p>
        </w:tc>
        <w:tc>
          <w:tcPr>
            <w:tcW w:type="dxa" w:w="2880"/>
          </w:tcPr>
          <w:p>
            <w:r>
              <w:t>15.70误判为支撑</w:t>
            </w:r>
          </w:p>
        </w:tc>
        <w:tc>
          <w:tcPr>
            <w:tcW w:type="dxa" w:w="2880"/>
          </w:tcPr>
          <w:p>
            <w:r>
              <w:t>出货区间下沿≠支撑位</w:t>
            </w:r>
          </w:p>
        </w:tc>
      </w:tr>
      <w:tr>
        <w:tc>
          <w:tcPr>
            <w:tcW w:type="dxa" w:w="2880"/>
          </w:tcPr>
          <w:p>
            <w:r>
              <w:t>600666奥瑞德</w:t>
            </w:r>
          </w:p>
        </w:tc>
        <w:tc>
          <w:tcPr>
            <w:tcW w:type="dxa" w:w="2880"/>
          </w:tcPr>
          <w:p>
            <w:r>
              <w:t>涨停没走</w:t>
            </w:r>
          </w:p>
        </w:tc>
        <w:tc>
          <w:tcPr>
            <w:tcW w:type="dxa" w:w="2880"/>
          </w:tcPr>
          <w:p>
            <w:r>
              <w:t>涨停开盘=出货窗口，先走不犹豫</w:t>
            </w:r>
          </w:p>
        </w:tc>
      </w:tr>
    </w:tbl>
    <w:p>
      <w:r>
        <w:br w:type="page"/>
      </w:r>
    </w:p>
    <w:p>
      <w:pPr>
        <w:pStyle w:val="Heading2"/>
      </w:pPr>
      <w:r>
        <w:t>附录A：交易成本对比</w:t>
      </w:r>
    </w:p>
    <w:p>
      <w:r>
        <w:t>详见第十四章表格。大资金一个来回约千1.3，散户约千3.5。</w:t>
      </w:r>
    </w:p>
    <w:p>
      <w:pPr>
        <w:pStyle w:val="Heading2"/>
      </w:pPr>
      <w:r>
        <w:t>附录B：关键阈值速查表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股东人数</w:t>
            </w:r>
          </w:p>
        </w:tc>
        <w:tc>
          <w:tcPr>
            <w:tcW w:type="dxa" w:w="2880"/>
          </w:tcPr>
          <w:p>
            <w:r>
              <w:t>2-20万</w:t>
            </w:r>
          </w:p>
        </w:tc>
        <w:tc>
          <w:tcPr>
            <w:tcW w:type="dxa" w:w="2880"/>
          </w:tcPr>
          <w:p>
            <w:r>
              <w:t>可炒作区间</w:t>
            </w:r>
          </w:p>
        </w:tc>
      </w:tr>
      <w:tr>
        <w:tc>
          <w:tcPr>
            <w:tcW w:type="dxa" w:w="2880"/>
          </w:tcPr>
          <w:p>
            <w:r>
              <w:t>股东人数连续下降</w:t>
            </w:r>
          </w:p>
        </w:tc>
        <w:tc>
          <w:tcPr>
            <w:tcW w:type="dxa" w:w="2880"/>
          </w:tcPr>
          <w:p>
            <w:r>
              <w:t>≥3期</w:t>
            </w:r>
          </w:p>
        </w:tc>
        <w:tc>
          <w:tcPr>
            <w:tcW w:type="dxa" w:w="2880"/>
          </w:tcPr>
          <w:p>
            <w:r>
              <w:t>筹码集中化</w:t>
            </w:r>
          </w:p>
        </w:tc>
      </w:tr>
      <w:tr>
        <w:tc>
          <w:tcPr>
            <w:tcW w:type="dxa" w:w="2880"/>
          </w:tcPr>
          <w:p>
            <w:r>
              <w:t>卖盘小单占比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  <w:tc>
          <w:tcPr>
            <w:tcW w:type="dxa" w:w="2880"/>
          </w:tcPr>
          <w:p>
            <w:r>
              <w:t>吸筹信号</w:t>
            </w:r>
          </w:p>
        </w:tc>
      </w:tr>
      <w:tr>
        <w:tc>
          <w:tcPr>
            <w:tcW w:type="dxa" w:w="2880"/>
          </w:tcPr>
          <w:p>
            <w:r>
              <w:t>买盘小单占比</w:t>
            </w:r>
          </w:p>
        </w:tc>
        <w:tc>
          <w:tcPr>
            <w:tcW w:type="dxa" w:w="2880"/>
          </w:tcPr>
          <w:p>
            <w:r>
              <w:t>&lt;30%</w:t>
            </w:r>
          </w:p>
        </w:tc>
        <w:tc>
          <w:tcPr>
            <w:tcW w:type="dxa" w:w="2880"/>
          </w:tcPr>
          <w:p>
            <w:r>
              <w:t>吸筹信号</w:t>
            </w:r>
          </w:p>
        </w:tc>
      </w:tr>
      <w:tr>
        <w:tc>
          <w:tcPr>
            <w:tcW w:type="dxa" w:w="2880"/>
          </w:tcPr>
          <w:p>
            <w:r>
              <w:t>换手率</w:t>
            </w:r>
          </w:p>
        </w:tc>
        <w:tc>
          <w:tcPr>
            <w:tcW w:type="dxa" w:w="2880"/>
          </w:tcPr>
          <w:p>
            <w:r>
              <w:t>&gt;25%</w:t>
            </w:r>
          </w:p>
        </w:tc>
        <w:tc>
          <w:tcPr>
            <w:tcW w:type="dxa" w:w="2880"/>
          </w:tcPr>
          <w:p>
            <w:r>
              <w:t>游资接力/高风险</w:t>
            </w:r>
          </w:p>
        </w:tc>
      </w:tr>
      <w:tr>
        <w:tc>
          <w:tcPr>
            <w:tcW w:type="dxa" w:w="2880"/>
          </w:tcPr>
          <w:p>
            <w:r>
              <w:t>换手率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极度缩量/筹码锁定</w:t>
            </w:r>
          </w:p>
        </w:tc>
      </w:tr>
      <w:tr>
        <w:tc>
          <w:tcPr>
            <w:tcW w:type="dxa" w:w="2880"/>
          </w:tcPr>
          <w:p>
            <w:r>
              <w:t>流通盘控盘</w:t>
            </w:r>
          </w:p>
        </w:tc>
        <w:tc>
          <w:tcPr>
            <w:tcW w:type="dxa" w:w="2880"/>
          </w:tcPr>
          <w:p>
            <w:r>
              <w:t>30-50%</w:t>
            </w:r>
          </w:p>
        </w:tc>
        <w:tc>
          <w:tcPr>
            <w:tcW w:type="dxa" w:w="2880"/>
          </w:tcPr>
          <w:p>
            <w:r>
              <w:t>实操甜区</w:t>
            </w:r>
          </w:p>
        </w:tc>
      </w:tr>
      <w:tr>
        <w:tc>
          <w:tcPr>
            <w:tcW w:type="dxa" w:w="2880"/>
          </w:tcPr>
          <w:p>
            <w:r>
              <w:t>最佳股价区间</w:t>
            </w:r>
          </w:p>
        </w:tc>
        <w:tc>
          <w:tcPr>
            <w:tcW w:type="dxa" w:w="2880"/>
          </w:tcPr>
          <w:p>
            <w:r>
              <w:t>10-50元</w:t>
            </w:r>
          </w:p>
        </w:tc>
        <w:tc>
          <w:tcPr>
            <w:tcW w:type="dxa" w:w="2880"/>
          </w:tcPr>
          <w:p>
            <w:r>
              <w:t>散户机会窗口</w:t>
            </w:r>
          </w:p>
        </w:tc>
      </w:tr>
      <w:tr>
        <w:tc>
          <w:tcPr>
            <w:tcW w:type="dxa" w:w="2880"/>
          </w:tcPr>
          <w:p>
            <w:r>
              <w:t>凯利仓位</w:t>
            </w:r>
          </w:p>
        </w:tc>
        <w:tc>
          <w:tcPr>
            <w:tcW w:type="dxa" w:w="2880"/>
          </w:tcPr>
          <w:p>
            <w:r>
              <w:t>取半</w:t>
            </w:r>
          </w:p>
        </w:tc>
        <w:tc>
          <w:tcPr>
            <w:tcW w:type="dxa" w:w="2880"/>
          </w:tcPr>
          <w:p>
            <w:r>
              <w:t>保守原则</w:t>
            </w:r>
          </w:p>
        </w:tc>
      </w:tr>
      <w:tr>
        <w:tc>
          <w:tcPr>
            <w:tcW w:type="dxa" w:w="2880"/>
          </w:tcPr>
          <w:p>
            <w:r>
              <w:t>盈亏比最低线</w:t>
            </w:r>
          </w:p>
        </w:tc>
        <w:tc>
          <w:tcPr>
            <w:tcW w:type="dxa" w:w="2880"/>
          </w:tcPr>
          <w:p>
            <w:r>
              <w:t>≥2:1</w:t>
            </w:r>
          </w:p>
        </w:tc>
        <w:tc>
          <w:tcPr>
            <w:tcW w:type="dxa" w:w="2880"/>
          </w:tcPr>
          <w:p>
            <w:r>
              <w:t>不达标不进场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