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56"/>
        </w:rPr>
        <w:t>股市不对称战场操盘手册</w:t>
      </w:r>
    </w:p>
    <w:p>
      <w:pPr>
        <w:jc w:val="center"/>
      </w:pPr>
      <w:r>
        <w:rPr>
          <w:color w:val="808080"/>
          <w:sz w:val="20"/>
        </w:rPr>
        <w:t>整理日期：2026年3月31日</w:t>
        <w:br/>
        <w:t>作者：Eve（基于Adam的操盘经验整理）</w:t>
      </w:r>
    </w:p>
    <w:p/>
    <w:p>
      <w:pPr>
        <w:pStyle w:val="Heading1"/>
      </w:pPr>
      <w:r>
        <w:t>第一章：核心原理</w:t>
      </w:r>
    </w:p>
    <w:p>
      <w:pPr>
        <w:pStyle w:val="Heading2"/>
      </w:pPr>
      <w:r>
        <w:t>一、反对称性：大众共识 = 陷阱</w:t>
      </w:r>
    </w:p>
    <w:p>
      <w:r>
        <w:rPr>
          <w:b/>
          <w:sz w:val="24"/>
        </w:rPr>
        <w:t>1. 共识之下，难以炒作。</w:t>
      </w:r>
    </w:p>
    <w:p>
      <w:pPr>
        <w:ind w:left="567"/>
      </w:pPr>
      <w:r>
        <w:t>当所有人都认同的方向，就不是利润来源。市场的本质是零和博弈，利润来自于认知差，而不是共识。</w:t>
      </w:r>
    </w:p>
    <w:p>
      <w:r>
        <w:rPr>
          <w:b/>
          <w:sz w:val="24"/>
        </w:rPr>
        <w:t>2. 追求管理确定性是违背交易获利原则的。</w:t>
      </w:r>
    </w:p>
    <w:p>
      <w:pPr>
        <w:ind w:left="567"/>
      </w:pPr>
      <w:r>
        <w:t>交易不追求稳定性，要管理不确定性。不善于管理不确定性，就会被淘汰。试图用稳定的思维去管理不稳定的市场，本身就是矛盾的。</w:t>
      </w:r>
    </w:p>
    <w:p>
      <w:r>
        <w:rPr>
          <w:b/>
          <w:sz w:val="24"/>
        </w:rPr>
        <w:t>3. 散户在看起来稳定时入场。</w:t>
      </w:r>
    </w:p>
    <w:p>
      <w:pPr>
        <w:ind w:left="567"/>
      </w:pPr>
      <w:r>
        <w:t>这时候恰恰是主力派发筹码的机会，真正的机会不在这个时刻。稳定是主力营造的假象，目的是吸引散户接盘。</w:t>
      </w:r>
    </w:p>
    <w:p>
      <w:r>
        <w:rPr>
          <w:b/>
          <w:sz w:val="24"/>
        </w:rPr>
        <w:t>4. 机会出现在恐惧、最不耐烦的时候。</w:t>
      </w:r>
    </w:p>
    <w:p>
      <w:pPr>
        <w:ind w:left="567"/>
      </w:pPr>
      <w:r>
        <w:t>新低连续大跌、让人恐惧不安等不稳定状态，或出现突发消息——赚大钱在这几种不稳定要变化的时期。当稳定产生就是该离场的时候，当你认定趋势产生，也是它结束的时候。</w:t>
      </w:r>
    </w:p>
    <w:p>
      <w:pPr>
        <w:pStyle w:val="Heading2"/>
      </w:pPr>
      <w:r>
        <w:t>二、不对称性：高盈亏比的捕获</w:t>
      </w:r>
    </w:p>
    <w:p>
      <w:r>
        <w:rPr>
          <w:b/>
          <w:sz w:val="24"/>
        </w:rPr>
        <w:t>5. 高盈亏比只存在于恐惧不耐烦之中。</w:t>
      </w:r>
    </w:p>
    <w:p>
      <w:pPr>
        <w:ind w:left="567"/>
      </w:pPr>
      <w:r>
        <w:t>一旦共识产生、稳定趋势出现，就不存在高盈亏比。这是市场的底层规律——利润来自于不确定性。</w:t>
      </w:r>
    </w:p>
    <w:p>
      <w:r>
        <w:rPr>
          <w:b/>
          <w:sz w:val="24"/>
        </w:rPr>
        <w:t>6. 长线、短线、中线都要追求高盈亏比。</w:t>
      </w:r>
    </w:p>
    <w:p>
      <w:pPr>
        <w:ind w:left="567"/>
      </w:pPr>
      <w:r>
        <w:t>这是普适原则，不分周期，不分市场。</w:t>
      </w:r>
    </w:p>
    <w:p>
      <w:r>
        <w:rPr>
          <w:b/>
          <w:sz w:val="24"/>
        </w:rPr>
        <w:t>7. 高盈亏比的本质。</w:t>
      </w:r>
    </w:p>
    <w:p>
      <w:pPr>
        <w:ind w:left="567"/>
      </w:pPr>
      <w:r>
        <w:t>股价下行可计算可预测（下跌空间有限且可量），股价上涨远大于股价下跌（上行空间巨大）。真正的高盈亏比，不是可能涨很多，而是下跌很有限，上涨很巨大。</w:t>
      </w:r>
    </w:p>
    <w:p>
      <w:r>
        <w:rPr>
          <w:b/>
          <w:sz w:val="24"/>
        </w:rPr>
        <w:t>8. 散户看清趋势时要离场。</w:t>
      </w:r>
    </w:p>
    <w:p>
      <w:pPr>
        <w:ind w:left="567"/>
      </w:pPr>
      <w:r>
        <w:t>因为此时已无高盈亏比。当趋势被所有人看见时，利润已经被先行者吃完。</w:t>
      </w:r>
    </w:p>
    <w:p>
      <w:r>
        <w:rPr>
          <w:b/>
          <w:sz w:val="24"/>
        </w:rPr>
        <w:t>9. 西方交易大师的印证。</w:t>
      </w:r>
    </w:p>
    <w:p>
      <w:pPr>
        <w:ind w:left="567"/>
      </w:pPr>
      <w:r>
        <w:t>这些原理并非新东西。索罗斯的反身性、杰西利弗莫尔的等待关键点、霍华德马克斯的逆向投资都一脉相承。核心就是四个字：反共识、高赔率。</w:t>
      </w:r>
    </w:p>
    <w:p>
      <w:pPr>
        <w:pStyle w:val="Heading2"/>
      </w:pPr>
      <w:r>
        <w:t>三、A股新模式：主力操盘规则变了</w:t>
      </w:r>
    </w:p>
    <w:p>
      <w:r>
        <w:rPr>
          <w:b/>
          <w:sz w:val="24"/>
        </w:rPr>
        <w:t>10. 炒作标的升级。</w:t>
      </w:r>
    </w:p>
    <w:p>
      <w:pPr>
        <w:ind w:left="567"/>
      </w:pPr>
      <w:r>
        <w:t>以前：炒2-3元垃圾股拉到6-8元，低价给散户捡筹码的机会。现在：主力标的10-20元股票炒到40-50元，40-50元股票炒到几百元。不给散户捡筹码的机会。</w:t>
      </w:r>
    </w:p>
    <w:p>
      <w:r>
        <w:rPr>
          <w:b/>
          <w:sz w:val="24"/>
        </w:rPr>
        <w:t>11. 100元以上的股票不是为散户思维准备的机会。</w:t>
      </w:r>
    </w:p>
    <w:p>
      <w:pPr>
        <w:ind w:left="567"/>
      </w:pPr>
      <w:r>
        <w:t>散户看到100+就觉得太高了不敢买，形成主力的护城河。散户不会买就没有散户筹码，拉升阻力为零。等散户终于敢买了，已经是200+，接盘。</w:t>
      </w:r>
    </w:p>
    <w:p>
      <w:r>
        <w:rPr>
          <w:b/>
          <w:sz w:val="24"/>
        </w:rPr>
        <w:t>12. A股散户的机会窗口。</w:t>
      </w:r>
    </w:p>
    <w:p>
      <w:pPr>
        <w:ind w:left="567"/>
      </w:pPr>
      <w:r>
        <w:t>10-50元区间。100元以上不是散户的机会，看都别看。</w:t>
      </w:r>
    </w:p>
    <w:p>
      <w:r>
        <w:rPr>
          <w:b/>
          <w:sz w:val="24"/>
        </w:rPr>
        <w:t>13. 新模式下的盈亏比反而更好。</w:t>
      </w:r>
    </w:p>
    <w:p>
      <w:pPr>
        <w:ind w:left="567"/>
      </w:pPr>
      <w:r>
        <w:t>以前3元买入目标6元（盈亏比2:1）。现在15元买入目标50元（盈亏比11.6:1）。越贵的股票，主力成本越锁定，散户筹码越少，拉升越轻松。</w:t>
      </w:r>
    </w:p>
    <w:p>
      <w:r>
        <w:rPr>
          <w:b/>
          <w:sz w:val="24"/>
        </w:rPr>
        <w:t>14. 散户看清趋势的定义也变了。</w:t>
      </w:r>
    </w:p>
    <w:p>
      <w:pPr>
        <w:ind w:left="567"/>
      </w:pPr>
      <w:r>
        <w:t>以前是6元追高，现在是50元追高。但原理不变——散户看清趋势时，高盈亏比已经消失。</w:t>
      </w:r>
    </w:p>
    <w:p>
      <w:r>
        <w:br w:type="page"/>
      </w:r>
    </w:p>
    <w:p>
      <w:pPr>
        <w:pStyle w:val="Heading1"/>
      </w:pPr>
      <w:r>
        <w:t>第二章：实战案例复盘</w:t>
      </w:r>
    </w:p>
    <w:p>
      <w:r>
        <w:rPr>
          <w:i/>
          <w:color w:val="646464"/>
        </w:rPr>
        <w:t>以下案例全部来自Adam的真实操盘经历，用前文理论逐条对照分析。</w:t>
      </w:r>
    </w:p>
    <w:p>
      <w:pPr>
        <w:pStyle w:val="Heading2"/>
      </w:pPr>
      <w:r>
        <w:t>案例一：002788 鹭燕医药（反面教材）</w:t>
      </w:r>
    </w:p>
    <w:p>
      <w:pPr>
        <w:pStyle w:val="Heading3"/>
      </w:pPr>
      <w:r>
        <w:t>操盘记录</w:t>
      </w:r>
    </w:p>
    <w:p>
      <w:pPr>
        <w:pStyle w:val="ListBullet"/>
      </w:pPr>
      <w:r>
        <w:t>5年前15.6元建仓，买入50万元</w:t>
      </w:r>
    </w:p>
    <w:p>
      <w:pPr>
        <w:pStyle w:val="ListBullet"/>
      </w:pPr>
      <w:r>
        <w:t>一路跌到7-8元，套牢3年+，浮亏50%</w:t>
      </w:r>
    </w:p>
    <w:p>
      <w:pPr>
        <w:pStyle w:val="ListBullet"/>
      </w:pPr>
      <w:r>
        <w:t>去年10月启动，15元解套，15-23元出货</w:t>
      </w:r>
    </w:p>
    <w:p>
      <w:pPr>
        <w:pStyle w:val="Heading3"/>
      </w:pPr>
      <w:r>
        <w:t>理论对照</w:t>
      </w:r>
    </w:p>
    <w:p>
      <w:r>
        <w:rPr>
          <w:b/>
        </w:rPr>
        <w:t>违反原则3：</w:t>
      </w:r>
    </w:p>
    <w:p>
      <w:pPr>
        <w:ind w:left="567"/>
      </w:pPr>
      <w:r>
        <w:t>15.6元建仓 = 在看起来稳定时入场。此时散户都在追涨，恰恰是主力派发筹码的时刻。</w:t>
      </w:r>
    </w:p>
    <w:p>
      <w:r>
        <w:rPr>
          <w:b/>
        </w:rPr>
        <w:t>盈亏比极差：</w:t>
      </w:r>
    </w:p>
    <w:p>
      <w:pPr>
        <w:ind w:left="567"/>
      </w:pPr>
      <w:r>
        <w:t>下跌：15.6跌到7.8亏50%，下跌不可计算不可预测。上涨：最多回到15.6才回本。盈亏比是负的。</w:t>
      </w:r>
    </w:p>
    <w:p>
      <w:r>
        <w:rPr>
          <w:b/>
        </w:rPr>
        <w:t>真正的高盈亏比在7-8元：</w:t>
      </w:r>
    </w:p>
    <w:p>
      <w:pPr>
        <w:ind w:left="567"/>
      </w:pPr>
      <w:r>
        <w:t>下跌空间：7.8跌到6才亏23%。上涨空间：涨到15.6翻倍，涨到23涨197%。盈亏比8.5:1。</w:t>
      </w:r>
    </w:p>
    <w:p>
      <w:r>
        <w:rPr>
          <w:b/>
          <w:color w:val="C80000"/>
        </w:rPr>
        <w:t>核心教训：</w:t>
      </w:r>
    </w:p>
    <w:p>
      <w:r>
        <w:t>15.6建仓 = 在稳定中入场 = 高价买，等5年才回本。7.8入场 = 在恐惧中入场 = 低价买，翻倍走。</w:t>
      </w:r>
    </w:p>
    <w:p/>
    <w:p>
      <w:pPr>
        <w:pStyle w:val="Heading2"/>
      </w:pPr>
      <w:r>
        <w:t>案例二：688347 华虹公司（正面教材）</w:t>
      </w:r>
    </w:p>
    <w:p>
      <w:pPr>
        <w:pStyle w:val="Heading3"/>
      </w:pPr>
      <w:r>
        <w:t>操盘时间线</w:t>
      </w:r>
    </w:p>
    <w:p>
      <w:pPr>
        <w:pStyle w:val="ListBullet"/>
      </w:pPr>
      <w:r>
        <w:t>2023.08.07 上市，首日开盘58.73，收盘52.91</w:t>
      </w:r>
    </w:p>
    <w:p>
      <w:pPr>
        <w:pStyle w:val="ListBullet"/>
      </w:pPr>
      <w:r>
        <w:t>2023.08底 48.5元买入2手（看起来稳定入场，错误）</w:t>
      </w:r>
    </w:p>
    <w:p>
      <w:pPr>
        <w:pStyle w:val="ListBullet"/>
      </w:pPr>
      <w:r>
        <w:t>一路阴跌：2024.02跌到27.75，2024.09最低26.60（跌幅-53%）</w:t>
      </w:r>
    </w:p>
    <w:p>
      <w:pPr>
        <w:pStyle w:val="ListBullet"/>
      </w:pPr>
      <w:r>
        <w:t>因恐惧没有补仓（反面教训）</w:t>
      </w:r>
    </w:p>
    <w:p>
      <w:pPr>
        <w:pStyle w:val="ListBullet"/>
      </w:pPr>
      <w:r>
        <w:t>2024.09.24 启动，2024.10.09涨到50.04</w:t>
      </w:r>
    </w:p>
    <w:p>
      <w:pPr>
        <w:pStyle w:val="ListBullet"/>
      </w:pPr>
      <w:r>
        <w:t>2025.02.19 再次启动涨到60.28</w:t>
      </w:r>
    </w:p>
    <w:p>
      <w:pPr>
        <w:pStyle w:val="ListBullet"/>
      </w:pPr>
      <w:r>
        <w:t>2025.08.15 主升浪开始（78.50），2025.09突破100元</w:t>
      </w:r>
    </w:p>
    <w:p>
      <w:pPr>
        <w:pStyle w:val="ListBullet"/>
      </w:pPr>
      <w:r>
        <w:t>2025.10回调到100元以内，看清主力成本87元附近</w:t>
      </w:r>
    </w:p>
    <w:p>
      <w:pPr>
        <w:pStyle w:val="ListBullet"/>
      </w:pPr>
      <w:r>
        <w:t>2025.12.12-17 股价跌到97元附近企稳</w:t>
      </w:r>
    </w:p>
    <w:p>
      <w:pPr>
        <w:pStyle w:val="ListBullet"/>
      </w:pPr>
      <w:r>
        <w:t>开始买入1000股，均价87元（正确！在恐惧中建仓）</w:t>
      </w:r>
    </w:p>
    <w:p>
      <w:pPr>
        <w:pStyle w:val="ListBullet"/>
      </w:pPr>
      <w:r>
        <w:t>2026.01.05 元旦后暴涨（116.49），2026.01.16涨到140</w:t>
      </w:r>
    </w:p>
    <w:p>
      <w:pPr>
        <w:pStyle w:val="ListBullet"/>
      </w:pPr>
      <w:r>
        <w:t>2026.01后 145元卖出800股，盈利57%</w:t>
      </w:r>
    </w:p>
    <w:p>
      <w:pPr>
        <w:pStyle w:val="ListBullet"/>
      </w:pPr>
      <w:r>
        <w:t>2026.01.28 涨到166.50（卖完后继续涨21元，但守住了利润）</w:t>
      </w:r>
    </w:p>
    <w:p>
      <w:pPr>
        <w:pStyle w:val="ListBullet"/>
      </w:pPr>
      <w:r>
        <w:t>2026.03.31 回调到105.90</w:t>
      </w:r>
    </w:p>
    <w:p>
      <w:pPr>
        <w:pStyle w:val="Heading3"/>
      </w:pPr>
      <w:r>
        <w:t>两笔建仓对比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第一笔（48.5元）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第二笔（87元）</w:t>
            </w:r>
          </w:p>
        </w:tc>
      </w:tr>
      <w:tr>
        <w:tc>
          <w:tcPr>
            <w:tcW w:type="dxa" w:w="2880"/>
          </w:tcPr>
          <w:p>
            <w:r>
              <w:t>入场环境</w:t>
            </w:r>
          </w:p>
        </w:tc>
        <w:tc>
          <w:tcPr>
            <w:tcW w:type="dxa" w:w="2880"/>
          </w:tcPr>
          <w:p>
            <w:r>
              <w:t>看起来稳定（错误）</w:t>
            </w:r>
          </w:p>
        </w:tc>
        <w:tc>
          <w:tcPr>
            <w:tcW w:type="dxa" w:w="2880"/>
          </w:tcPr>
          <w:p>
            <w:r>
              <w:t>恐惧回调中（正确）</w:t>
            </w:r>
          </w:p>
        </w:tc>
      </w:tr>
      <w:tr>
        <w:tc>
          <w:tcPr>
            <w:tcW w:type="dxa" w:w="2880"/>
          </w:tcPr>
          <w:p>
            <w:r>
              <w:t>下跌空间</w:t>
            </w:r>
          </w:p>
        </w:tc>
        <w:tc>
          <w:tcPr>
            <w:tcW w:type="dxa" w:w="2880"/>
          </w:tcPr>
          <w:p>
            <w:r>
              <w:t>48.5到26.6 = -45%</w:t>
            </w:r>
          </w:p>
        </w:tc>
        <w:tc>
          <w:tcPr>
            <w:tcW w:type="dxa" w:w="2880"/>
          </w:tcPr>
          <w:p>
            <w:r>
              <w:t>87到97 = -10%</w:t>
            </w:r>
          </w:p>
        </w:tc>
      </w:tr>
      <w:tr>
        <w:tc>
          <w:tcPr>
            <w:tcW w:type="dxa" w:w="2880"/>
          </w:tcPr>
          <w:p>
            <w:r>
              <w:t>上涨空间</w:t>
            </w:r>
          </w:p>
        </w:tc>
        <w:tc>
          <w:tcPr>
            <w:tcW w:type="dxa" w:w="2880"/>
          </w:tcPr>
          <w:p>
            <w:r>
              <w:t>48.5到166 = +242%</w:t>
            </w:r>
          </w:p>
        </w:tc>
        <w:tc>
          <w:tcPr>
            <w:tcW w:type="dxa" w:w="2880"/>
          </w:tcPr>
          <w:p>
            <w:r>
              <w:t>87到145 = +67%</w:t>
            </w:r>
          </w:p>
        </w:tc>
      </w:tr>
      <w:tr>
        <w:tc>
          <w:tcPr>
            <w:tcW w:type="dxa" w:w="2880"/>
          </w:tcPr>
          <w:p>
            <w:r>
              <w:t>盈亏比</w:t>
            </w:r>
          </w:p>
        </w:tc>
        <w:tc>
          <w:tcPr>
            <w:tcW w:type="dxa" w:w="2880"/>
          </w:tcPr>
          <w:p>
            <w:r>
              <w:t>差（下跌不可预测）</w:t>
            </w:r>
          </w:p>
        </w:tc>
        <w:tc>
          <w:tcPr>
            <w:tcW w:type="dxa" w:w="2880"/>
          </w:tcPr>
          <w:p>
            <w:r>
              <w:t>6.7:1（优秀）</w:t>
            </w:r>
          </w:p>
        </w:tc>
      </w:tr>
      <w:tr>
        <w:tc>
          <w:tcPr>
            <w:tcW w:type="dxa" w:w="2880"/>
          </w:tcPr>
          <w:p>
            <w:r>
              <w:t>持有时间</w:t>
            </w:r>
          </w:p>
        </w:tc>
        <w:tc>
          <w:tcPr>
            <w:tcW w:type="dxa" w:w="2880"/>
          </w:tcPr>
          <w:p>
            <w:r>
              <w:t>3年+</w:t>
            </w:r>
          </w:p>
        </w:tc>
        <w:tc>
          <w:tcPr>
            <w:tcW w:type="dxa" w:w="2880"/>
          </w:tcPr>
          <w:p>
            <w:r>
              <w:t>3个月</w:t>
            </w:r>
          </w:p>
        </w:tc>
      </w:tr>
      <w:tr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浮亏45%，等3年</w:t>
            </w:r>
          </w:p>
        </w:tc>
        <w:tc>
          <w:tcPr>
            <w:tcW w:type="dxa" w:w="2880"/>
          </w:tcPr>
          <w:p>
            <w:r>
              <w:t>盈利57%，3个月</w:t>
            </w:r>
          </w:p>
        </w:tc>
      </w:tr>
    </w:tbl>
    <w:p/>
    <w:p>
      <w:pPr>
        <w:pStyle w:val="Heading3"/>
      </w:pPr>
      <w:r>
        <w:t>筹码成本分析（数据验证）</w:t>
      </w:r>
    </w:p>
    <w:p>
      <w:r>
        <w:rPr>
          <w:b/>
        </w:rPr>
        <w:t>主力核心成本区：</w:t>
      </w:r>
    </w:p>
    <w:p>
      <w:pPr>
        <w:ind w:left="567"/>
      </w:pPr>
      <w:r>
        <w:t>113.01元（2025.09至今加权平均）</w:t>
      </w:r>
    </w:p>
    <w:p>
      <w:r>
        <w:rPr>
          <w:b/>
        </w:rPr>
        <w:t>筹码密集峰值：</w:t>
      </w:r>
    </w:p>
    <w:p>
      <w:pPr>
        <w:ind w:left="567"/>
      </w:pPr>
      <w:r>
        <w:t>125-130元区间（占比15.9%）</w:t>
      </w:r>
    </w:p>
    <w:p>
      <w:r>
        <w:rPr>
          <w:b/>
        </w:rPr>
        <w:t>近3个月平均成本：</w:t>
      </w:r>
    </w:p>
    <w:p>
      <w:pPr>
        <w:ind w:left="567"/>
      </w:pPr>
      <w:r>
        <w:t>128.89元</w:t>
      </w:r>
    </w:p>
    <w:p>
      <w:r>
        <w:rPr>
          <w:b/>
        </w:rPr>
        <w:t>当前价（2026.03.31）：</w:t>
      </w:r>
    </w:p>
    <w:p>
      <w:pPr>
        <w:ind w:left="567"/>
      </w:pPr>
      <w:r>
        <w:t>105.90元</w:t>
      </w:r>
    </w:p>
    <w:p>
      <w:r>
        <w:rPr>
          <w:b/>
        </w:rPr>
        <w:t>判断：</w:t>
      </w:r>
    </w:p>
    <w:p>
      <w:pPr>
        <w:ind w:left="567"/>
      </w:pPr>
      <w:r>
        <w:t>当前价小于主力成本，主力被套，护盘动力强</w:t>
      </w:r>
    </w:p>
    <w:p>
      <w:r>
        <w:br w:type="page"/>
      </w:r>
    </w:p>
    <w:p>
      <w:pPr>
        <w:pStyle w:val="Heading2"/>
      </w:pPr>
      <w:r>
        <w:t>案例三：600666 奥瑞德 vs 300769 德方纳米（同日对比）</w:t>
      </w:r>
    </w:p>
    <w:p>
      <w:r>
        <w:t>2026年3月31日，同一天分析的两只股票，走势完全不同，完美印证理论。</w:t>
      </w:r>
    </w:p>
    <w:p>
      <w:pPr>
        <w:pStyle w:val="Heading3"/>
      </w:pPr>
      <w:r>
        <w:t>600666 奥瑞德（反面）</w:t>
      </w:r>
    </w:p>
    <w:p>
      <w:pPr>
        <w:pStyle w:val="ListBullet"/>
      </w:pPr>
      <w:r>
        <w:t>昨收6.24，今日跌到5.75（-7.85%）</w:t>
      </w:r>
    </w:p>
    <w:p>
      <w:pPr>
        <w:pStyle w:val="ListBullet"/>
      </w:pPr>
      <w:r>
        <w:t>主力在5.8-6.0出货，放量出逃</w:t>
      </w:r>
    </w:p>
    <w:p>
      <w:pPr>
        <w:pStyle w:val="ListBullet"/>
      </w:pPr>
      <w:r>
        <w:t>5.70-5.75仅有少量护盘托单，买1仅463手</w:t>
      </w:r>
    </w:p>
    <w:p>
      <w:pPr>
        <w:pStyle w:val="ListBullet"/>
      </w:pPr>
      <w:r>
        <w:t>结论：主力出货后放任，短线没有操作价值</w:t>
      </w:r>
    </w:p>
    <w:p>
      <w:pPr>
        <w:pStyle w:val="Heading3"/>
      </w:pPr>
      <w:r>
        <w:t>300769 德方纳米（正面）</w:t>
      </w:r>
    </w:p>
    <w:p>
      <w:pPr>
        <w:pStyle w:val="ListBullet"/>
      </w:pPr>
      <w:r>
        <w:t>昨收46.37，今日跌到43.92（-5.28%）后快速反弹</w:t>
      </w:r>
    </w:p>
    <w:p>
      <w:pPr>
        <w:pStyle w:val="ListBullet"/>
      </w:pPr>
      <w:r>
        <w:t>10:44出现444手大单主动买入，主力在接货</w:t>
      </w:r>
    </w:p>
    <w:p>
      <w:pPr>
        <w:pStyle w:val="ListBullet"/>
      </w:pPr>
      <w:r>
        <w:t>13:16击穿44支撑到43.92，3分钟内收回44以上，假跌破</w:t>
      </w:r>
    </w:p>
    <w:p>
      <w:pPr>
        <w:pStyle w:val="ListBullet"/>
      </w:pPr>
      <w:r>
        <w:t>主力在44.0-44.7区间吸筹，洗盘特征明显</w:t>
      </w:r>
    </w:p>
    <w:p>
      <w:pPr>
        <w:pStyle w:val="ListBullet"/>
      </w:pPr>
      <w:r>
        <w:t>建仓区间：44.0-44.5，止损43.5，目标47.5</w:t>
      </w:r>
    </w:p>
    <w:p>
      <w:pPr>
        <w:pStyle w:val="Heading3"/>
      </w:pPr>
      <w:r>
        <w:t>理论对照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600666 奥瑞德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300769 德方纳米</w:t>
            </w:r>
          </w:p>
        </w:tc>
      </w:tr>
      <w:tr>
        <w:tc>
          <w:tcPr>
            <w:tcW w:type="dxa" w:w="2880"/>
          </w:tcPr>
          <w:p>
            <w:r>
              <w:t>主力行为</w:t>
            </w:r>
          </w:p>
        </w:tc>
        <w:tc>
          <w:tcPr>
            <w:tcW w:type="dxa" w:w="2880"/>
          </w:tcPr>
          <w:p>
            <w:r>
              <w:t>出货后放任</w:t>
            </w:r>
          </w:p>
        </w:tc>
        <w:tc>
          <w:tcPr>
            <w:tcW w:type="dxa" w:w="2880"/>
          </w:tcPr>
          <w:p>
            <w:r>
              <w:t>洗盘吸筹</w:t>
            </w:r>
          </w:p>
        </w:tc>
      </w:tr>
      <w:tr>
        <w:tc>
          <w:tcPr>
            <w:tcW w:type="dxa" w:w="2880"/>
          </w:tcPr>
          <w:p>
            <w:r>
              <w:t>量能特征</w:t>
            </w:r>
          </w:p>
        </w:tc>
        <w:tc>
          <w:tcPr>
            <w:tcW w:type="dxa" w:w="2880"/>
          </w:tcPr>
          <w:p>
            <w:r>
              <w:t>放量出逃</w:t>
            </w:r>
          </w:p>
        </w:tc>
        <w:tc>
          <w:tcPr>
            <w:tcW w:type="dxa" w:w="2880"/>
          </w:tcPr>
          <w:p>
            <w:r>
              <w:t>冲高放量，回调缩量</w:t>
            </w:r>
          </w:p>
        </w:tc>
      </w:tr>
      <w:tr>
        <w:tc>
          <w:tcPr>
            <w:tcW w:type="dxa" w:w="2880"/>
          </w:tcPr>
          <w:p>
            <w:r>
              <w:t>假跌破验证</w:t>
            </w:r>
          </w:p>
        </w:tc>
        <w:tc>
          <w:tcPr>
            <w:tcW w:type="dxa" w:w="2880"/>
          </w:tcPr>
          <w:p>
            <w:r>
              <w:t>无（真跌）</w:t>
            </w:r>
          </w:p>
        </w:tc>
        <w:tc>
          <w:tcPr>
            <w:tcW w:type="dxa" w:w="2880"/>
          </w:tcPr>
          <w:p>
            <w:r>
              <w:t>43.92击穿后秒速收回</w:t>
            </w:r>
          </w:p>
        </w:tc>
      </w:tr>
      <w:tr>
        <w:tc>
          <w:tcPr>
            <w:tcW w:type="dxa" w:w="2880"/>
          </w:tcPr>
          <w:p>
            <w:r>
              <w:t>高盈亏比</w:t>
            </w:r>
          </w:p>
        </w:tc>
        <w:tc>
          <w:tcPr>
            <w:tcW w:type="dxa" w:w="2880"/>
          </w:tcPr>
          <w:p>
            <w:r>
              <w:t>无（下跌不可计算）</w:t>
            </w:r>
          </w:p>
        </w:tc>
        <w:tc>
          <w:tcPr>
            <w:tcW w:type="dxa" w:w="2880"/>
          </w:tcPr>
          <w:p>
            <w:r>
              <w:t>有（43.5到42亏3.4%，到48涨10%）</w:t>
            </w:r>
          </w:p>
        </w:tc>
      </w:tr>
    </w:tbl>
    <w:p/>
    <w:p>
      <w:pPr>
        <w:pStyle w:val="Heading2"/>
      </w:pPr>
      <w:r>
        <w:t>案例四：688347 华虹公司 今日试仓（实战记录）</w:t>
      </w:r>
    </w:p>
    <w:p>
      <w:pPr>
        <w:pStyle w:val="ListBullet"/>
      </w:pPr>
      <w:r>
        <w:t>2026.03.31 今日在106.1元试仓1手</w:t>
      </w:r>
    </w:p>
    <w:p>
      <w:pPr>
        <w:pStyle w:val="ListBullet"/>
      </w:pPr>
      <w:r>
        <w:t>当日收盘105.90，击穿106支撑</w:t>
      </w:r>
    </w:p>
    <w:p>
      <w:pPr>
        <w:pStyle w:val="ListBullet"/>
      </w:pPr>
      <w:r>
        <w:t>主力成本约113元，当前价低于主力成本 = 主力被套</w:t>
      </w:r>
    </w:p>
    <w:p>
      <w:pPr>
        <w:pStyle w:val="ListBullet"/>
      </w:pPr>
      <w:r>
        <w:t>盈亏比：下跌106到97亏8.5%，上涨106到130涨22.6%，盈亏比2.66:1</w:t>
      </w:r>
    </w:p>
    <w:p>
      <w:pPr>
        <w:pStyle w:val="ListBullet"/>
      </w:pPr>
      <w:r>
        <w:t>如果明天继续下探，说明主力成本可能在100元以下</w:t>
      </w:r>
    </w:p>
    <w:p>
      <w:pPr>
        <w:pStyle w:val="ListBullet"/>
      </w:pPr>
      <w:r>
        <w:t>如果守住105反弹，说明105-106是有效支撑</w:t>
      </w:r>
    </w:p>
    <w:p>
      <w:r>
        <w:br w:type="page"/>
      </w:r>
    </w:p>
    <w:p>
      <w:pPr>
        <w:pStyle w:val="Heading1"/>
      </w:pPr>
      <w:r>
        <w:t>第三章：核心公式与操盘清单</w:t>
      </w:r>
    </w:p>
    <w:p>
      <w:pPr>
        <w:pStyle w:val="Heading2"/>
      </w:pPr>
      <w:r>
        <w:t>高盈亏比判断公式</w:t>
      </w:r>
    </w:p>
    <w:p>
      <w:pPr>
        <w:jc w:val="center"/>
      </w:pPr>
      <w:r>
        <w:rPr>
          <w:b/>
          <w:sz w:val="32"/>
        </w:rPr>
        <w:t>盈亏比 = 上涨空间 / 下跌空间</w:t>
      </w:r>
    </w:p>
    <w:p/>
    <w:p>
      <w:r>
        <w:rPr>
          <w:b/>
          <w:sz w:val="26"/>
        </w:rPr>
        <w:t>建仓条件：</w:t>
      </w:r>
    </w:p>
    <w:p>
      <w:pPr>
        <w:pStyle w:val="ListBullet"/>
      </w:pPr>
      <w:r>
        <w:t>下跌空间可计算可预测（有明确支撑位）</w:t>
      </w:r>
    </w:p>
    <w:p>
      <w:pPr>
        <w:pStyle w:val="ListBullet"/>
      </w:pPr>
      <w:r>
        <w:t>下跌幅度小于15%（从建仓价到止损位）</w:t>
      </w:r>
    </w:p>
    <w:p>
      <w:pPr>
        <w:pStyle w:val="ListBullet"/>
      </w:pPr>
      <w:r>
        <w:t>上涨空间大于30%（从建仓价到第一目标位）</w:t>
      </w:r>
    </w:p>
    <w:p>
      <w:pPr>
        <w:pStyle w:val="ListBullet"/>
      </w:pPr>
      <w:r>
        <w:t>盈亏比大于2:1（保守）或大于3:1（优秀）</w:t>
      </w:r>
    </w:p>
    <w:p>
      <w:pPr>
        <w:pStyle w:val="ListBullet"/>
      </w:pPr>
      <w:r>
        <w:t>在恐惧/不稳定中建仓（反共识）</w:t>
      </w:r>
    </w:p>
    <w:p>
      <w:pPr>
        <w:pStyle w:val="ListBullet"/>
      </w:pPr>
      <w:r>
        <w:t>不在看起来稳定时入场（避免接盘）</w:t>
      </w:r>
    </w:p>
    <w:p>
      <w:pPr>
        <w:pStyle w:val="Heading2"/>
      </w:pPr>
      <w:r>
        <w:t>操盘决策清单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t>散户恐惧/连续大跌/新低</w:t>
            </w:r>
          </w:p>
        </w:tc>
        <w:tc>
          <w:tcPr>
            <w:tcW w:type="dxa" w:w="4320"/>
          </w:tcPr>
          <w:p>
            <w:r>
              <w:t>寻找高盈亏比机会，准备建仓</w:t>
            </w:r>
          </w:p>
        </w:tc>
      </w:tr>
      <w:tr>
        <w:tc>
          <w:tcPr>
            <w:tcW w:type="dxa" w:w="4320"/>
          </w:tcPr>
          <w:p>
            <w:r>
              <w:t>散户看清趋势/稳定上涨</w:t>
            </w:r>
          </w:p>
        </w:tc>
        <w:tc>
          <w:tcPr>
            <w:tcW w:type="dxa" w:w="4320"/>
          </w:tcPr>
          <w:p>
            <w:r>
              <w:t>准备离场，不再追高</w:t>
            </w:r>
          </w:p>
        </w:tc>
      </w:tr>
      <w:tr>
        <w:tc>
          <w:tcPr>
            <w:tcW w:type="dxa" w:w="4320"/>
          </w:tcPr>
          <w:p>
            <w:r>
              <w:t>跌破支撑秒速收回</w:t>
            </w:r>
          </w:p>
        </w:tc>
        <w:tc>
          <w:tcPr>
            <w:tcW w:type="dxa" w:w="4320"/>
          </w:tcPr>
          <w:p>
            <w:r>
              <w:t>假跌破，主力洗盘，可以建仓</w:t>
            </w:r>
          </w:p>
        </w:tc>
      </w:tr>
      <w:tr>
        <w:tc>
          <w:tcPr>
            <w:tcW w:type="dxa" w:w="4320"/>
          </w:tcPr>
          <w:p>
            <w:r>
              <w:t>跌破支撑持续下跌</w:t>
            </w:r>
          </w:p>
        </w:tc>
        <w:tc>
          <w:tcPr>
            <w:tcW w:type="dxa" w:w="4320"/>
          </w:tcPr>
          <w:p>
            <w:r>
              <w:t>真跌破，观望，等企稳</w:t>
            </w:r>
          </w:p>
        </w:tc>
      </w:tr>
      <w:tr>
        <w:tc>
          <w:tcPr>
            <w:tcW w:type="dxa" w:w="4320"/>
          </w:tcPr>
          <w:p>
            <w:r>
              <w:t>当前价低于主力成本</w:t>
            </w:r>
          </w:p>
        </w:tc>
        <w:tc>
          <w:tcPr>
            <w:tcW w:type="dxa" w:w="4320"/>
          </w:tcPr>
          <w:p>
            <w:r>
              <w:t>主力被套，有护盘动力，可以跟随</w:t>
            </w:r>
          </w:p>
        </w:tc>
      </w:tr>
    </w:tbl>
    <w:p/>
    <w:p>
      <w:pPr>
        <w:pStyle w:val="Heading2"/>
      </w:pPr>
      <w:r>
        <w:t>A股机会窗口</w:t>
      </w:r>
    </w:p>
    <w:p>
      <w:pPr>
        <w:pStyle w:val="ListBullet"/>
      </w:pPr>
      <w:r>
        <w:t>10-50元区间：主力主战场，散户有机会参与</w:t>
      </w:r>
    </w:p>
    <w:p>
      <w:pPr>
        <w:pStyle w:val="ListBullet"/>
      </w:pPr>
      <w:r>
        <w:t>100元以上：不是散户的机会，看都别看</w:t>
      </w:r>
    </w:p>
    <w:p>
      <w:pPr>
        <w:pStyle w:val="ListBullet"/>
      </w:pPr>
      <w:r>
        <w:t>主力在10-20元建仓，拉到40-50元才公开趋势</w:t>
      </w:r>
    </w:p>
    <w:p>
      <w:pPr>
        <w:pStyle w:val="ListBullet"/>
      </w:pPr>
      <w:r>
        <w:t>散户看到趋势时（40-50元），已经错过了从10元到40元这段</w:t>
      </w:r>
    </w:p>
    <w:p/>
    <w:p>
      <w:pPr>
        <w:jc w:val="center"/>
      </w:pPr>
      <w:r>
        <w:rPr>
          <w:i/>
          <w:color w:val="969696"/>
          <w:sz w:val="18"/>
        </w:rPr>
        <w:br/>
        <w:br/>
        <w:t>本手册基于Adam的真实操盘经验与理论学习整理而成</w:t>
        <w:br/>
        <w:t>仅供内部学习参考，不构成投资建议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