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B0000"/>
          <w:sz w:val="64"/>
        </w:rPr>
        <w:t>2026年4月投资建议</w:t>
      </w:r>
    </w:p>
    <w:p>
      <w:pPr>
        <w:jc w:val="center"/>
      </w:pPr>
      <w:r>
        <w:rPr>
          <w:color w:val="505050"/>
          <w:sz w:val="32"/>
        </w:rPr>
        <w:t>霍尔木兹海峡危机下的中国煤化工与油气投资机会</w:t>
      </w:r>
    </w:p>
    <w:p>
      <w:pPr>
        <w:jc w:val="center"/>
      </w:pPr>
      <w:r>
        <w:rPr>
          <w:color w:val="787878"/>
          <w:sz w:val="24"/>
        </w:rPr>
        <w:t>报告日期：2026年3月29日</w:t>
      </w:r>
    </w:p>
    <w:p>
      <w:pPr>
        <w:jc w:val="center"/>
      </w:pPr>
      <w:r>
        <w:rPr>
          <w:color w:val="B40000"/>
          <w:sz w:val="20"/>
        </w:rPr>
        <w:t>⚠️ 本报告仅供参考，不构成投资建议</w:t>
      </w:r>
    </w:p>
    <w:p>
      <w:r>
        <w:br w:type="page"/>
      </w:r>
    </w:p>
    <w:p>
      <w:pPr>
        <w:pStyle w:val="Heading1"/>
      </w:pPr>
      <w:r>
        <w:rPr>
          <w:color w:val="8B0000"/>
        </w:rPr>
        <w:t>一、核心观点</w:t>
      </w:r>
    </w:p>
    <w:p>
      <w:r>
        <w:rPr>
          <w:b/>
          <w:sz w:val="24"/>
        </w:rPr>
        <w:t>一句话结论：</w:t>
      </w:r>
      <w:r>
        <w:t>霍尔木兹海峡危机使中国煤化工/油气龙头享受"原料自给+产品涨价"双重红利，4月仍是最佳配置窗口，但需区分"已涨到位"与"尚有空间"的标的，分批布局。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判断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大方向</w:t>
            </w:r>
          </w:p>
        </w:tc>
        <w:tc>
          <w:tcPr>
            <w:tcW w:type="dxa" w:w="2880"/>
          </w:tcPr>
          <w:p>
            <w:r>
              <w:rPr>
                <w:color w:val="008000"/>
                <w:sz w:val="20"/>
              </w:rPr>
              <w:t>看多 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危机持续是大概率事件，4月板块仍有上行空间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首选标的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华鲁恒升、宝丰能源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华鲁恒升3月回调近18%，估值更具吸引力；宝丰能源龙头地位稳固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次选标的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中国石油、中国海油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油价受益确定性强，防御性好，适合稳健配置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警惕标的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荣盛石化、恒力石化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炼化一体化受原料成本上涨压制，弹性不如煤化工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关键变量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海峡何时恢复通航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若全面恢复，板块将面临快速回调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建议仓位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总仓位30-40%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分两批建仓，上旬一批，中旬视局势加仓</w:t>
            </w:r>
          </w:p>
        </w:tc>
      </w:tr>
    </w:tbl>
    <w:p>
      <w:pPr>
        <w:pStyle w:val="Heading1"/>
      </w:pPr>
      <w:r>
        <w:rPr>
          <w:color w:val="8B0000"/>
        </w:rPr>
        <w:t>二、核心标的最新数据（截至3月28日）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最新收盘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5日涨幅(%)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30日涨幅(%)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年初至今(%)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距高点回撤(%)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年化波动率(%)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600989.SH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宝丰能源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-6.26%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+26.74%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+54.36%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-17.51%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77.42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002648.SZ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卫星化学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+8.22%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+20.10%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+56.42%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-7.40%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66.27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601898.SH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中煤能源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17.88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-3.19%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+19.28%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+43.04%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-9.56%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68.4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600938.SH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中国海油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41.07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-2.45%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+10.34%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+41.43%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-7.79%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67.33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601857.SH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中国石油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12.07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-2.19%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+8.84%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+19.86%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-11.83%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66.94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601011.SH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宝泰隆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+7.16%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+2.75%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+14.37%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-9.00%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50.88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600426.SH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华鲁恒升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36.31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+0.95%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-0.90%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+15.97%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-17.66%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53.63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601808.SH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中海油服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+1.29%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-4.83%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+16.97%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-24.30%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66.34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600309.SH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万华化学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79.98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+6.63%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-8.33%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+3.43%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-17.55%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41.92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600583.SH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海油工程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6.72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+4.35%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-10.04%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+20.86%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-22.94%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64.82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000830.SZ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鲁西化工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+5.06%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-10.06%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-1.22%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-25.73%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73.5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600346.SH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恒力石化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21.36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+5.38%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-15.87%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-2.95%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-20.89%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67.6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002493.SZ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荣盛石化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+7.17%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008000"/>
                <w:sz w:val="18"/>
              </w:rPr>
              <w:t>-19.12%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DC1414"/>
                <w:sz w:val="18"/>
              </w:rPr>
              <w:t>+4.58%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-26.13%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61.35</w:t>
            </w:r>
          </w:p>
        </w:tc>
      </w:tr>
    </w:tbl>
    <w:p>
      <w:pPr>
        <w:pStyle w:val="Heading1"/>
      </w:pPr>
      <w:r>
        <w:rPr>
          <w:color w:val="8B0000"/>
        </w:rPr>
        <w:t>三、4月投资组合推荐</w:t>
      </w:r>
    </w:p>
    <w:p>
      <w:pPr>
        <w:pStyle w:val="Heading2"/>
      </w:pPr>
      <w:r>
        <w:t>3.1 核心仓位（60%）— 煤化工龙头</w:t>
      </w:r>
    </w:p>
    <w:p>
      <w:r>
        <w:rPr>
          <w:b/>
        </w:rPr>
        <w:t>选股逻辑：</w:t>
      </w:r>
      <w:r>
        <w:t>原料完全自给，产品价格弹性大，危机持续期间利润确定性最高。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标的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3月涨幅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距高点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推荐理由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建议仓位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华鲁恒升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600426.SH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-17.66%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3月回调充分，估值具吸引力；煤化工多联产龙头，产品多元化分散风险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宝丰能源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600989.SH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+26.74%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-17.51%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煤制烯烃龙头，成本行业最低；产能扩张中，成长性突出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卫星化学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002648.SZ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+20.10%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-7.40%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C2/C3产业链完整；丙烯酸全球龙头，下游需求刚性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中煤能源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601898.SH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+19.28%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-9.56%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煤炭+煤化工一体化；估值低，股息率高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3.2 防御仓位（25%）— 国内油气开采</w:t>
      </w:r>
    </w:p>
    <w:p>
      <w:r>
        <w:rPr>
          <w:b/>
        </w:rPr>
        <w:t>选股逻辑：</w:t>
      </w:r>
      <w:r>
        <w:t>油价直接受益，业绩确定性强，波动率相对较低，提供组合防御性。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标的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3月涨幅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距高点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推荐理由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建议仓位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中国石油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601857.SH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+8.84%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-11.83%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国内最大油气生产商；高股息+油价弹性；"中特估"概念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中国海油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600938.SH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+10.34%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-7.79%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纯上游标的，油价弹性最大；海上油气储量丰富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3.3 机动仓位（15%）— 波段交易</w:t>
      </w:r>
    </w:p>
    <w:p>
      <w:r>
        <w:rPr>
          <w:b/>
        </w:rPr>
        <w:t>选股逻辑：</w:t>
      </w:r>
      <w:r>
        <w:t>高弹性标的，适合短线波段操作，需严格止损。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操作建议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宝泰隆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601011.SH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小盘煤化工，弹性大，波动剧烈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回调5日线附近买入，涨15%止盈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海油工程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600583.SH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油气工程，受益于上游资本开支增加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突破20日高点追入，跌破前低止损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中海油服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601808.SH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海上油服龙头，订单增长预期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类似海油工程策略</w:t>
            </w:r>
          </w:p>
        </w:tc>
      </w:tr>
    </w:tbl>
    <w:p>
      <w:pPr>
        <w:pStyle w:val="Heading1"/>
      </w:pPr>
      <w:r>
        <w:rPr>
          <w:color w:val="8B0000"/>
        </w:rPr>
        <w:t>四、建仓策略与节奏</w:t>
      </w:r>
    </w:p>
    <w:p>
      <w:pPr>
        <w:pStyle w:val="Heading2"/>
      </w:pPr>
      <w:r>
        <w:t>4.1 分批建仓计划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批次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仓位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第一批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4月1-3日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总仓位50%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按目标仓位50%建仓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节后开盘直接执行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第二批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4月7-11日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总仓位30%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加仓至80%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若海峡局势未缓和，确认后加仓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预留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4月中下旬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20%现金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视情况加仓或防御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若冲突升级满仓；若缓和则保持现金</w:t>
            </w:r>
          </w:p>
        </w:tc>
      </w:tr>
    </w:tbl>
    <w:p>
      <w:pPr>
        <w:pStyle w:val="Heading2"/>
      </w:pPr>
      <w:r>
        <w:t>4.2 买入价位参考</w:t>
      </w:r>
    </w:p>
    <w:p>
      <w:r>
        <w:t>基于3月28日收盘价，建议的买入价位：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标的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当前价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建议买入价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止损价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目标价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预期收益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华鲁恒升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35.00-36.50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宝丰能源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28.00-30.00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卫星化学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27.78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26.50-28.00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中煤能源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17.88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16.80-18.00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中国石油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11.50-12.20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中国海油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38.50-41.00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+22%</w:t>
            </w:r>
          </w:p>
        </w:tc>
      </w:tr>
    </w:tbl>
    <w:p>
      <w:pPr>
        <w:pStyle w:val="Heading1"/>
      </w:pPr>
      <w:r>
        <w:rPr>
          <w:color w:val="8B0000"/>
        </w:rPr>
        <w:t>五、不同情景下的应对策略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触发信号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操作策略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冲突升级</w:t>
              <w:br/>
              <w:t>（概率：中高）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海峡进一步封锁</w:t>
              <w:br/>
              <w:t>油价突破130美元</w:t>
              <w:br/>
              <w:t>化工品价格加速上涨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满仓持有</w:t>
              <w:br/>
              <w:t>减持防御仓加码煤化工</w:t>
              <w:br/>
              <w:t>适当加杠杆（如融资）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板块涨幅加速</w:t>
              <w:br/>
              <w:t>煤化工利润超预期</w:t>
              <w:br/>
              <w:t>组合收益最大化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维持僵局</w:t>
              <w:br/>
              <w:t>（概率：中等）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海峡未恢复但无升级</w:t>
              <w:br/>
              <w:t>油价100-120美元震荡</w:t>
              <w:br/>
              <w:t>化工品高位运行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保持80%仓位</w:t>
              <w:br/>
              <w:t>耐心持有核心标的</w:t>
              <w:br/>
              <w:t>等待一季报催化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板块震荡上行</w:t>
              <w:br/>
              <w:t>时间换空间</w:t>
              <w:br/>
              <w:t>享受业绩兑现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部分恢复</w:t>
              <w:br/>
              <w:t>（概率：中低）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有限度恢复通航</w:t>
              <w:br/>
              <w:t>油价回落至85-100美元</w:t>
              <w:br/>
              <w:t>化工品价格回落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减仓至50%</w:t>
              <w:br/>
              <w:t>保留龙头去除弹性标的</w:t>
              <w:br/>
              <w:t>增加现金比例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锁定部分利润</w:t>
              <w:br/>
              <w:t>降低组合波动</w:t>
              <w:br/>
              <w:t>防御为主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快速缓和</w:t>
              <w:br/>
              <w:t>（概率：低）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全面恢复通航</w:t>
              <w:br/>
              <w:t>油价快速回落至80美元以下</w:t>
              <w:br/>
              <w:t>市场风险偏好骤降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果断减仓至20%以下</w:t>
              <w:br/>
              <w:t>止损弱势股</w:t>
              <w:br/>
              <w:t>保留最强龙头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保护本金</w:t>
              <w:br/>
              <w:t>减少损失</w:t>
              <w:br/>
              <w:t>等待下一次机会</w:t>
            </w:r>
          </w:p>
        </w:tc>
      </w:tr>
    </w:tbl>
    <w:p>
      <w:pPr>
        <w:pStyle w:val="Heading1"/>
      </w:pPr>
      <w:r>
        <w:rPr>
          <w:color w:val="8B0000"/>
        </w:rPr>
        <w:t>六、风险控制要点</w:t>
      </w:r>
    </w:p>
    <w:p>
      <w:r>
        <w:rPr>
          <w:b/>
          <w:color w:val="8B0000"/>
        </w:rPr>
        <w:t>【止损纪律】</w:t>
      </w:r>
      <w:r>
        <w:t xml:space="preserve"> 单只标的亏损超过15%无条件止损；组合整体亏损超过10%降至半仓。</w:t>
      </w:r>
    </w:p>
    <w:p>
      <w:r>
        <w:rPr>
          <w:b/>
          <w:color w:val="8B0000"/>
        </w:rPr>
        <w:t>【仓位控制】</w:t>
      </w:r>
      <w:r>
        <w:t xml:space="preserve"> 任何时候保留至少10%现金，不追涨杀跌，不满仓单押一个方向。</w:t>
      </w:r>
    </w:p>
    <w:p>
      <w:r>
        <w:rPr>
          <w:b/>
          <w:color w:val="8B0000"/>
        </w:rPr>
        <w:t>【信息跟踪】</w:t>
      </w:r>
      <w:r>
        <w:t xml:space="preserve"> 每日关注：霍尔木兹海峡新闻、国际油价走势、化工品现货价格、一季报预告。</w:t>
      </w:r>
    </w:p>
    <w:p>
      <w:r>
        <w:rPr>
          <w:b/>
          <w:color w:val="8B0000"/>
        </w:rPr>
        <w:t>【止盈纪律】</w:t>
      </w:r>
      <w:r>
        <w:t xml:space="preserve"> 单只标的盈利超过40%开始分批止盈；板块整体涨幅超过50%降低仓位至50%。</w:t>
      </w:r>
    </w:p>
    <w:p>
      <w:r>
        <w:rPr>
          <w:b/>
          <w:color w:val="8B0000"/>
        </w:rPr>
        <w:t>【时间止损】</w:t>
      </w:r>
      <w:r>
        <w:t xml:space="preserve"> 若4月中旬板块仍未启动（涨幅&lt;5%），检视逻辑是否成立，必要时减仓。</w:t>
      </w:r>
    </w:p>
    <w:p>
      <w:r>
        <w:rPr>
          <w:b/>
          <w:color w:val="8B0000"/>
        </w:rPr>
        <w:t>【分散持仓】</w:t>
      </w:r>
      <w:r>
        <w:t xml:space="preserve"> 至少持有3个以上标的，单一标的不超过总仓位25%。</w:t>
      </w:r>
    </w:p>
    <w:p>
      <w:pPr>
        <w:pStyle w:val="Heading1"/>
      </w:pPr>
      <w:r>
        <w:rPr>
          <w:color w:val="8B0000"/>
        </w:rPr>
        <w:t>七、4月需重点跟踪的指标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当前值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看多信号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DC1414"/>
                <w:sz w:val="20"/>
              </w:rPr>
              <w:t>看空信号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霍尔木兹海峡通航情况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禁航中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持续封锁/升级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恢复通航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布伦特原油价格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~120美元/桶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&gt;100美元/桶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&lt;85美元/桶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化工品现货价格（LLDPE）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持续上涨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周涨幅&gt;3%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周跌幅&gt;5%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煤化工开工率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&gt;85%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&lt;70%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IEA战略储备释放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4亿桶已释放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不再追加释放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大规模追加释放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中美关系动态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关注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缓和迹象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对抗升级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一季报预告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4月中旬开始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20"/>
              </w:rPr>
              <w:t>煤化工预增&gt;100%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DC1414"/>
                <w:sz w:val="20"/>
              </w:rPr>
              <w:t>低于预期</w:t>
            </w:r>
          </w:p>
        </w:tc>
      </w:tr>
    </w:tbl>
    <w:p>
      <w:pPr>
        <w:pStyle w:val="Heading1"/>
      </w:pPr>
      <w:r>
        <w:rPr>
          <w:color w:val="646464"/>
        </w:rPr>
        <w:t>八、风险声明</w:t>
      </w:r>
    </w:p>
    <w:p>
      <w:pPr>
        <w:pStyle w:val="ListBullet"/>
      </w:pPr>
      <w:r>
        <w:t>本报告仅为个人观点，不构成任何投资建议或承诺。投资有风险，入市需谨慎。</w:t>
      </w:r>
    </w:p>
    <w:p>
      <w:pPr>
        <w:pStyle w:val="ListBullet"/>
      </w:pPr>
      <w:r>
        <w:t>报告中的数据来源于公开信息，可能存在偏差或滞后。</w:t>
      </w:r>
    </w:p>
    <w:p>
      <w:pPr>
        <w:pStyle w:val="ListBullet"/>
      </w:pPr>
      <w:r>
        <w:t>地缘政治局势瞬息万变，报告中的判断可能因突发事件而失效。</w:t>
      </w:r>
    </w:p>
    <w:p>
      <w:pPr>
        <w:pStyle w:val="ListBullet"/>
      </w:pPr>
      <w:r>
        <w:t>过往业绩不代表未来表现，任何投资决策需结合个人风险承受能力。</w:t>
      </w:r>
    </w:p>
    <w:p>
      <w:pPr>
        <w:pStyle w:val="ListBullet"/>
      </w:pPr>
      <w:r>
        <w:t>投资者应根据自身情况独立做出投资决策，并承担相应风险和损失。</w:t>
      </w:r>
    </w:p>
    <w:p/>
    <w:p>
      <w:pPr>
        <w:jc w:val="right"/>
      </w:pPr>
      <w:r>
        <w:rPr>
          <w:color w:val="969696"/>
          <w:sz w:val="18"/>
        </w:rPr>
        <w:t>报告生成时间：2026-03-29 00:12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