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A股不对称战场</w:t>
        <w:br/>
        <w:t>操盘手册</w:t>
      </w:r>
    </w:p>
    <w:p>
      <w:pPr>
        <w:jc w:val="center"/>
      </w:pPr>
      <w:r>
        <w:rPr>
          <w:color w:val="646464"/>
          <w:sz w:val="22"/>
        </w:rPr>
        <w:t>版本：4.0 | 2026年3月31日</w:t>
        <w:br/>
        <w:br/>
        <w:t>Eve 整理 | 基于 Adam 真实操盘经验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第一部分  认清战场 — 为什么散户必输</w:t>
      </w:r>
    </w:p>
    <w:p>
      <w:r>
        <w:t>第二部分  怎么赚钱 — 高盈亏比的捕获</w:t>
      </w:r>
    </w:p>
    <w:p>
      <w:r>
        <w:t>第三部分  A股的特殊规则 — 政策市与主力操盘</w:t>
      </w:r>
    </w:p>
    <w:p>
      <w:r>
        <w:t>第四部分  实战验证 — 用案例检验理论</w:t>
      </w:r>
    </w:p>
    <w:p>
      <w:r>
        <w:t>第五部分  信息分析 — 事实调查方法</w:t>
      </w:r>
    </w:p>
    <w:p>
      <w:r>
        <w:t>第六部分  补强机制 — 从学术视角看操盘（Eve补充）</w:t>
      </w:r>
    </w:p>
    <w:p>
      <w:r>
        <w:t>附：核心公式</w:t>
      </w:r>
    </w:p>
    <w:p>
      <w:r>
        <w:br w:type="page"/>
      </w:r>
    </w:p>
    <w:p>
      <w:pPr>
        <w:pStyle w:val="Heading1"/>
      </w:pPr>
      <w:r>
        <w:t>第一部分  认清战场 — 为什么散户必输</w:t>
      </w:r>
    </w:p>
    <w:p>
      <w:pPr>
        <w:pStyle w:val="Heading2"/>
      </w:pPr>
      <w:r>
        <w:t>一、反对称性：大众共识 = 陷阱</w:t>
      </w:r>
    </w:p>
    <w:p>
      <w:r>
        <w:rPr>
          <w:b/>
          <w:sz w:val="24"/>
        </w:rPr>
        <w:t>1. 共识之下，难以炒作。</w:t>
      </w:r>
    </w:p>
    <w:p>
      <w:pPr>
        <w:ind w:left="567"/>
      </w:pPr>
      <w:r>
        <w:t>当所有人都认同的方向，就不是利润来源。市场的本质是零和博弈，利润来自于认知差，而不是共识。</w:t>
      </w:r>
    </w:p>
    <w:p>
      <w:r>
        <w:rPr>
          <w:b/>
          <w:sz w:val="24"/>
        </w:rPr>
        <w:t>2. 追求"管理确定性"是违背交易获利原则的。</w:t>
      </w:r>
    </w:p>
    <w:p>
      <w:pPr>
        <w:ind w:left="567"/>
      </w:pPr>
      <w:r>
        <w:t>交易不追求稳定性，要管理不确定性。不善于管理不确定性，就会被淘汰。试图用"稳定"的思维去管理"不稳定"的市场，本身就是矛盾的。</w:t>
      </w:r>
    </w:p>
    <w:p>
      <w:r>
        <w:rPr>
          <w:b/>
          <w:sz w:val="24"/>
        </w:rPr>
        <w:t>3. 散户在"看起来稳定"时入场。</w:t>
      </w:r>
    </w:p>
    <w:p>
      <w:pPr>
        <w:ind w:left="567"/>
      </w:pPr>
      <w:r>
        <w:t>这时候恰恰是主力派发筹码的机会，真正的机会不在这个时刻。稳定是主力营造的假象，目的是吸引散户接盘。</w:t>
      </w:r>
    </w:p>
    <w:p>
      <w:r>
        <w:rPr>
          <w:b/>
          <w:sz w:val="24"/>
        </w:rPr>
        <w:t>4. 机会出现在恐惧、最不耐烦的时候。</w:t>
      </w:r>
    </w:p>
    <w:p>
      <w:pPr>
        <w:ind w:left="567"/>
      </w:pPr>
      <w:r>
        <w:t>新低连续大跌、让人恐惧不安等不稳定状态，或出现突发消息——赚大钱在这几种"不稳定要变化"的时期。当稳定产生就是该离场的时候，当你认定趋势产生，也是它结束的时候。</w:t>
      </w:r>
    </w:p>
    <w:p>
      <w:r>
        <w:br w:type="page"/>
      </w:r>
    </w:p>
    <w:p>
      <w:pPr>
        <w:pStyle w:val="Heading1"/>
      </w:pPr>
      <w:r>
        <w:t>第二部分  怎么赚钱 — 高盈亏比的捕获</w:t>
      </w:r>
    </w:p>
    <w:p>
      <w:pPr>
        <w:pStyle w:val="Heading2"/>
      </w:pPr>
      <w:r>
        <w:t>二、不对称性：高盈亏比的本质</w:t>
      </w:r>
    </w:p>
    <w:p>
      <w:r>
        <w:rPr>
          <w:b/>
          <w:sz w:val="24"/>
        </w:rPr>
        <w:t>5. 高盈亏比只存在于恐惧不耐烦之中。</w:t>
      </w:r>
    </w:p>
    <w:p>
      <w:pPr>
        <w:ind w:left="567"/>
      </w:pPr>
      <w:r>
        <w:t>一旦共识产生、稳定趋势出现，就不存在高盈亏比。这是市场的底层规律——利润来自于不确定性。</w:t>
      </w:r>
    </w:p>
    <w:p>
      <w:r>
        <w:rPr>
          <w:b/>
          <w:sz w:val="24"/>
        </w:rPr>
        <w:t>6. 高盈亏比的本质。</w:t>
      </w:r>
    </w:p>
    <w:p>
      <w:pPr>
        <w:ind w:left="567"/>
      </w:pPr>
      <w:r>
        <w:t>股价下行可计算可预测（下跌空间有限且可量），股价上涨远大于股价下跌（上行空间巨大）。</w:t>
      </w:r>
    </w:p>
    <w:p>
      <w:r>
        <w:rPr>
          <w:b/>
          <w:sz w:val="24"/>
        </w:rPr>
        <w:t>7. 长线、短线、中线都要追求高盈亏比，这是普适原则。</w:t>
      </w:r>
    </w:p>
    <w:p>
      <w:pPr>
        <w:ind w:left="567"/>
      </w:pPr>
      <w:r>
        <w:t>不分周期，不分市场。</w:t>
      </w:r>
    </w:p>
    <w:p>
      <w:pPr>
        <w:pStyle w:val="Heading2"/>
      </w:pPr>
      <w:r>
        <w:t>三、不追成功率，追单次盈利幅度</w:t>
      </w:r>
    </w:p>
    <w:p>
      <w:r>
        <w:rPr>
          <w:b/>
          <w:sz w:val="24"/>
        </w:rPr>
        <w:t>8. 不追求成功率，追求对的时候能赚多少钱——是一倍还是数倍。</w:t>
      </w:r>
    </w:p>
    <w:p>
      <w:pPr>
        <w:ind w:left="567"/>
      </w:pPr>
      <w:r>
        <w:t>成功率是散户的执念：10次对7次，每次赚5%赚35%，3次亏15%亏45%，总账还是亏。</w:t>
        <w:br/>
        <w:t>真正赚钱的逻辑：10次对3次，但每次赚一倍到数倍；7次亏但每次只亏一点点。</w:t>
        <w:br/>
        <w:t>总账：3次翻倍=+300%，7次小亏=-50%，净赚250%。</w:t>
        <w:br/>
        <w:t>不是赢的次数多，是赢的时候赢得足够大。</w:t>
      </w:r>
    </w:p>
    <w:p>
      <w:pPr>
        <w:pStyle w:val="Heading2"/>
      </w:pPr>
      <w:r>
        <w:t>四、什么时候该走</w:t>
      </w:r>
    </w:p>
    <w:p>
      <w:r>
        <w:rPr>
          <w:b/>
          <w:sz w:val="24"/>
        </w:rPr>
        <w:t>9. 散户看清趋势时要离场。</w:t>
      </w:r>
    </w:p>
    <w:p>
      <w:pPr>
        <w:ind w:left="567"/>
      </w:pPr>
      <w:r>
        <w:t>因为此时已无高盈亏比。当趋势被所有人看见时，利润已经被先行者吃完。</w:t>
      </w:r>
    </w:p>
    <w:p>
      <w:r>
        <w:rPr>
          <w:b/>
          <w:sz w:val="24"/>
        </w:rPr>
        <w:t>10. 这些原理西方交易大师早有论述。彼得林奇：</w:t>
      </w:r>
    </w:p>
    <w:p>
      <w:pPr>
        <w:jc w:val="center"/>
      </w:pPr>
      <w:r>
        <w:rPr>
          <w:i/>
          <w:color w:val="003366"/>
          <w:sz w:val="26"/>
        </w:rPr>
        <w:t>"我可以亏很多次，每次只亏一点点。</w:t>
        <w:br/>
        <w:t>只要抓住上帝给的机会一次，我就翻身把前面亏的几倍于成本收益赚回来。</w:t>
        <w:br/>
        <w:t>保持耐心，保持谨慎，留在牌桌上我就有机会。"</w:t>
      </w:r>
    </w:p>
    <w:p>
      <w:pPr>
        <w:ind w:left="567"/>
      </w:pPr>
      <w:r>
        <w:t>亏很多次 -&gt; 每次严格止损，单次亏损有限（硬止损15%以内）</w:t>
        <w:br/>
        <w:t>抓住一次 -&gt; 翻倍股的收益远超多次小亏的累计</w:t>
        <w:br/>
        <w:t>留在牌桌上 -&gt; 保护本金永远是第一优先级，活下来才有下一次</w:t>
        <w:br/>
        <w:t>和高盈亏比原理一脉相承：小亏大赚，用无数次小止损换来一次大机会</w:t>
      </w:r>
    </w:p>
    <w:p>
      <w:r>
        <w:br w:type="page"/>
      </w:r>
    </w:p>
    <w:p>
      <w:pPr>
        <w:pStyle w:val="Heading1"/>
      </w:pPr>
      <w:r>
        <w:t>第三部分  A股的特殊规则 — 政策市与主力操盘</w:t>
      </w:r>
    </w:p>
    <w:p>
      <w:pPr>
        <w:pStyle w:val="Heading2"/>
      </w:pPr>
      <w:r>
        <w:t>五、政策市分类框架</w:t>
      </w:r>
    </w:p>
    <w:p>
      <w:r>
        <w:rPr>
          <w:b/>
          <w:sz w:val="24"/>
        </w:rPr>
        <w:t>11. A股是一个政策市。</w:t>
      </w:r>
    </w:p>
    <w:p>
      <w:r>
        <w:t>在A股，政府干预价格是常态，不是例外。投资的第一步不是选公司，而是判断这个行业政策允不允许涨价。</w:t>
      </w:r>
    </w:p>
    <w:p>
      <w:r>
        <w:t>三大行业类型：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行业类型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投资逻辑</w:t>
            </w:r>
          </w:p>
        </w:tc>
      </w:tr>
      <w:tr>
        <w:tc>
          <w:tcPr>
            <w:tcW w:type="dxa" w:w="2880"/>
          </w:tcPr>
          <w:p>
            <w:r>
              <w:t>政策稳价型</w:t>
            </w:r>
          </w:p>
        </w:tc>
        <w:tc>
          <w:tcPr>
            <w:tcW w:type="dxa" w:w="2880"/>
          </w:tcPr>
          <w:p>
            <w:r>
              <w:t>涉及民生，政府不允许涨价</w:t>
            </w:r>
          </w:p>
        </w:tc>
        <w:tc>
          <w:tcPr>
            <w:tcW w:type="dxa" w:w="2880"/>
          </w:tcPr>
          <w:p>
            <w:r>
              <w:t>不做涨价预期，只做成本分析和周期底部判断</w:t>
            </w:r>
          </w:p>
        </w:tc>
      </w:tr>
      <w:tr>
        <w:tc>
          <w:tcPr>
            <w:tcW w:type="dxa" w:w="2880"/>
          </w:tcPr>
          <w:p>
            <w:r>
              <w:t>政策鼓励型</w:t>
            </w:r>
          </w:p>
        </w:tc>
        <w:tc>
          <w:tcPr>
            <w:tcW w:type="dxa" w:w="2880"/>
          </w:tcPr>
          <w:p>
            <w:r>
              <w:t>国家战略方向，政策补贴</w:t>
            </w:r>
          </w:p>
        </w:tc>
        <w:tc>
          <w:tcPr>
            <w:tcW w:type="dxa" w:w="2880"/>
          </w:tcPr>
          <w:p>
            <w:r>
              <w:t>关注政策力度和补贴变化</w:t>
            </w:r>
          </w:p>
        </w:tc>
      </w:tr>
      <w:tr>
        <w:tc>
          <w:tcPr>
            <w:tcW w:type="dxa" w:w="2880"/>
          </w:tcPr>
          <w:p>
            <w:r>
              <w:t>市场定价型</w:t>
            </w:r>
          </w:p>
        </w:tc>
        <w:tc>
          <w:tcPr>
            <w:tcW w:type="dxa" w:w="2880"/>
          </w:tcPr>
          <w:p>
            <w:r>
              <w:t>完全市场化，供需决定价格</w:t>
            </w:r>
          </w:p>
        </w:tc>
        <w:tc>
          <w:tcPr>
            <w:tcW w:type="dxa" w:w="2880"/>
          </w:tcPr>
          <w:p>
            <w:r>
              <w:t>做涨价弹性分析</w:t>
            </w:r>
          </w:p>
        </w:tc>
      </w:tr>
    </w:tbl>
    <w:p/>
    <w:p>
      <w:r>
        <w:t>判断流程：</w:t>
      </w:r>
    </w:p>
    <w:p>
      <w:pPr>
        <w:pStyle w:val="ListBullet"/>
      </w:pPr>
      <w:r>
        <w:t>这个行业涉及民生/三农吗？</w:t>
      </w:r>
    </w:p>
    <w:p>
      <w:pPr>
        <w:pStyle w:val="ListBullet"/>
      </w:pPr>
      <w:r>
        <w:t>政策允许涨价吗？</w:t>
      </w:r>
    </w:p>
    <w:p>
      <w:pPr>
        <w:pStyle w:val="ListBullet"/>
      </w:pPr>
      <w:r>
        <w:t>不允许 -&gt; 不做涨价预期，只做成本分析和周期底部判断</w:t>
      </w:r>
    </w:p>
    <w:p>
      <w:pPr>
        <w:pStyle w:val="ListBullet"/>
      </w:pPr>
      <w:r>
        <w:t>允许 -&gt; 做涨价弹性分析</w:t>
      </w:r>
    </w:p>
    <w:p/>
    <w:p>
      <w:r>
        <w:rPr>
          <w:b/>
        </w:rPr>
        <w:t>选错行业类型，再好的公司也赚不到钱。政策市分类是一切分析的起点。</w:t>
      </w:r>
    </w:p>
    <w:p/>
    <w:p>
      <w:pPr>
        <w:pStyle w:val="Heading2"/>
      </w:pPr>
      <w:r>
        <w:t>六、主力操盘规则变了</w:t>
      </w:r>
    </w:p>
    <w:p>
      <w:r>
        <w:rPr>
          <w:b/>
          <w:sz w:val="24"/>
        </w:rPr>
        <w:t>12. 炒作标的升级。</w:t>
      </w:r>
    </w:p>
    <w:p>
      <w:pPr>
        <w:ind w:left="567"/>
      </w:pPr>
      <w:r>
        <w:t>以前：炒2-3元垃圾股拉到6-8元，低价给散户捡筹码的机会。现在：主力标的10-20元股票炒到40-50元，40-50元股票炒到几百元。不给散户捡筹码的机会。</w:t>
      </w:r>
    </w:p>
    <w:p>
      <w:r>
        <w:rPr>
          <w:b/>
          <w:sz w:val="24"/>
        </w:rPr>
        <w:t>13. 100元以上的股票不是为散户思维准备的机会。</w:t>
      </w:r>
    </w:p>
    <w:p>
      <w:pPr>
        <w:ind w:left="567"/>
      </w:pPr>
      <w:r>
        <w:t>散户看到100+就觉得"太高了"不敢买，形成主力的护城河。散户不会买就没有散户筹码，拉升阻力为零。等散户终于敢买了，已经是200+，接盘。</w:t>
      </w:r>
    </w:p>
    <w:p>
      <w:r>
        <w:rPr>
          <w:b/>
          <w:sz w:val="24"/>
        </w:rPr>
        <w:t>14. A股散户的机会窗口：10-50元区间。</w:t>
      </w:r>
    </w:p>
    <w:p>
      <w:pPr>
        <w:ind w:left="567"/>
      </w:pPr>
      <w:r>
        <w:t>100元以上不是散户的机会，看都别看。</w:t>
      </w:r>
    </w:p>
    <w:p>
      <w:r>
        <w:rPr>
          <w:b/>
          <w:sz w:val="24"/>
        </w:rPr>
        <w:t>15. 新模式下的盈亏比反而更好。</w:t>
      </w:r>
    </w:p>
    <w:p>
      <w:pPr>
        <w:ind w:left="567"/>
      </w:pPr>
      <w:r>
        <w:t>以前3元买入目标6元（盈亏比2:1）。现在15元买入目标50元（盈亏比11.6:1）。越贵的股票，主力成本越锁定，散户筹码越少，拉升越轻松。</w:t>
      </w:r>
    </w:p>
    <w:p>
      <w:r>
        <w:rPr>
          <w:b/>
          <w:sz w:val="24"/>
        </w:rPr>
        <w:t>16. "散户看清趋势"的定义也变了。</w:t>
      </w:r>
    </w:p>
    <w:p>
      <w:pPr>
        <w:ind w:left="567"/>
      </w:pPr>
      <w:r>
        <w:t>以前是6元追高，现在是50元追高。但原理不变——散户看清趋势时，高盈亏比已经消失。</w:t>
      </w:r>
    </w:p>
    <w:p>
      <w:r>
        <w:br w:type="page"/>
      </w:r>
    </w:p>
    <w:p>
      <w:pPr>
        <w:pStyle w:val="Heading1"/>
      </w:pPr>
      <w:r>
        <w:t>第四部分  实战验证 — 用案例检验理论</w:t>
      </w:r>
    </w:p>
    <w:p>
      <w:pPr>
        <w:pStyle w:val="Heading2"/>
      </w:pPr>
      <w:r>
        <w:t>案例一：002788 鹭燕医药（反面教材）</w:t>
      </w:r>
    </w:p>
    <w:p>
      <w:r>
        <w:rPr>
          <w:i/>
          <w:color w:val="969696"/>
        </w:rPr>
        <w:t>在"稳定"中入场的代价</w:t>
      </w:r>
    </w:p>
    <w:p>
      <w:pPr>
        <w:pStyle w:val="ListBullet"/>
      </w:pPr>
      <w:r>
        <w:t>5年前15.6元建仓50万</w:t>
      </w:r>
    </w:p>
    <w:p>
      <w:pPr>
        <w:pStyle w:val="ListBullet"/>
      </w:pPr>
      <w:r>
        <w:t>一路跌到7-8元，套牢3年+，浮亏50%</w:t>
      </w:r>
    </w:p>
    <w:p>
      <w:pPr>
        <w:pStyle w:val="ListBullet"/>
      </w:pPr>
      <w:r>
        <w:t>去年10月启动，15元解套，15-23元出货</w:t>
      </w:r>
    </w:p>
    <w:p>
      <w:r>
        <w:rPr>
          <w:b/>
          <w:color w:val="C80000"/>
        </w:rPr>
        <w:t>教训：</w:t>
      </w:r>
    </w:p>
    <w:p>
      <w:r>
        <w:t>15.6建仓 = 在"稳定"中入场 = 高价买，等5年才回本。真正的高盈亏比在7-8元（盈亏比8.5:1）。</w:t>
      </w:r>
    </w:p>
    <w:p/>
    <w:p>
      <w:pPr>
        <w:pStyle w:val="Heading2"/>
      </w:pPr>
      <w:r>
        <w:t>案例二：688347 华虹公司（正面教材）</w:t>
      </w:r>
    </w:p>
    <w:p>
      <w:r>
        <w:rPr>
          <w:i/>
          <w:color w:val="969696"/>
        </w:rPr>
        <w:t>从失败到成功的进化</w:t>
      </w:r>
    </w:p>
    <w:p>
      <w:pPr>
        <w:pStyle w:val="Heading3"/>
      </w:pPr>
      <w:r>
        <w:t>操盘时间线</w:t>
      </w:r>
    </w:p>
    <w:p>
      <w:pPr>
        <w:pStyle w:val="ListBullet"/>
      </w:pPr>
      <w:r>
        <w:t>2023.08.07 上市，首日开盘58.73，收盘52.91</w:t>
      </w:r>
    </w:p>
    <w:p>
      <w:pPr>
        <w:pStyle w:val="ListBullet"/>
      </w:pPr>
      <w:r>
        <w:t>2023.08底 48.5元买入2手（看起来稳定入场，错误）</w:t>
      </w:r>
    </w:p>
    <w:p>
      <w:pPr>
        <w:pStyle w:val="ListBullet"/>
      </w:pPr>
      <w:r>
        <w:t>一路阴跌：2024.02跌到27.75，2024.09最低26.60（跌幅-53%）</w:t>
      </w:r>
    </w:p>
    <w:p>
      <w:pPr>
        <w:pStyle w:val="ListBullet"/>
      </w:pPr>
      <w:r>
        <w:t>因恐惧没有补仓（反面教训）</w:t>
      </w:r>
    </w:p>
    <w:p>
      <w:pPr>
        <w:pStyle w:val="ListBullet"/>
      </w:pPr>
      <w:r>
        <w:t>2024.09.24 启动，2024.10涨到50.04</w:t>
      </w:r>
    </w:p>
    <w:p>
      <w:pPr>
        <w:pStyle w:val="ListBullet"/>
      </w:pPr>
      <w:r>
        <w:t>2025.08.15 主升浪开始，2025.09突破100元</w:t>
      </w:r>
    </w:p>
    <w:p>
      <w:pPr>
        <w:pStyle w:val="ListBullet"/>
      </w:pPr>
      <w:r>
        <w:t>2025.10回调到100元以内，看清主力成本87元附近</w:t>
      </w:r>
    </w:p>
    <w:p>
      <w:pPr>
        <w:pStyle w:val="ListBullet"/>
      </w:pPr>
      <w:r>
        <w:t>2025.12 股价跌到97元附近企稳，买入1000股，均价87元</w:t>
      </w:r>
    </w:p>
    <w:p>
      <w:pPr>
        <w:pStyle w:val="ListBullet"/>
      </w:pPr>
      <w:r>
        <w:t>2026.01 元旦后暴涨，涨到140</w:t>
      </w:r>
    </w:p>
    <w:p>
      <w:pPr>
        <w:pStyle w:val="ListBullet"/>
      </w:pPr>
      <w:r>
        <w:t>2026.01后 145元卖出800股，盈利57%</w:t>
      </w:r>
    </w:p>
    <w:p>
      <w:pPr>
        <w:pStyle w:val="ListBullet"/>
      </w:pPr>
      <w:r>
        <w:t>2026.01.28 涨到166.50（卖完后继续涨21元，但守住了利润）</w:t>
      </w:r>
    </w:p>
    <w:p>
      <w:pPr>
        <w:pStyle w:val="ListBullet"/>
      </w:pPr>
      <w:r>
        <w:t>2026.03.31 回调到105.90</w:t>
      </w:r>
    </w:p>
    <w:p>
      <w:pPr>
        <w:pStyle w:val="Heading3"/>
      </w:pPr>
      <w:r>
        <w:t>两笔建仓对比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第一笔（48.5元）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第二笔（87元）</w:t>
            </w:r>
          </w:p>
        </w:tc>
      </w:tr>
      <w:tr>
        <w:tc>
          <w:tcPr>
            <w:tcW w:type="dxa" w:w="2880"/>
          </w:tcPr>
          <w:p>
            <w:r>
              <w:t>入场环境</w:t>
            </w:r>
          </w:p>
        </w:tc>
        <w:tc>
          <w:tcPr>
            <w:tcW w:type="dxa" w:w="2880"/>
          </w:tcPr>
          <w:p>
            <w:r>
              <w:t>看起来稳定（错误）</w:t>
            </w:r>
          </w:p>
        </w:tc>
        <w:tc>
          <w:tcPr>
            <w:tcW w:type="dxa" w:w="2880"/>
          </w:tcPr>
          <w:p>
            <w:r>
              <w:t>恐惧回调中（正确）</w:t>
            </w:r>
          </w:p>
        </w:tc>
      </w:tr>
      <w:tr>
        <w:tc>
          <w:tcPr>
            <w:tcW w:type="dxa" w:w="2880"/>
          </w:tcPr>
          <w:p>
            <w:r>
              <w:t>下跌空间</w:t>
            </w:r>
          </w:p>
        </w:tc>
        <w:tc>
          <w:tcPr>
            <w:tcW w:type="dxa" w:w="2880"/>
          </w:tcPr>
          <w:p>
            <w:r>
              <w:t>-45%</w:t>
            </w:r>
          </w:p>
        </w:tc>
        <w:tc>
          <w:tcPr>
            <w:tcW w:type="dxa" w:w="2880"/>
          </w:tcPr>
          <w:p>
            <w:r>
              <w:t>-10%</w:t>
            </w:r>
          </w:p>
        </w:tc>
      </w:tr>
      <w:tr>
        <w:tc>
          <w:tcPr>
            <w:tcW w:type="dxa" w:w="2880"/>
          </w:tcPr>
          <w:p>
            <w:r>
              <w:t>上涨空间</w:t>
            </w:r>
          </w:p>
        </w:tc>
        <w:tc>
          <w:tcPr>
            <w:tcW w:type="dxa" w:w="2880"/>
          </w:tcPr>
          <w:p>
            <w:r>
              <w:t>+242%</w:t>
            </w:r>
          </w:p>
        </w:tc>
        <w:tc>
          <w:tcPr>
            <w:tcW w:type="dxa" w:w="2880"/>
          </w:tcPr>
          <w:p>
            <w:r>
              <w:t>+67%</w:t>
            </w:r>
          </w:p>
        </w:tc>
      </w:tr>
      <w:tr>
        <w:tc>
          <w:tcPr>
            <w:tcW w:type="dxa" w:w="2880"/>
          </w:tcPr>
          <w:p>
            <w:r>
              <w:t>盈亏比</w:t>
            </w:r>
          </w:p>
        </w:tc>
        <w:tc>
          <w:tcPr>
            <w:tcW w:type="dxa" w:w="2880"/>
          </w:tcPr>
          <w:p>
            <w:r>
              <w:t>差（下跌不可预测）</w:t>
            </w:r>
          </w:p>
        </w:tc>
        <w:tc>
          <w:tcPr>
            <w:tcW w:type="dxa" w:w="2880"/>
          </w:tcPr>
          <w:p>
            <w:r>
              <w:t>6.7:1（优秀）</w:t>
            </w:r>
          </w:p>
        </w:tc>
      </w:tr>
      <w:tr>
        <w:tc>
          <w:tcPr>
            <w:tcW w:type="dxa" w:w="2880"/>
          </w:tcPr>
          <w:p>
            <w:r>
              <w:t>持有时间</w:t>
            </w:r>
          </w:p>
        </w:tc>
        <w:tc>
          <w:tcPr>
            <w:tcW w:type="dxa" w:w="2880"/>
          </w:tcPr>
          <w:p>
            <w:r>
              <w:t>3年+</w:t>
            </w:r>
          </w:p>
        </w:tc>
        <w:tc>
          <w:tcPr>
            <w:tcW w:type="dxa" w:w="2880"/>
          </w:tcPr>
          <w:p>
            <w:r>
              <w:t>3个月</w:t>
            </w:r>
          </w:p>
        </w:tc>
      </w:tr>
      <w:tr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浮亏45%，等3年</w:t>
            </w:r>
          </w:p>
        </w:tc>
        <w:tc>
          <w:tcPr>
            <w:tcW w:type="dxa" w:w="2880"/>
          </w:tcPr>
          <w:p>
            <w:r>
              <w:t>盈利57%，3个月</w:t>
            </w:r>
          </w:p>
        </w:tc>
      </w:tr>
    </w:tbl>
    <w:p/>
    <w:p>
      <w:r>
        <w:rPr>
          <w:b/>
        </w:rPr>
        <w:t>关键转折：</w:t>
      </w:r>
    </w:p>
    <w:p>
      <w:r>
        <w:t>从恐惧（26.8没敢补仓）-&gt; 学会看清主力成本（87元）-&gt; 在回调中精准建仓 -&gt; 在趋势公开时果断离场。</w:t>
      </w:r>
    </w:p>
    <w:p/>
    <w:p>
      <w:pPr>
        <w:pStyle w:val="Heading2"/>
      </w:pPr>
      <w:r>
        <w:t>案例三：600666 奥瑞德 vs 300769 德方纳米（同日对比）</w:t>
      </w:r>
    </w:p>
    <w:p>
      <w:r>
        <w:t>2026年3月31日，同一天分析的两只股票，走势完全不同，完美印证理论。</w:t>
      </w:r>
    </w:p>
    <w:p>
      <w:r>
        <w:rPr>
          <w:b/>
        </w:rPr>
        <w:t>600666 奥瑞德（反面）：</w:t>
      </w:r>
    </w:p>
    <w:p>
      <w:pPr>
        <w:ind w:left="567"/>
      </w:pPr>
      <w:r>
        <w:t>主力在5.8-6.0出货，今日跌-7.85%，放量出逃。买1仅463手，卖盘层层压单。短线没有操作价值。</w:t>
      </w:r>
    </w:p>
    <w:p>
      <w:r>
        <w:rPr>
          <w:b/>
        </w:rPr>
        <w:t>300769 德方纳米（正面）：</w:t>
      </w:r>
    </w:p>
    <w:p>
      <w:pPr>
        <w:ind w:left="567"/>
      </w:pPr>
      <w:r>
        <w:t>43.92击穿44后3分钟收回（假跌破），444手大单主动买入，洗盘吸筹。建仓区44.0-44.5，止损43.5。</w:t>
      </w:r>
    </w:p>
    <w:p>
      <w:r>
        <w:br w:type="page"/>
      </w:r>
    </w:p>
    <w:p>
      <w:pPr>
        <w:pStyle w:val="Heading1"/>
      </w:pPr>
      <w:r>
        <w:t>第五部分  信息分析 — 事实调查方法</w:t>
      </w:r>
    </w:p>
    <w:p>
      <w:pPr>
        <w:pStyle w:val="Heading2"/>
      </w:pPr>
      <w:r>
        <w:t>七、公告语义三层拆解法</w:t>
      </w:r>
    </w:p>
    <w:p>
      <w:r>
        <w:t>任何一条公司公告或新闻，都要做三层拆解：</w:t>
      </w:r>
    </w:p>
    <w:p>
      <w:r>
        <w:rPr>
          <w:b/>
        </w:rPr>
        <w:t>第一层：公司说了什么？（原文摘录）</w:t>
      </w:r>
    </w:p>
    <w:p>
      <w:pPr>
        <w:ind w:left="567"/>
      </w:pPr>
      <w:r>
        <w:t>只看原文，不看媒体转述。媒体转述会加主观判断，扭曲原意。</w:t>
      </w:r>
    </w:p>
    <w:p>
      <w:r>
        <w:rPr>
          <w:b/>
        </w:rPr>
        <w:t>第二层：公司没说什么？（关键缺省信息）</w:t>
      </w:r>
    </w:p>
    <w:p>
      <w:pPr>
        <w:ind w:left="567"/>
      </w:pPr>
      <w:r>
        <w:t>这是最重要的部分。公司只会说对自己有利的，不说不利的。"恢复订舱"没说"恢复直航"，这就是缺省。</w:t>
      </w:r>
    </w:p>
    <w:p>
      <w:r>
        <w:rPr>
          <w:b/>
        </w:rPr>
        <w:t>第三层：市场会怎么误读？（预期差方向）</w:t>
      </w:r>
    </w:p>
    <w:p>
      <w:pPr>
        <w:ind w:left="567"/>
      </w:pPr>
      <w:r>
        <w:t>散户看到"恢复"就以为利好。但如果"恢复"的是边缘业务、不是核心业务，预期差就是负的——股价反而会跌。</w:t>
      </w:r>
    </w:p>
    <w:p>
      <w:pPr>
        <w:pStyle w:val="Heading2"/>
      </w:pPr>
      <w:r>
        <w:t>八、利好/利空翻转检查清单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表面利好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实际可能是利空的信号</w:t>
            </w:r>
          </w:p>
        </w:tc>
      </w:tr>
      <w:tr>
        <w:tc>
          <w:tcPr>
            <w:tcW w:type="dxa" w:w="4320"/>
          </w:tcPr>
          <w:p>
            <w:r>
              <w:t>恢复XX业务</w:t>
            </w:r>
          </w:p>
        </w:tc>
        <w:tc>
          <w:tcPr>
            <w:tcW w:type="dxa" w:w="4320"/>
          </w:tcPr>
          <w:p>
            <w:r>
              <w:t>恢复的是边缘业务，核心未恢复</w:t>
            </w:r>
          </w:p>
        </w:tc>
      </w:tr>
      <w:tr>
        <w:tc>
          <w:tcPr>
            <w:tcW w:type="dxa" w:w="4320"/>
          </w:tcPr>
          <w:p>
            <w:r>
              <w:t>签署框架协议</w:t>
            </w:r>
          </w:p>
        </w:tc>
        <w:tc>
          <w:tcPr>
            <w:tcW w:type="dxa" w:w="4320"/>
          </w:tcPr>
          <w:p>
            <w:r>
              <w:t>无约束力、无金额、无时间表</w:t>
            </w:r>
          </w:p>
        </w:tc>
      </w:tr>
      <w:tr>
        <w:tc>
          <w:tcPr>
            <w:tcW w:type="dxa" w:w="4320"/>
          </w:tcPr>
          <w:p>
            <w:r>
              <w:t>获得XX订单</w:t>
            </w:r>
          </w:p>
        </w:tc>
        <w:tc>
          <w:tcPr>
            <w:tcW w:type="dxa" w:w="4320"/>
          </w:tcPr>
          <w:p>
            <w:r>
              <w:t>金额远低于预期、毛利率极低</w:t>
            </w:r>
          </w:p>
        </w:tc>
      </w:tr>
      <w:tr>
        <w:tc>
          <w:tcPr>
            <w:tcW w:type="dxa" w:w="4320"/>
          </w:tcPr>
          <w:p>
            <w:r>
              <w:t>业绩预告增长</w:t>
            </w:r>
          </w:p>
        </w:tc>
        <w:tc>
          <w:tcPr>
            <w:tcW w:type="dxa" w:w="4320"/>
          </w:tcPr>
          <w:p>
            <w:r>
              <w:t>增速环比下降、低于市场预期</w:t>
            </w:r>
          </w:p>
        </w:tc>
      </w:tr>
      <w:tr>
        <w:tc>
          <w:tcPr>
            <w:tcW w:type="dxa" w:w="4320"/>
          </w:tcPr>
          <w:p>
            <w:r>
              <w:t>获得政策支持</w:t>
            </w:r>
          </w:p>
        </w:tc>
        <w:tc>
          <w:tcPr>
            <w:tcW w:type="dxa" w:w="4320"/>
          </w:tcPr>
          <w:p>
            <w:r>
              <w:t>实际补贴金额很小、行业普惠</w:t>
            </w:r>
          </w:p>
        </w:tc>
      </w:tr>
    </w:tbl>
    <w:p/>
    <w:p>
      <w:pPr>
        <w:pStyle w:val="Heading2"/>
      </w:pPr>
      <w:r>
        <w:t>九、多信源交叉验证</w:t>
      </w:r>
    </w:p>
    <w:p>
      <w:r>
        <w:t>单一信源不可信，必须四层验证：</w:t>
      </w:r>
    </w:p>
    <w:p>
      <w:r>
        <w:rPr>
          <w:b/>
        </w:rPr>
        <w:t>公司公告：</w:t>
      </w:r>
    </w:p>
    <w:p>
      <w:pPr>
        <w:ind w:left="567"/>
      </w:pPr>
      <w:r>
        <w:t>原始素材，但公司会美化。</w:t>
      </w:r>
    </w:p>
    <w:p>
      <w:r>
        <w:rPr>
          <w:b/>
        </w:rPr>
        <w:t>券商研报：</w:t>
      </w:r>
    </w:p>
    <w:p>
      <w:pPr>
        <w:ind w:left="567"/>
      </w:pPr>
      <w:r>
        <w:t>有逻辑链和数据，但可能站台。</w:t>
      </w:r>
    </w:p>
    <w:p>
      <w:r>
        <w:rPr>
          <w:b/>
        </w:rPr>
        <w:t>行业数据：</w:t>
      </w:r>
    </w:p>
    <w:p>
      <w:pPr>
        <w:ind w:left="567"/>
      </w:pPr>
      <w:r>
        <w:t>定量验证（运价指数、AIS船舶数据等），滞后但客观。</w:t>
      </w:r>
    </w:p>
    <w:p>
      <w:r>
        <w:rPr>
          <w:b/>
        </w:rPr>
        <w:t>实际运营证据：</w:t>
      </w:r>
    </w:p>
    <w:p>
      <w:pPr>
        <w:ind w:left="567"/>
      </w:pPr>
      <w:r>
        <w:t>地面真相（AIS/卫星/实地），最可靠但最难获取。</w:t>
      </w:r>
    </w:p>
    <w:p>
      <w:r>
        <w:rPr>
          <w:b/>
        </w:rPr>
        <w:t>验证公式：公司公告 -&gt; 券商解读 -&gt; 行业数据 -&gt; 实际运营证据。四个方向一致才是真利好，任何一个方向矛盾就要警惕。</w:t>
      </w:r>
    </w:p>
    <w:p/>
    <w:p>
      <w:pPr>
        <w:pStyle w:val="Heading2"/>
      </w:pPr>
      <w:r>
        <w:t>十、事实调查所需资源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公告原文（巨潮资讯、港交所）</w:t>
            </w:r>
          </w:p>
        </w:tc>
        <w:tc>
          <w:tcPr>
            <w:tcW w:type="dxa" w:w="2880"/>
          </w:tcPr>
          <w:p>
            <w:r>
              <w:t>公司官方措辞，不可被媒体转述误导</w:t>
            </w:r>
          </w:p>
        </w:tc>
        <w:tc>
          <w:tcPr>
            <w:tcW w:type="dxa" w:w="2880"/>
          </w:tcPr>
          <w:p>
            <w:r>
              <w:t>5星</w:t>
            </w:r>
          </w:p>
        </w:tc>
      </w:tr>
      <w:tr>
        <w:tc>
          <w:tcPr>
            <w:tcW w:type="dxa" w:w="2880"/>
          </w:tcPr>
          <w:p>
            <w:r>
              <w:t>券商研报原文</w:t>
            </w:r>
          </w:p>
        </w:tc>
        <w:tc>
          <w:tcPr>
            <w:tcW w:type="dxa" w:w="2880"/>
          </w:tcPr>
          <w:p>
            <w:r>
              <w:t>比新闻摘要多出逻辑链和数据</w:t>
            </w:r>
          </w:p>
        </w:tc>
        <w:tc>
          <w:tcPr>
            <w:tcW w:type="dxa" w:w="2880"/>
          </w:tcPr>
          <w:p>
            <w:r>
              <w:t>5星</w:t>
            </w:r>
          </w:p>
        </w:tc>
      </w:tr>
      <w:tr>
        <w:tc>
          <w:tcPr>
            <w:tcW w:type="dxa" w:w="2880"/>
          </w:tcPr>
          <w:p>
            <w:r>
              <w:t>船舶AIS数据（MarineTraffic）</w:t>
            </w:r>
          </w:p>
        </w:tc>
        <w:tc>
          <w:tcPr>
            <w:tcW w:type="dxa" w:w="2880"/>
          </w:tcPr>
          <w:p>
            <w:r>
              <w:t>验证"海峡有无船只通行"</w:t>
            </w:r>
          </w:p>
        </w:tc>
        <w:tc>
          <w:tcPr>
            <w:tcW w:type="dxa" w:w="2880"/>
          </w:tcPr>
          <w:p>
            <w:r>
              <w:t>5星</w:t>
            </w:r>
          </w:p>
        </w:tc>
      </w:tr>
      <w:tr>
        <w:tc>
          <w:tcPr>
            <w:tcW w:type="dxa" w:w="2880"/>
          </w:tcPr>
          <w:p>
            <w:r>
              <w:t>运价指数（SCFI/BDI）</w:t>
            </w:r>
          </w:p>
        </w:tc>
        <w:tc>
          <w:tcPr>
            <w:tcW w:type="dxa" w:w="2880"/>
          </w:tcPr>
          <w:p>
            <w:r>
              <w:t>定量验证市场实际定价</w:t>
            </w:r>
          </w:p>
        </w:tc>
        <w:tc>
          <w:tcPr>
            <w:tcW w:type="dxa" w:w="2880"/>
          </w:tcPr>
          <w:p>
            <w:r>
              <w:t>4星</w:t>
            </w:r>
          </w:p>
        </w:tc>
      </w:tr>
      <w:tr>
        <w:tc>
          <w:tcPr>
            <w:tcW w:type="dxa" w:w="2880"/>
          </w:tcPr>
          <w:p>
            <w:r>
              <w:t>保险/运费衍生品数据</w:t>
            </w:r>
          </w:p>
        </w:tc>
        <w:tc>
          <w:tcPr>
            <w:tcW w:type="dxa" w:w="2880"/>
          </w:tcPr>
          <w:p>
            <w:r>
              <w:t>专业市场的真实判断</w:t>
            </w:r>
          </w:p>
        </w:tc>
        <w:tc>
          <w:tcPr>
            <w:tcW w:type="dxa" w:w="2880"/>
          </w:tcPr>
          <w:p>
            <w:r>
              <w:t>4星</w:t>
            </w:r>
          </w:p>
        </w:tc>
      </w:tr>
      <w:tr>
        <w:tc>
          <w:tcPr>
            <w:tcW w:type="dxa" w:w="2880"/>
          </w:tcPr>
          <w:p>
            <w:r>
              <w:t>行业专家纪要</w:t>
            </w:r>
          </w:p>
        </w:tc>
        <w:tc>
          <w:tcPr>
            <w:tcW w:type="dxa" w:w="2880"/>
          </w:tcPr>
          <w:p>
            <w:r>
              <w:t>理解专业术语和隐含风险</w:t>
            </w:r>
          </w:p>
        </w:tc>
        <w:tc>
          <w:tcPr>
            <w:tcW w:type="dxa" w:w="2880"/>
          </w:tcPr>
          <w:p>
            <w:r>
              <w:t>3星</w:t>
            </w:r>
          </w:p>
        </w:tc>
      </w:tr>
    </w:tbl>
    <w:p/>
    <w:p>
      <w:pPr>
        <w:pStyle w:val="Heading2"/>
      </w:pPr>
      <w:r>
        <w:t>十一、事实调查与政策市的关系</w:t>
      </w:r>
    </w:p>
    <w:p>
      <w:r>
        <w:t>事实调查是政策市分析的延伸。政策市告诉你"这个行业能不能涨"，事实调查告诉你"这条消息是不是真的利好"。两者结合：先用政策市框架判断行业类型，再用事实调查框架验证每条消息的真实含义。</w:t>
      </w:r>
    </w:p>
    <w:p>
      <w:pPr>
        <w:pStyle w:val="Heading2"/>
      </w:pPr>
      <w:r>
        <w:t>案例四：中远海控"恢复订舱"事件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表面信号（散户视角）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深层信号（事实调查视角）</w:t>
            </w:r>
          </w:p>
        </w:tc>
      </w:tr>
      <w:tr>
        <w:tc>
          <w:tcPr>
            <w:tcW w:type="dxa" w:w="4320"/>
          </w:tcPr>
          <w:p>
            <w:r>
              <w:t>"恢复订舱业务" -&gt; 利好！恢复运营了！</w:t>
            </w:r>
          </w:p>
        </w:tc>
        <w:tc>
          <w:tcPr>
            <w:tcW w:type="dxa" w:w="4320"/>
          </w:tcPr>
          <w:p>
            <w:r>
              <w:t>无直航霍尔木兹海峡 -&gt; 核心通道仍断</w:t>
            </w:r>
          </w:p>
        </w:tc>
      </w:tr>
      <w:tr>
        <w:tc>
          <w:tcPr>
            <w:tcW w:type="dxa" w:w="4320"/>
          </w:tcPr>
          <w:p>
            <w:r>
              <w:t>公司恢复正常业务</w:t>
            </w:r>
          </w:p>
        </w:tc>
        <w:tc>
          <w:tcPr>
            <w:tcW w:type="dxa" w:w="4320"/>
          </w:tcPr>
          <w:p>
            <w:r>
              <w:t>只恢复到外港（富查伊拉、豪尔费坎、苏哈尔）</w:t>
            </w:r>
          </w:p>
        </w:tc>
      </w:tr>
      <w:tr>
        <w:tc>
          <w:tcPr>
            <w:tcW w:type="dxa" w:w="4320"/>
          </w:tcPr>
          <w:p>
            <w:r>
              <w:t>航运业恢复信心</w:t>
            </w:r>
          </w:p>
        </w:tc>
        <w:tc>
          <w:tcPr>
            <w:tcW w:type="dxa" w:w="4320"/>
          </w:tcPr>
          <w:p>
            <w:r>
              <w:t>需陆路转运 -&gt; 成本上升、时效下降、运力受限</w:t>
            </w:r>
          </w:p>
        </w:tc>
      </w:tr>
      <w:tr>
        <w:tc>
          <w:tcPr>
            <w:tcW w:type="dxa" w:w="4320"/>
          </w:tcPr>
          <w:p>
            <w:r>
              <w:t>股价应该涨</w:t>
            </w:r>
          </w:p>
        </w:tc>
        <w:tc>
          <w:tcPr>
            <w:tcW w:type="dxa" w:w="4320"/>
          </w:tcPr>
          <w:p>
            <w:r>
              <w:t>3月25日当天海峡零船只进出 -&gt; 实际通航状态极差</w:t>
            </w:r>
          </w:p>
        </w:tc>
      </w:tr>
      <w:tr>
        <w:tc>
          <w:tcPr>
            <w:tcW w:type="dxa" w:w="4320"/>
          </w:tcPr>
          <w:p>
            <w:r>
              <w:t>券商研报看好</w:t>
            </w:r>
          </w:p>
        </w:tc>
        <w:tc>
          <w:tcPr>
            <w:tcW w:type="dxa" w:w="4320"/>
          </w:tcPr>
          <w:p>
            <w:r>
              <w:t>兴证交运澄清：不涉及直航复航</w:t>
            </w:r>
          </w:p>
        </w:tc>
      </w:tr>
    </w:tbl>
    <w:p/>
    <w:p>
      <w:r>
        <w:rPr>
          <w:b/>
        </w:rPr>
        <w:t>结论：公告真实，但市场解读方向反了。表面看多，深层看空。这就是散户被"公开消息"收割的典型场景。</w:t>
      </w:r>
    </w:p>
    <w:p>
      <w:r>
        <w:br w:type="page"/>
      </w:r>
    </w:p>
    <w:p>
      <w:pPr>
        <w:pStyle w:val="Heading1"/>
      </w:pPr>
      <w:r>
        <w:t>第六部分  补强机制 — 从学术视角看操盘</w:t>
      </w:r>
    </w:p>
    <w:p>
      <w:r>
        <w:rPr>
          <w:i/>
          <w:color w:val="646464"/>
        </w:rPr>
        <w:t>以下内容由 Eve 从行为金融学、交易哲学和数学角度补充，站在巨人的肩膀上审视前文理论。</w:t>
      </w:r>
    </w:p>
    <w:p/>
    <w:p>
      <w:pPr>
        <w:pStyle w:val="Heading2"/>
      </w:pPr>
      <w:r>
        <w:t>十二、仓位管理的数学依据</w:t>
      </w:r>
    </w:p>
    <w:p>
      <w:r>
        <w:rPr>
          <w:b/>
          <w:sz w:val="24"/>
        </w:rPr>
        <w:t>17. 仓位应该用凯利公式推导，不是经验法则。</w:t>
      </w:r>
    </w:p>
    <w:p>
      <w:r>
        <w:t>手册前面说了"2-3成仓起步"，但没有解释为什么是2-3成。凯利公式给出了数学答案：</w:t>
      </w:r>
    </w:p>
    <w:p>
      <w:pPr>
        <w:jc w:val="center"/>
      </w:pPr>
      <w:r>
        <w:rPr>
          <w:b/>
          <w:color w:val="003366"/>
          <w:sz w:val="28"/>
        </w:rPr>
        <w:t>最优仓位 = (胜率 x 赔率 - 败率) / 赔率</w:t>
      </w:r>
    </w:p>
    <w:p/>
    <w:p>
      <w:r>
        <w:t>举例：假设你判断正确概率40%，盈亏比3:1：</w:t>
      </w:r>
    </w:p>
    <w:p>
      <w:r>
        <w:t>最优仓位 = (0.4 x 3 - 0.6) / 3 = 0.2 = 20%</w:t>
      </w:r>
    </w:p>
    <w:p>
      <w:r>
        <w:t>这正好就是你说的2成仓！用数学推导出来，比"经验法则"更有说服力。</w:t>
      </w:r>
    </w:p>
    <w:p>
      <w:r>
        <w:t>凯利公式的启示：最优下注比例取决于赔率，不是胜率。胜率60%但赔率1:1，不如胜率30%但赔率3:1。</w:t>
      </w:r>
    </w:p>
    <w:p/>
    <w:p>
      <w:pPr>
        <w:pStyle w:val="Heading2"/>
      </w:pPr>
      <w:r>
        <w:t>十三、反向验证机制</w:t>
      </w:r>
    </w:p>
    <w:p>
      <w:r>
        <w:rPr>
          <w:b/>
          <w:sz w:val="24"/>
        </w:rPr>
        <w:t>18. 每周做一次"如果我是空头，我会怎么看这只股票？"如果空头的逻辑比你多，立即减仓。</w:t>
      </w:r>
    </w:p>
    <w:p>
      <w:r>
        <w:t>人天然有确认偏差（Confirmation Bias）——买入后会只看支持自己的信息，忽略反面信息。这是心理学铁律，谁都逃不掉。</w:t>
      </w:r>
    </w:p>
    <w:p>
      <w:r>
        <w:t>索罗斯之所以富有，是因为他知道自己什么时候错了。他说："我之所以富有，不是因为我总是对的，而是因为我能在发现自己错误时立即改正。"</w:t>
      </w:r>
    </w:p>
    <w:p>
      <w:r>
        <w:t>具体操作：每周花10分钟，站在空头的立场写3条看空理由。如果写不出来，说明你真的看懂了。如果能写出5条以上，说明你可能在自欺欺人。</w:t>
      </w:r>
    </w:p>
    <w:p/>
    <w:p>
      <w:pPr>
        <w:pStyle w:val="Heading2"/>
      </w:pPr>
      <w:r>
        <w:t>十四、沉没成本谬误</w:t>
      </w:r>
    </w:p>
    <w:p>
      <w:r>
        <w:rPr>
          <w:b/>
          <w:sz w:val="24"/>
        </w:rPr>
        <w:t>19. 问自己"如果我今天空仓，会不会以当前价格买入？"不会就卖。</w:t>
      </w:r>
    </w:p>
    <w:p>
      <w:r>
        <w:t>你的002788案例是最好的反面教材：15.6元买入后跌到7.8元，没有卖出，这是典型的沉没成本谬误——"我已经亏了50%，卖了就真的亏了"。</w:t>
      </w:r>
    </w:p>
    <w:p>
      <w:r>
        <w:t>但正确的思考方式是：如果我今天空仓，我愿意以7.8元的价格买入这只股票吗？</w:t>
      </w:r>
    </w:p>
    <w:p>
      <w:r>
        <w:t>如果答案是"不愿意"，那你持有的理由就不成立，应该卖出。</w:t>
      </w:r>
    </w:p>
    <w:p>
      <w:r>
        <w:t>如果答案是"愿意"，那就继续持有。</w:t>
      </w:r>
    </w:p>
    <w:p>
      <w:r>
        <w:t>这条规则可以帮你避免"死扛到底"的悲剧。</w:t>
      </w:r>
    </w:p>
    <w:p/>
    <w:p>
      <w:pPr>
        <w:pStyle w:val="Heading2"/>
      </w:pPr>
      <w:r>
        <w:t>十五、政策市的时间维度</w:t>
      </w:r>
    </w:p>
    <w:p>
      <w:r>
        <w:rPr>
          <w:b/>
          <w:sz w:val="24"/>
        </w:rPr>
        <w:t>20. 同一个行业在不同时间维度下，政策市分类可能不同。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操作方式</w:t>
            </w:r>
          </w:p>
        </w:tc>
      </w:tr>
      <w:tr>
        <w:tc>
          <w:tcPr>
            <w:tcW w:type="dxa" w:w="2880"/>
          </w:tcPr>
          <w:p>
            <w:r>
              <w:t>短期政策催化</w:t>
            </w:r>
          </w:p>
        </w:tc>
        <w:tc>
          <w:tcPr>
            <w:tcW w:type="dxa" w:w="2880"/>
          </w:tcPr>
          <w:p>
            <w:r>
              <w:t>突发事件、产业政策</w:t>
            </w:r>
          </w:p>
        </w:tc>
        <w:tc>
          <w:tcPr>
            <w:tcW w:type="dxa" w:w="2880"/>
          </w:tcPr>
          <w:p>
            <w:r>
              <w:t>做短线</w:t>
            </w:r>
          </w:p>
        </w:tc>
      </w:tr>
      <w:tr>
        <w:tc>
          <w:tcPr>
            <w:tcW w:type="dxa" w:w="2880"/>
          </w:tcPr>
          <w:p>
            <w:r>
              <w:t>中期行业周期</w:t>
            </w:r>
          </w:p>
        </w:tc>
        <w:tc>
          <w:tcPr>
            <w:tcW w:type="dxa" w:w="2880"/>
          </w:tcPr>
          <w:p>
            <w:r>
              <w:t>猪周期、半导体周期</w:t>
            </w:r>
          </w:p>
        </w:tc>
        <w:tc>
          <w:tcPr>
            <w:tcW w:type="dxa" w:w="2880"/>
          </w:tcPr>
          <w:p>
            <w:r>
              <w:t>做波段</w:t>
            </w:r>
          </w:p>
        </w:tc>
      </w:tr>
      <w:tr>
        <w:tc>
          <w:tcPr>
            <w:tcW w:type="dxa" w:w="2880"/>
          </w:tcPr>
          <w:p>
            <w:r>
              <w:t>长期结构性变化</w:t>
            </w:r>
          </w:p>
        </w:tc>
        <w:tc>
          <w:tcPr>
            <w:tcW w:type="dxa" w:w="2880"/>
          </w:tcPr>
          <w:p>
            <w:r>
              <w:t>国产替代、新能源转型</w:t>
            </w:r>
          </w:p>
        </w:tc>
        <w:tc>
          <w:tcPr>
            <w:tcW w:type="dxa" w:w="2880"/>
          </w:tcPr>
          <w:p>
            <w:r>
              <w:t>做长线</w:t>
            </w:r>
          </w:p>
        </w:tc>
      </w:tr>
    </w:tbl>
    <w:p/>
    <w:p>
      <w:r>
        <w:t>例如煤炭：短期是市场定价（随油价波动），长期是政策鼓励（能源安全）。不能用一个分类套所有时间维度。</w:t>
      </w:r>
    </w:p>
    <w:p>
      <w:r>
        <w:br w:type="page"/>
      </w:r>
    </w:p>
    <w:p>
      <w:pPr>
        <w:pStyle w:val="Heading1"/>
      </w:pPr>
      <w:r>
        <w:t>附：核心公式</w:t>
      </w:r>
    </w:p>
    <w:p>
      <w:pPr>
        <w:jc w:val="center"/>
      </w:pPr>
      <w:r>
        <w:rPr>
          <w:b/>
          <w:color w:val="003366"/>
          <w:sz w:val="36"/>
        </w:rPr>
        <w:t>盈亏比 = 上涨空间 / 下跌空间</w:t>
      </w:r>
    </w:p>
    <w:p/>
    <w:p>
      <w:pPr>
        <w:pStyle w:val="ListBullet"/>
      </w:pPr>
      <w:r>
        <w:t>下跌空间可计算可预测（有明确支撑位）</w:t>
      </w:r>
    </w:p>
    <w:p>
      <w:pPr>
        <w:pStyle w:val="ListBullet"/>
      </w:pPr>
      <w:r>
        <w:t>下跌幅度 &lt; 15%（从建仓价到止损位）</w:t>
      </w:r>
    </w:p>
    <w:p>
      <w:pPr>
        <w:pStyle w:val="ListBullet"/>
      </w:pPr>
      <w:r>
        <w:t>上涨空间 &gt; 30%（从建仓价到第一目标位）</w:t>
      </w:r>
    </w:p>
    <w:p>
      <w:pPr>
        <w:pStyle w:val="ListBullet"/>
      </w:pPr>
      <w:r>
        <w:t>盈亏比 &gt; 2:1（保守）或 &gt; 3:1（优秀）</w:t>
      </w:r>
    </w:p>
    <w:p>
      <w:pPr>
        <w:pStyle w:val="ListBullet"/>
      </w:pPr>
      <w:r>
        <w:t>在恐惧/不稳定中建仓（反共识）</w:t>
      </w:r>
    </w:p>
    <w:p>
      <w:pPr>
        <w:pStyle w:val="ListBullet"/>
      </w:pPr>
      <w:r>
        <w:t>不在"看起来稳定"时入场（避免接盘）</w:t>
      </w:r>
    </w:p>
    <w:p/>
    <w:p>
      <w:pPr>
        <w:jc w:val="center"/>
      </w:pPr>
      <w:r>
        <w:rPr>
          <w:b/>
          <w:color w:val="003366"/>
          <w:sz w:val="28"/>
        </w:rPr>
        <w:t>最优仓位 = (胜率 x 赔率 - 败率) / 赔率</w:t>
      </w:r>
    </w:p>
    <w:p/>
    <w:p>
      <w:pPr>
        <w:jc w:val="center"/>
      </w:pPr>
      <w:r>
        <w:rPr>
          <w:i/>
          <w:color w:val="969696"/>
          <w:sz w:val="20"/>
        </w:rPr>
        <w:br/>
        <w:br/>
        <w:t>本手册基于Adam的真实操盘经验与理论学习整理而成</w:t>
        <w:br/>
        <w:t>仅供内部学习参考，不构成投资建议</w:t>
        <w:br/>
        <w:br/>
        <w:t>代码只是工具，决策在你。</w:t>
      </w:r>
    </w:p>
    <w:p/>
    <w:p>
      <w:pPr>
        <w:jc w:val="center"/>
      </w:pPr>
      <w:r>
        <w:rPr>
          <w:i/>
          <w:color w:val="787878"/>
          <w:sz w:val="18"/>
        </w:rPr>
        <w:t>——————————————————————————————</w:t>
        <w:br/>
        <w:t>第六部分 补强机制 由 Eve 补充</w:t>
        <w:br/>
        <w:t>理论来源：</w:t>
        <w:br/>
        <w:t>凯利公式（Kelly Criterion）—— John L. Kelly Jr., 1956</w:t>
        <w:br/>
        <w:t>前景理论（Prospect Theory）—— Daniel Kahneman &amp; Amos Tversky, 1979</w:t>
        <w:br/>
        <w:t>反脆弱（Antifragile）—— Nassim Nicholas Taleb, 2012</w:t>
        <w:br/>
        <w:t>索罗斯反身性理论（Reflexivity）—— George Soros</w:t>
        <w:br/>
        <w:t>确认偏差（Confirmation Bias）—— 认知心理学经典概念</w:t>
        <w:br/>
        <w:t>沉没成本谬误（Sunk Cost Fallacy）—— 经济学基础概念</w:t>
        <w:br/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