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98DD" w14:textId="77777777" w:rsidR="00171247" w:rsidRDefault="0057566A">
      <w:pPr>
        <w:jc w:val="center"/>
        <w:rPr>
          <w:b/>
        </w:rPr>
      </w:pPr>
      <w:r>
        <w:rPr>
          <w:b/>
        </w:rPr>
        <w:t>Preliminary Analysis of Epitope Identification</w:t>
      </w:r>
    </w:p>
    <w:p w14:paraId="0CDA1022" w14:textId="77777777" w:rsidR="00171247" w:rsidRDefault="0057566A">
      <w:r>
        <w:t xml:space="preserve">We have identified the epitopes of ~274 antigens using four predictors – ISPRED, DOCKPRED, VORFFIP, Meta-PPISP.  The global F-scores, MCC, and areas under the ROC curve and PR curve are given in the following table for bound antigens (using the structure of known bound antigens based on the crystal structure of the antigen – antibody complex).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171247" w14:paraId="693F397D" w14:textId="77777777">
        <w:tc>
          <w:tcPr>
            <w:tcW w:w="1870" w:type="dxa"/>
          </w:tcPr>
          <w:p w14:paraId="24A9A485" w14:textId="77777777" w:rsidR="00171247" w:rsidRDefault="00171247"/>
        </w:tc>
        <w:tc>
          <w:tcPr>
            <w:tcW w:w="1870" w:type="dxa"/>
          </w:tcPr>
          <w:p w14:paraId="1B1956B0" w14:textId="77777777" w:rsidR="00171247" w:rsidRDefault="0057566A">
            <w:r>
              <w:t>ISPRED</w:t>
            </w:r>
          </w:p>
        </w:tc>
        <w:tc>
          <w:tcPr>
            <w:tcW w:w="1870" w:type="dxa"/>
          </w:tcPr>
          <w:p w14:paraId="361F65A5" w14:textId="77777777" w:rsidR="00171247" w:rsidRDefault="0057566A">
            <w:r>
              <w:t>DOCKPRED</w:t>
            </w:r>
          </w:p>
        </w:tc>
        <w:tc>
          <w:tcPr>
            <w:tcW w:w="1870" w:type="dxa"/>
          </w:tcPr>
          <w:p w14:paraId="6D8B3E42" w14:textId="77777777" w:rsidR="00171247" w:rsidRDefault="0057566A">
            <w:r>
              <w:t>VORFFIP</w:t>
            </w:r>
          </w:p>
        </w:tc>
        <w:tc>
          <w:tcPr>
            <w:tcW w:w="1870" w:type="dxa"/>
          </w:tcPr>
          <w:p w14:paraId="11E06995" w14:textId="77777777" w:rsidR="00171247" w:rsidRDefault="0057566A">
            <w:r>
              <w:t>Meta-PPISP</w:t>
            </w:r>
          </w:p>
        </w:tc>
      </w:tr>
      <w:tr w:rsidR="00171247" w14:paraId="2D26E63F" w14:textId="77777777">
        <w:tc>
          <w:tcPr>
            <w:tcW w:w="1870" w:type="dxa"/>
          </w:tcPr>
          <w:p w14:paraId="398D71BD" w14:textId="77777777" w:rsidR="00171247" w:rsidRDefault="0057566A">
            <w:r>
              <w:t>F-score</w:t>
            </w:r>
          </w:p>
        </w:tc>
        <w:tc>
          <w:tcPr>
            <w:tcW w:w="1870" w:type="dxa"/>
          </w:tcPr>
          <w:p w14:paraId="025126C5" w14:textId="77777777" w:rsidR="00171247" w:rsidRDefault="0057566A">
            <w:r>
              <w:t>0.256</w:t>
            </w:r>
          </w:p>
        </w:tc>
        <w:tc>
          <w:tcPr>
            <w:tcW w:w="1870" w:type="dxa"/>
          </w:tcPr>
          <w:p w14:paraId="7E491580" w14:textId="77777777" w:rsidR="00171247" w:rsidRDefault="0057566A">
            <w:r>
              <w:t>0.222</w:t>
            </w:r>
          </w:p>
        </w:tc>
        <w:tc>
          <w:tcPr>
            <w:tcW w:w="1870" w:type="dxa"/>
          </w:tcPr>
          <w:p w14:paraId="54CAC9B6" w14:textId="77777777" w:rsidR="00171247" w:rsidRDefault="0057566A">
            <w:r>
              <w:t>0.243</w:t>
            </w:r>
          </w:p>
        </w:tc>
        <w:tc>
          <w:tcPr>
            <w:tcW w:w="1870" w:type="dxa"/>
          </w:tcPr>
          <w:p w14:paraId="02A91F6A" w14:textId="77777777" w:rsidR="00171247" w:rsidRDefault="0057566A">
            <w:r>
              <w:t>0.186</w:t>
            </w:r>
          </w:p>
        </w:tc>
      </w:tr>
      <w:tr w:rsidR="00171247" w14:paraId="3C121A7A" w14:textId="77777777">
        <w:tc>
          <w:tcPr>
            <w:tcW w:w="1870" w:type="dxa"/>
          </w:tcPr>
          <w:p w14:paraId="485BD655" w14:textId="77777777" w:rsidR="00171247" w:rsidRDefault="0057566A">
            <w:r>
              <w:t>MCC</w:t>
            </w:r>
          </w:p>
        </w:tc>
        <w:tc>
          <w:tcPr>
            <w:tcW w:w="1870" w:type="dxa"/>
          </w:tcPr>
          <w:p w14:paraId="063A4463" w14:textId="77777777" w:rsidR="00171247" w:rsidRDefault="0057566A">
            <w:r>
              <w:t>0.180</w:t>
            </w:r>
          </w:p>
        </w:tc>
        <w:tc>
          <w:tcPr>
            <w:tcW w:w="1870" w:type="dxa"/>
          </w:tcPr>
          <w:p w14:paraId="045E44B6" w14:textId="77777777" w:rsidR="00171247" w:rsidRDefault="0057566A">
            <w:r>
              <w:t>0.135</w:t>
            </w:r>
          </w:p>
        </w:tc>
        <w:tc>
          <w:tcPr>
            <w:tcW w:w="1870" w:type="dxa"/>
          </w:tcPr>
          <w:p w14:paraId="2F7EBD2E" w14:textId="77777777" w:rsidR="00171247" w:rsidRDefault="0057566A">
            <w:r>
              <w:t>0.165</w:t>
            </w:r>
          </w:p>
        </w:tc>
        <w:tc>
          <w:tcPr>
            <w:tcW w:w="1870" w:type="dxa"/>
          </w:tcPr>
          <w:p w14:paraId="2C2C56FE" w14:textId="77777777" w:rsidR="00171247" w:rsidRDefault="0057566A">
            <w:r>
              <w:t>0.099</w:t>
            </w:r>
          </w:p>
        </w:tc>
      </w:tr>
      <w:tr w:rsidR="00171247" w14:paraId="3EA8CE23" w14:textId="77777777">
        <w:tc>
          <w:tcPr>
            <w:tcW w:w="1870" w:type="dxa"/>
          </w:tcPr>
          <w:p w14:paraId="1D8E89BF" w14:textId="77777777" w:rsidR="00171247" w:rsidRDefault="0057566A">
            <w:r>
              <w:t>Area-ROC</w:t>
            </w:r>
          </w:p>
        </w:tc>
        <w:tc>
          <w:tcPr>
            <w:tcW w:w="1870" w:type="dxa"/>
          </w:tcPr>
          <w:p w14:paraId="00472C8C" w14:textId="77777777" w:rsidR="00171247" w:rsidRDefault="0057566A">
            <w:r>
              <w:t>0.685</w:t>
            </w:r>
          </w:p>
        </w:tc>
        <w:tc>
          <w:tcPr>
            <w:tcW w:w="1870" w:type="dxa"/>
          </w:tcPr>
          <w:p w14:paraId="4584A743" w14:textId="77777777" w:rsidR="00171247" w:rsidRDefault="0057566A">
            <w:r>
              <w:t>0.677</w:t>
            </w:r>
          </w:p>
        </w:tc>
        <w:tc>
          <w:tcPr>
            <w:tcW w:w="1870" w:type="dxa"/>
          </w:tcPr>
          <w:p w14:paraId="0D119C39" w14:textId="77777777" w:rsidR="00171247" w:rsidRDefault="0057566A">
            <w:r>
              <w:t>0.714</w:t>
            </w:r>
          </w:p>
        </w:tc>
        <w:tc>
          <w:tcPr>
            <w:tcW w:w="1870" w:type="dxa"/>
          </w:tcPr>
          <w:p w14:paraId="77A2E143" w14:textId="77777777" w:rsidR="00171247" w:rsidRDefault="0057566A">
            <w:r>
              <w:t>0.668</w:t>
            </w:r>
          </w:p>
        </w:tc>
      </w:tr>
      <w:tr w:rsidR="00171247" w14:paraId="79CD2576" w14:textId="77777777">
        <w:tc>
          <w:tcPr>
            <w:tcW w:w="1870" w:type="dxa"/>
          </w:tcPr>
          <w:p w14:paraId="6CF8E5DC" w14:textId="77777777" w:rsidR="00171247" w:rsidRDefault="0057566A">
            <w:r>
              <w:t>Area-PR</w:t>
            </w:r>
          </w:p>
        </w:tc>
        <w:tc>
          <w:tcPr>
            <w:tcW w:w="1870" w:type="dxa"/>
          </w:tcPr>
          <w:p w14:paraId="23971E43" w14:textId="77777777" w:rsidR="00171247" w:rsidRDefault="0057566A">
            <w:r>
              <w:t>0.159</w:t>
            </w:r>
          </w:p>
        </w:tc>
        <w:tc>
          <w:tcPr>
            <w:tcW w:w="1870" w:type="dxa"/>
          </w:tcPr>
          <w:p w14:paraId="7770B532" w14:textId="77777777" w:rsidR="00171247" w:rsidRDefault="0057566A">
            <w:r>
              <w:t>0.154</w:t>
            </w:r>
          </w:p>
        </w:tc>
        <w:tc>
          <w:tcPr>
            <w:tcW w:w="1870" w:type="dxa"/>
          </w:tcPr>
          <w:p w14:paraId="39E43C98" w14:textId="77777777" w:rsidR="00171247" w:rsidRDefault="0057566A">
            <w:r>
              <w:t>0.161</w:t>
            </w:r>
          </w:p>
        </w:tc>
        <w:tc>
          <w:tcPr>
            <w:tcW w:w="1870" w:type="dxa"/>
          </w:tcPr>
          <w:p w14:paraId="03F56FC2" w14:textId="77777777" w:rsidR="00171247" w:rsidRDefault="0057566A">
            <w:r>
              <w:t>0.135</w:t>
            </w:r>
          </w:p>
        </w:tc>
      </w:tr>
    </w:tbl>
    <w:p w14:paraId="4E2324B7" w14:textId="77777777" w:rsidR="00171247" w:rsidRDefault="00171247"/>
    <w:p w14:paraId="35445C45" w14:textId="77777777" w:rsidR="00171247" w:rsidRDefault="0057566A">
      <w:r>
        <w:t>The global F-scores are low compared to the results for other proteins.  We show the distribution of F-scores for each of the four methods below:</w:t>
      </w:r>
    </w:p>
    <w:p w14:paraId="1A948A1A" w14:textId="77777777" w:rsidR="00171247" w:rsidRDefault="00171247"/>
    <w:p w14:paraId="4F82C26A" w14:textId="77777777" w:rsidR="00171247" w:rsidRDefault="0057566A">
      <w:r>
        <w:t>In order to assess the suitability of the methods to predict epitopes of antigens when no complex structure is experimentally determined, we identified antigen structures (with only one chain) that have a &gt;95% similarity to that of the bound antigen in the complex using ………..  We then mapped the known epitopes (from the complex structure) to the residue numbers in the unbound antigen.  We were able to find 189 antigens that had a high similarity score to the bound antigens.  The statistical measures for the effective identification of epitopes for these antigens by the four different prediction methods is given in the following table: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171247" w14:paraId="6830F89B" w14:textId="77777777">
        <w:tc>
          <w:tcPr>
            <w:tcW w:w="1870" w:type="dxa"/>
          </w:tcPr>
          <w:p w14:paraId="66693479" w14:textId="77777777" w:rsidR="00171247" w:rsidRDefault="00171247"/>
        </w:tc>
        <w:tc>
          <w:tcPr>
            <w:tcW w:w="1870" w:type="dxa"/>
          </w:tcPr>
          <w:p w14:paraId="6D0EE93C" w14:textId="77777777" w:rsidR="00171247" w:rsidRDefault="0057566A">
            <w:r>
              <w:t>ISPRED</w:t>
            </w:r>
          </w:p>
        </w:tc>
        <w:tc>
          <w:tcPr>
            <w:tcW w:w="1870" w:type="dxa"/>
          </w:tcPr>
          <w:p w14:paraId="7016967C" w14:textId="77777777" w:rsidR="00171247" w:rsidRDefault="0057566A">
            <w:r>
              <w:t>DOCKPRED</w:t>
            </w:r>
          </w:p>
        </w:tc>
        <w:tc>
          <w:tcPr>
            <w:tcW w:w="1870" w:type="dxa"/>
          </w:tcPr>
          <w:p w14:paraId="2D97FE45" w14:textId="77777777" w:rsidR="00171247" w:rsidRDefault="0057566A">
            <w:r>
              <w:t>VORFFIP</w:t>
            </w:r>
          </w:p>
        </w:tc>
        <w:tc>
          <w:tcPr>
            <w:tcW w:w="1870" w:type="dxa"/>
          </w:tcPr>
          <w:p w14:paraId="3B027435" w14:textId="77777777" w:rsidR="00171247" w:rsidRDefault="0057566A">
            <w:r>
              <w:t>Meta-PPISP</w:t>
            </w:r>
          </w:p>
        </w:tc>
      </w:tr>
      <w:tr w:rsidR="00171247" w14:paraId="01A6F4F3" w14:textId="77777777">
        <w:tc>
          <w:tcPr>
            <w:tcW w:w="1870" w:type="dxa"/>
          </w:tcPr>
          <w:p w14:paraId="39BE4CF8" w14:textId="77777777" w:rsidR="00171247" w:rsidRDefault="0057566A">
            <w:r>
              <w:t>F-score</w:t>
            </w:r>
          </w:p>
        </w:tc>
        <w:tc>
          <w:tcPr>
            <w:tcW w:w="1870" w:type="dxa"/>
          </w:tcPr>
          <w:p w14:paraId="549B86D5" w14:textId="77777777" w:rsidR="00171247" w:rsidRDefault="0057566A">
            <w:r>
              <w:t>0.194</w:t>
            </w:r>
          </w:p>
        </w:tc>
        <w:tc>
          <w:tcPr>
            <w:tcW w:w="1870" w:type="dxa"/>
          </w:tcPr>
          <w:p w14:paraId="6D9070D1" w14:textId="77777777" w:rsidR="00171247" w:rsidRDefault="0057566A">
            <w:r>
              <w:t>0.18</w:t>
            </w:r>
          </w:p>
        </w:tc>
        <w:tc>
          <w:tcPr>
            <w:tcW w:w="1870" w:type="dxa"/>
          </w:tcPr>
          <w:p w14:paraId="59450127" w14:textId="77777777" w:rsidR="00171247" w:rsidRDefault="0057566A">
            <w:r>
              <w:t>0.173</w:t>
            </w:r>
          </w:p>
        </w:tc>
        <w:tc>
          <w:tcPr>
            <w:tcW w:w="1870" w:type="dxa"/>
          </w:tcPr>
          <w:p w14:paraId="474A1F7E" w14:textId="77777777" w:rsidR="00171247" w:rsidRDefault="0057566A">
            <w:r>
              <w:t>0.154</w:t>
            </w:r>
          </w:p>
        </w:tc>
      </w:tr>
      <w:tr w:rsidR="00171247" w14:paraId="5E05E0E1" w14:textId="77777777">
        <w:tc>
          <w:tcPr>
            <w:tcW w:w="1870" w:type="dxa"/>
          </w:tcPr>
          <w:p w14:paraId="7D0FCF63" w14:textId="77777777" w:rsidR="00171247" w:rsidRDefault="0057566A">
            <w:r>
              <w:t>MCC</w:t>
            </w:r>
          </w:p>
        </w:tc>
        <w:tc>
          <w:tcPr>
            <w:tcW w:w="1870" w:type="dxa"/>
          </w:tcPr>
          <w:p w14:paraId="6294033F" w14:textId="77777777" w:rsidR="00171247" w:rsidRDefault="0057566A">
            <w:r>
              <w:t>0.126</w:t>
            </w:r>
          </w:p>
        </w:tc>
        <w:tc>
          <w:tcPr>
            <w:tcW w:w="1870" w:type="dxa"/>
          </w:tcPr>
          <w:p w14:paraId="634D7E0C" w14:textId="77777777" w:rsidR="00171247" w:rsidRDefault="0057566A">
            <w:r>
              <w:t>0.104</w:t>
            </w:r>
          </w:p>
        </w:tc>
        <w:tc>
          <w:tcPr>
            <w:tcW w:w="1870" w:type="dxa"/>
          </w:tcPr>
          <w:p w14:paraId="2EE97D5C" w14:textId="77777777" w:rsidR="00171247" w:rsidRDefault="0057566A">
            <w:r>
              <w:t>0.103</w:t>
            </w:r>
          </w:p>
        </w:tc>
        <w:tc>
          <w:tcPr>
            <w:tcW w:w="1870" w:type="dxa"/>
          </w:tcPr>
          <w:p w14:paraId="4E7AF495" w14:textId="77777777" w:rsidR="00171247" w:rsidRDefault="0057566A">
            <w:r>
              <w:t>0.078</w:t>
            </w:r>
          </w:p>
        </w:tc>
      </w:tr>
      <w:tr w:rsidR="00171247" w14:paraId="77FD27F1" w14:textId="77777777">
        <w:tc>
          <w:tcPr>
            <w:tcW w:w="1870" w:type="dxa"/>
          </w:tcPr>
          <w:p w14:paraId="2290EF08" w14:textId="77777777" w:rsidR="00171247" w:rsidRDefault="0057566A">
            <w:r>
              <w:t>Area-ROC</w:t>
            </w:r>
          </w:p>
        </w:tc>
        <w:tc>
          <w:tcPr>
            <w:tcW w:w="1870" w:type="dxa"/>
          </w:tcPr>
          <w:p w14:paraId="2D2ED0D6" w14:textId="77777777" w:rsidR="00171247" w:rsidRDefault="0057566A">
            <w:r>
              <w:t>0.657</w:t>
            </w:r>
          </w:p>
        </w:tc>
        <w:tc>
          <w:tcPr>
            <w:tcW w:w="1870" w:type="dxa"/>
          </w:tcPr>
          <w:p w14:paraId="780E6DCB" w14:textId="77777777" w:rsidR="00171247" w:rsidRDefault="0057566A">
            <w:r>
              <w:t>0.669</w:t>
            </w:r>
          </w:p>
        </w:tc>
        <w:tc>
          <w:tcPr>
            <w:tcW w:w="1870" w:type="dxa"/>
          </w:tcPr>
          <w:p w14:paraId="5C96EC98" w14:textId="77777777" w:rsidR="00171247" w:rsidRDefault="0057566A">
            <w:r>
              <w:t>0.662</w:t>
            </w:r>
          </w:p>
        </w:tc>
        <w:tc>
          <w:tcPr>
            <w:tcW w:w="1870" w:type="dxa"/>
          </w:tcPr>
          <w:p w14:paraId="24FF7A22" w14:textId="77777777" w:rsidR="00171247" w:rsidRDefault="0057566A">
            <w:r>
              <w:t>0.653</w:t>
            </w:r>
          </w:p>
        </w:tc>
      </w:tr>
      <w:tr w:rsidR="00171247" w14:paraId="697D5E2B" w14:textId="77777777">
        <w:tc>
          <w:tcPr>
            <w:tcW w:w="1870" w:type="dxa"/>
          </w:tcPr>
          <w:p w14:paraId="45F22E3A" w14:textId="77777777" w:rsidR="00171247" w:rsidRDefault="0057566A">
            <w:r>
              <w:t>Area-PR</w:t>
            </w:r>
          </w:p>
        </w:tc>
        <w:tc>
          <w:tcPr>
            <w:tcW w:w="1870" w:type="dxa"/>
          </w:tcPr>
          <w:p w14:paraId="76E453A3" w14:textId="77777777" w:rsidR="00171247" w:rsidRDefault="0057566A">
            <w:r>
              <w:t>0.115</w:t>
            </w:r>
          </w:p>
        </w:tc>
        <w:tc>
          <w:tcPr>
            <w:tcW w:w="1870" w:type="dxa"/>
          </w:tcPr>
          <w:p w14:paraId="30699BFC" w14:textId="77777777" w:rsidR="00171247" w:rsidRDefault="0057566A">
            <w:r>
              <w:t>0.130</w:t>
            </w:r>
          </w:p>
        </w:tc>
        <w:tc>
          <w:tcPr>
            <w:tcW w:w="1870" w:type="dxa"/>
          </w:tcPr>
          <w:p w14:paraId="5E91F17B" w14:textId="77777777" w:rsidR="00171247" w:rsidRDefault="0057566A">
            <w:r>
              <w:t>0.101</w:t>
            </w:r>
          </w:p>
        </w:tc>
        <w:tc>
          <w:tcPr>
            <w:tcW w:w="1870" w:type="dxa"/>
          </w:tcPr>
          <w:p w14:paraId="1FE9DAD8" w14:textId="77777777" w:rsidR="00171247" w:rsidRDefault="0057566A">
            <w:r>
              <w:t>0.110</w:t>
            </w:r>
          </w:p>
        </w:tc>
      </w:tr>
    </w:tbl>
    <w:p w14:paraId="09927F53" w14:textId="77777777" w:rsidR="00171247" w:rsidRDefault="00171247"/>
    <w:p w14:paraId="542B559D" w14:textId="77777777" w:rsidR="00171247" w:rsidRDefault="0057566A">
      <w:r>
        <w:t>We show the distribution of F-scores for each of these methods below:</w:t>
      </w:r>
    </w:p>
    <w:p w14:paraId="1D80464C" w14:textId="77777777" w:rsidR="00171247" w:rsidRDefault="00171247"/>
    <w:p w14:paraId="5D15986A" w14:textId="77777777" w:rsidR="00171247" w:rsidRDefault="0057566A">
      <w:r>
        <w:t>We hypothesized that we maybe identifying the region of the epitopes by these methods even if we do not identify the exact epitope residues identified from the X-ray crystal structure of the complex.  To test this hypothesis, we used a clustering method.</w:t>
      </w:r>
    </w:p>
    <w:p w14:paraId="20850D4D" w14:textId="77777777" w:rsidR="00171247" w:rsidRDefault="0057566A">
      <w:r>
        <w:t>We first needed to identify the optimum number of clusters to be used in our analysis.  We clustered the epitopes determined from the experimental structure of the antigen-antibody complex. We used K-clustering with different values of k and used both Elbow method and Silhouette Method to identify the optimal number of clusters.  The elbow method looks at the average distance of every point in the cluster to its centroid and chooses the optimal size that leads to a steep decrease in this distance.  The Silhouette method on the other hand computes a parameter for each point, i,  based on its average distance to every point in its, a</w:t>
      </w:r>
      <w:r>
        <w:rPr>
          <w:vertAlign w:val="subscript"/>
        </w:rPr>
        <w:t>i</w:t>
      </w:r>
      <w:r>
        <w:t xml:space="preserve">, and the average distance of this point to every other point in all other </w:t>
      </w:r>
      <w:r>
        <w:lastRenderedPageBreak/>
        <w:t>clusters, b</w:t>
      </w:r>
      <w:r>
        <w:rPr>
          <w:vertAlign w:val="subscript"/>
        </w:rPr>
        <w:t>i</w:t>
      </w:r>
      <w:r>
        <w:t>.  It then computes a Silhouette parameter, S</w:t>
      </w:r>
      <w:r>
        <w:rPr>
          <w:vertAlign w:val="subscript"/>
        </w:rPr>
        <w:t>i</w:t>
      </w:r>
      <w:r>
        <w:t>, for each point and then an average value for all points.</w:t>
      </w:r>
    </w:p>
    <w:p w14:paraId="2B5C00F1" w14:textId="77777777" w:rsidR="00171247" w:rsidRDefault="0057566A">
      <w:r>
        <w:tab/>
      </w:r>
      <w:r>
        <w:tab/>
      </w:r>
      <w:proofErr w:type="gramStart"/>
      <w:r>
        <w:t>S</w:t>
      </w:r>
      <w:r>
        <w:rPr>
          <w:vertAlign w:val="subscript"/>
        </w:rPr>
        <w:t>i</w:t>
      </w:r>
      <w:r>
        <w:t xml:space="preserve">  =</w:t>
      </w:r>
      <w:proofErr w:type="gramEnd"/>
      <w:r>
        <w:t xml:space="preserve"> </w:t>
      </w:r>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num>
          <m:den>
            <m:r>
              <w:rPr>
                <w:rFonts w:ascii="Cambria Math" w:eastAsia="Cambria Math" w:hAnsi="Cambria Math" w:cs="Cambria Math"/>
              </w:rPr>
              <m:t>max⁡(</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den>
        </m:f>
      </m:oMath>
    </w:p>
    <w:p w14:paraId="039CD959" w14:textId="77777777" w:rsidR="00171247" w:rsidRDefault="0057566A">
      <w:r>
        <w:t>The Silhouette parameter, S</w:t>
      </w:r>
      <w:r>
        <w:rPr>
          <w:vertAlign w:val="subscript"/>
        </w:rPr>
        <w:t>i</w:t>
      </w:r>
      <w:r>
        <w:t>, ranges from -1 to +1. The optimal cluster size can be determined from the cluster size that yields a maximum value for S</w:t>
      </w:r>
      <w:r>
        <w:rPr>
          <w:vertAlign w:val="subscript"/>
        </w:rPr>
        <w:t>i</w:t>
      </w:r>
      <w:r>
        <w:t>.</w:t>
      </w:r>
    </w:p>
    <w:p w14:paraId="334ADCDC" w14:textId="77777777" w:rsidR="00171247" w:rsidRDefault="0057566A">
      <w:r>
        <w:t>We show the distribution of proteins as a function of the optimal number of clusters determined by both the Elbow and Silhouette methods below:</w:t>
      </w:r>
    </w:p>
    <w:p w14:paraId="5A07C03B" w14:textId="77777777" w:rsidR="00171247" w:rsidRDefault="0057566A">
      <w:r>
        <w:rPr>
          <w:noProof/>
        </w:rPr>
        <w:drawing>
          <wp:inline distT="0" distB="0" distL="0" distR="0" wp14:anchorId="1C67D601" wp14:editId="5689A241">
            <wp:extent cx="4448175" cy="31337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668F3E" w14:textId="77777777" w:rsidR="00171247" w:rsidRDefault="00171247"/>
    <w:p w14:paraId="5792285F" w14:textId="77777777" w:rsidR="00171247" w:rsidRDefault="0057566A">
      <w:r>
        <w:t>We used the centroid of all the atomic coordinates of each epitope residue in the clustering method.  The Elbow method predicts too large an optimal cluster size to be physically meaningful for our purposes.  The Silhouette method predicts an optimal cluster size of 2 and hence we decided to group the epitope residues into two clusters.</w:t>
      </w:r>
    </w:p>
    <w:p w14:paraId="1D239F41" w14:textId="77777777" w:rsidR="00171247" w:rsidRDefault="0057566A">
      <w:pPr>
        <w:rPr>
          <w:color w:val="000000"/>
        </w:rPr>
      </w:pPr>
      <w:r>
        <w:t>We used hierarchical clustering with number of clusters = 2 to determine how the known epitopes and predicted epitopes cluster together.  (</w:t>
      </w:r>
      <w:r>
        <w:rPr>
          <w:b/>
          <w:color w:val="FF0000"/>
        </w:rPr>
        <w:t>Question:  Should we really have used K-clustering with k =2?)</w:t>
      </w:r>
      <w:r>
        <w:rPr>
          <w:color w:val="FF0000"/>
        </w:rPr>
        <w:t xml:space="preserve">.  </w:t>
      </w:r>
      <w:r>
        <w:rPr>
          <w:color w:val="000000"/>
        </w:rPr>
        <w:t>We combined the centroids of all the annotated epitope residues and the predicted epitope residues by each predictor method for the entire antigen set.  We then compared the % annotated and % predicted that falls within each cluster.</w:t>
      </w:r>
    </w:p>
    <w:p w14:paraId="7AA132D0" w14:textId="77777777" w:rsidR="00171247" w:rsidRDefault="0057566A">
      <w:pPr>
        <w:rPr>
          <w:color w:val="000000"/>
        </w:rPr>
      </w:pPr>
      <w:r>
        <w:rPr>
          <w:color w:val="000000"/>
        </w:rPr>
        <w:t>We analyzed the data as follows:</w:t>
      </w:r>
    </w:p>
    <w:p w14:paraId="15274A3B" w14:textId="77777777" w:rsidR="00171247" w:rsidRDefault="0057566A">
      <w:pPr>
        <w:rPr>
          <w:color w:val="000000"/>
        </w:rPr>
      </w:pPr>
      <w:r>
        <w:rPr>
          <w:color w:val="000000"/>
        </w:rPr>
        <w:t xml:space="preserve">Number of epitopes predicted by experiment = annotated residues = </w:t>
      </w:r>
      <w:proofErr w:type="spellStart"/>
      <w:r>
        <w:rPr>
          <w:color w:val="000000"/>
        </w:rPr>
        <w:t>N</w:t>
      </w:r>
      <w:r>
        <w:rPr>
          <w:color w:val="000000"/>
          <w:vertAlign w:val="subscript"/>
        </w:rPr>
        <w:t>annoted</w:t>
      </w:r>
      <w:proofErr w:type="spellEnd"/>
    </w:p>
    <w:p w14:paraId="1F5765DE" w14:textId="77777777" w:rsidR="00171247" w:rsidRDefault="0057566A">
      <w:pPr>
        <w:rPr>
          <w:color w:val="000000"/>
        </w:rPr>
      </w:pPr>
      <w:r>
        <w:rPr>
          <w:color w:val="000000"/>
        </w:rPr>
        <w:t xml:space="preserve">% Annotated residue in </w:t>
      </w:r>
      <w:proofErr w:type="spellStart"/>
      <w:r>
        <w:rPr>
          <w:color w:val="000000"/>
        </w:rPr>
        <w:t>cluster</w:t>
      </w:r>
      <w:r>
        <w:rPr>
          <w:color w:val="000000"/>
          <w:vertAlign w:val="subscript"/>
        </w:rPr>
        <w:t>i</w:t>
      </w:r>
      <w:proofErr w:type="spellEnd"/>
      <w:r>
        <w:rPr>
          <w:color w:val="000000"/>
        </w:rPr>
        <w:t xml:space="preserve"> =</w:t>
      </w:r>
      <m:oMath>
        <m:f>
          <m:fPr>
            <m:ctrlPr>
              <w:rPr>
                <w:rFonts w:ascii="Cambria Math" w:eastAsia="Cambria Math" w:hAnsi="Cambria Math" w:cs="Cambria Math"/>
                <w:color w:val="000000"/>
              </w:rPr>
            </m:ctrlPr>
          </m:fPr>
          <m:num>
            <m:r>
              <w:rPr>
                <w:rFonts w:ascii="Cambria Math" w:eastAsia="Cambria Math" w:hAnsi="Cambria Math" w:cs="Cambria Math"/>
                <w:color w:val="000000"/>
              </w:rPr>
              <m:t>Number of annotated residues in the cluster i</m:t>
            </m:r>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annotated</m:t>
                </m:r>
              </m:sub>
            </m:sSub>
          </m:den>
        </m:f>
      </m:oMath>
      <w:r>
        <w:rPr>
          <w:color w:val="000000"/>
        </w:rPr>
        <w:t xml:space="preserve"> X 100</w:t>
      </w:r>
    </w:p>
    <w:p w14:paraId="76EBC478" w14:textId="77777777" w:rsidR="00171247" w:rsidRDefault="0057566A">
      <w:pPr>
        <w:rPr>
          <w:color w:val="000000"/>
        </w:rPr>
      </w:pPr>
      <w:r>
        <w:rPr>
          <w:color w:val="000000"/>
        </w:rPr>
        <w:lastRenderedPageBreak/>
        <w:t xml:space="preserve">Similarly, if the Number of predicted epitopes = </w:t>
      </w:r>
      <w:proofErr w:type="spellStart"/>
      <w:r>
        <w:rPr>
          <w:color w:val="000000"/>
        </w:rPr>
        <w:t>N</w:t>
      </w:r>
      <w:r>
        <w:rPr>
          <w:color w:val="000000"/>
          <w:vertAlign w:val="subscript"/>
        </w:rPr>
        <w:t>predicted</w:t>
      </w:r>
      <w:proofErr w:type="spellEnd"/>
    </w:p>
    <w:p w14:paraId="4DDD3318" w14:textId="77777777" w:rsidR="00171247" w:rsidRDefault="0057566A">
      <w:pPr>
        <w:rPr>
          <w:color w:val="000000"/>
        </w:rPr>
      </w:pPr>
      <w:r>
        <w:rPr>
          <w:color w:val="000000"/>
        </w:rPr>
        <w:t xml:space="preserve">% predicted epitopes in </w:t>
      </w:r>
      <w:proofErr w:type="spellStart"/>
      <w:r>
        <w:rPr>
          <w:color w:val="000000"/>
        </w:rPr>
        <w:t>cluster</w:t>
      </w:r>
      <w:r>
        <w:rPr>
          <w:color w:val="000000"/>
          <w:vertAlign w:val="subscript"/>
        </w:rPr>
        <w:t>i</w:t>
      </w:r>
      <w:proofErr w:type="spellEnd"/>
      <w:r>
        <w:rPr>
          <w:color w:val="000000"/>
        </w:rPr>
        <w:t xml:space="preserve"> = </w:t>
      </w:r>
      <m:oMath>
        <m:f>
          <m:fPr>
            <m:ctrlPr>
              <w:rPr>
                <w:rFonts w:ascii="Cambria Math" w:hAnsi="Cambria Math"/>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Number of annotated residues in the cluster</m:t>
                </m:r>
              </m:e>
              <m:sub>
                <m:r>
                  <w:rPr>
                    <w:rFonts w:ascii="Cambria Math" w:eastAsia="Cambria Math" w:hAnsi="Cambria Math" w:cs="Cambria Math"/>
                    <w:color w:val="000000"/>
                  </w:rPr>
                  <m:t>i</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predicted</m:t>
                </m:r>
              </m:sub>
            </m:sSub>
          </m:den>
        </m:f>
      </m:oMath>
      <w:r>
        <w:rPr>
          <w:color w:val="000000"/>
        </w:rPr>
        <w:t xml:space="preserve"> X 100</w:t>
      </w:r>
    </w:p>
    <w:p w14:paraId="39FDF12B" w14:textId="4F83655A" w:rsidR="00171247" w:rsidRDefault="0057566A">
      <w:r>
        <w:t xml:space="preserve">To test our hypothesis, we first looked at cases where &gt;90% annotated epitope residues fall within a single cluster.  </w:t>
      </w:r>
      <w:r w:rsidR="00A305EF">
        <w:t xml:space="preserve">Depending upon the prediction method used, this subset of antigens ranges from 95 to 140 out of the total 270 antigens. </w:t>
      </w:r>
      <w:r>
        <w:t>For this set of antigens, we looked at the performance of the different prediction methods.  As seen from the graph below, the % antigens that have &gt; 50% predicted epitopes within this cluster range from 52% for meta-PPISP to 76% for DOCKPRED to 81% for VORFFIP and 91% for ISPRED.</w:t>
      </w:r>
    </w:p>
    <w:p w14:paraId="5E19C31B" w14:textId="77777777" w:rsidR="00171247" w:rsidRDefault="0057566A">
      <w:r>
        <w:rPr>
          <w:noProof/>
        </w:rPr>
        <w:drawing>
          <wp:inline distT="0" distB="0" distL="0" distR="0" wp14:anchorId="792272CC" wp14:editId="399AFE7C">
            <wp:extent cx="4683125" cy="28670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5EBD66" w14:textId="77777777" w:rsidR="00171247" w:rsidRDefault="00171247"/>
    <w:p w14:paraId="5694BCAF" w14:textId="77777777" w:rsidR="00171247" w:rsidRDefault="0057566A">
      <w:r>
        <w:br w:type="page"/>
      </w:r>
    </w:p>
    <w:p w14:paraId="23175C1E" w14:textId="192CDD26" w:rsidR="00171247" w:rsidRDefault="0057566A">
      <w:r>
        <w:lastRenderedPageBreak/>
        <w:t xml:space="preserve">The two clusters are very far apart in about 70% of the antigens indicating that the predicted epitopes are likely to represent two distinct binding sites for the antibodies. </w:t>
      </w:r>
      <w:r w:rsidR="009E15EB">
        <w:t xml:space="preserve">The prediction methods </w:t>
      </w:r>
      <w:proofErr w:type="gramStart"/>
      <w:r w:rsidR="009E15EB">
        <w:t>are able to</w:t>
      </w:r>
      <w:proofErr w:type="gramEnd"/>
      <w:r w:rsidR="009E15EB">
        <w:t xml:space="preserve"> identify two distinct patches as represented by the two clusters.  This explains why the F-scores are low as these are based on the experimental identification of a single binding site in the antigen-antibody complex.</w:t>
      </w:r>
    </w:p>
    <w:p w14:paraId="5235BCDF" w14:textId="77777777" w:rsidR="00171247" w:rsidRDefault="00171247"/>
    <w:p w14:paraId="729B85E9" w14:textId="77777777" w:rsidR="00171247" w:rsidRDefault="0057566A">
      <w:r>
        <w:rPr>
          <w:noProof/>
        </w:rPr>
        <w:drawing>
          <wp:inline distT="0" distB="0" distL="0" distR="0" wp14:anchorId="0A21B6FD" wp14:editId="4A75B684">
            <wp:extent cx="4152900" cy="26733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6D1FBF" w14:textId="21FBF4B0" w:rsidR="00171247" w:rsidRDefault="00171247"/>
    <w:p w14:paraId="59E6D3BC" w14:textId="013980B0" w:rsidR="009E11A2" w:rsidRDefault="009E11A2">
      <w:r>
        <w:t xml:space="preserve">In the cases where the annotated residues are distributed between the two clusters, we find the following distribution </w:t>
      </w:r>
      <w:r w:rsidR="00040649">
        <w:t xml:space="preserve">of epitopes </w:t>
      </w:r>
      <w:r>
        <w:t>between the clusters.</w:t>
      </w:r>
    </w:p>
    <w:p w14:paraId="27F566E7" w14:textId="163F7D87" w:rsidR="00E6359E" w:rsidRDefault="00E6359E">
      <w:r>
        <w:rPr>
          <w:noProof/>
        </w:rPr>
        <w:drawing>
          <wp:inline distT="0" distB="0" distL="0" distR="0" wp14:anchorId="21DAFE8A" wp14:editId="6963CA60">
            <wp:extent cx="4572000" cy="2743200"/>
            <wp:effectExtent l="0" t="0" r="0" b="0"/>
            <wp:docPr id="1" name="Chart 1">
              <a:extLst xmlns:a="http://schemas.openxmlformats.org/drawingml/2006/main">
                <a:ext uri="{FF2B5EF4-FFF2-40B4-BE49-F238E27FC236}">
                  <a16:creationId xmlns:a16="http://schemas.microsoft.com/office/drawing/2014/main" id="{384924A8-0FF3-496A-A8CA-23308AD74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E6E2C1" w14:textId="5FB532A9" w:rsidR="00E6359E" w:rsidRDefault="00E6359E">
      <w:r>
        <w:t xml:space="preserve">We look at the distance distribution between the centroids of the two clusters in these cases and it is observed that </w:t>
      </w:r>
      <w:r w:rsidR="00040649">
        <w:t xml:space="preserve">for </w:t>
      </w:r>
      <w:r>
        <w:t xml:space="preserve">74% to 93% of the antigens in this set, the distance between the clusters is &lt; 25 A.  </w:t>
      </w:r>
      <w:r>
        <w:lastRenderedPageBreak/>
        <w:t>This is a very different distribution of the distance between clusters compared to when &gt;90% of the annotated residues are found in a single cluster.  It is likely that in these cases the epitopes form a large single patch rather than two isolated patches.</w:t>
      </w:r>
    </w:p>
    <w:p w14:paraId="64256A11" w14:textId="3D2DA129" w:rsidR="00E6359E" w:rsidRDefault="00E6359E">
      <w:r>
        <w:rPr>
          <w:noProof/>
        </w:rPr>
        <w:drawing>
          <wp:inline distT="0" distB="0" distL="0" distR="0" wp14:anchorId="1A8C8627" wp14:editId="1C033AFF">
            <wp:extent cx="4572000" cy="2743200"/>
            <wp:effectExtent l="0" t="0" r="0" b="0"/>
            <wp:docPr id="2" name="Chart 2">
              <a:extLst xmlns:a="http://schemas.openxmlformats.org/drawingml/2006/main">
                <a:ext uri="{FF2B5EF4-FFF2-40B4-BE49-F238E27FC236}">
                  <a16:creationId xmlns:a16="http://schemas.microsoft.com/office/drawing/2014/main" id="{B450101F-4E2E-4151-A1ED-8D09F1A6D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E635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247"/>
    <w:rsid w:val="00040649"/>
    <w:rsid w:val="00171247"/>
    <w:rsid w:val="0057566A"/>
    <w:rsid w:val="009E11A2"/>
    <w:rsid w:val="009E15EB"/>
    <w:rsid w:val="00A305EF"/>
    <w:rsid w:val="00E63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B819"/>
  <w15:docId w15:val="{936C86F0-8429-410C-A01B-1AAF2D8B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7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6C0C"/>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i\Research\epitope_identification\Moshe_results\cluster%20k%20valu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i\Research\epitope_identification\Moshe_results\bound_compiled_sor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ji\Research\epitope_identification\Moshe_results\bound_compiled_sor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ji\Research\epitope_identification\Moshe_results\bound_compiled_sor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ji\Research\epitope_identification\Moshe_results\bound_compiled_sorte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Silhoutte Method</c:v>
          </c:tx>
          <c:spPr>
            <a:solidFill>
              <a:schemeClr val="accent1"/>
            </a:solidFill>
            <a:ln>
              <a:noFill/>
            </a:ln>
            <a:effectLst/>
          </c:spPr>
          <c:invertIfNegative val="0"/>
          <c:cat>
            <c:strRef>
              <c:f>'cluster k value'!$I$2:$I$10</c:f>
              <c:strCache>
                <c:ptCount val="9"/>
                <c:pt idx="0">
                  <c:v>2</c:v>
                </c:pt>
                <c:pt idx="1">
                  <c:v>3</c:v>
                </c:pt>
                <c:pt idx="2">
                  <c:v>4</c:v>
                </c:pt>
                <c:pt idx="3">
                  <c:v>5</c:v>
                </c:pt>
                <c:pt idx="4">
                  <c:v>6</c:v>
                </c:pt>
                <c:pt idx="5">
                  <c:v>7</c:v>
                </c:pt>
                <c:pt idx="6">
                  <c:v>8</c:v>
                </c:pt>
                <c:pt idx="7">
                  <c:v>10</c:v>
                </c:pt>
                <c:pt idx="8">
                  <c:v>&gt;10</c:v>
                </c:pt>
              </c:strCache>
            </c:strRef>
          </c:cat>
          <c:val>
            <c:numRef>
              <c:f>'cluster k value'!$K$2:$K$10</c:f>
              <c:numCache>
                <c:formatCode>General</c:formatCode>
                <c:ptCount val="9"/>
                <c:pt idx="0">
                  <c:v>193</c:v>
                </c:pt>
                <c:pt idx="1">
                  <c:v>53</c:v>
                </c:pt>
                <c:pt idx="2">
                  <c:v>16</c:v>
                </c:pt>
                <c:pt idx="3">
                  <c:v>8</c:v>
                </c:pt>
                <c:pt idx="4">
                  <c:v>4</c:v>
                </c:pt>
                <c:pt idx="5">
                  <c:v>0</c:v>
                </c:pt>
                <c:pt idx="6">
                  <c:v>0</c:v>
                </c:pt>
                <c:pt idx="7">
                  <c:v>0</c:v>
                </c:pt>
                <c:pt idx="8">
                  <c:v>0</c:v>
                </c:pt>
              </c:numCache>
            </c:numRef>
          </c:val>
          <c:extLst>
            <c:ext xmlns:c16="http://schemas.microsoft.com/office/drawing/2014/chart" uri="{C3380CC4-5D6E-409C-BE32-E72D297353CC}">
              <c16:uniqueId val="{00000000-295F-49EA-AE97-B67A455844AA}"/>
            </c:ext>
          </c:extLst>
        </c:ser>
        <c:ser>
          <c:idx val="1"/>
          <c:order val="1"/>
          <c:tx>
            <c:v>Elbow Method</c:v>
          </c:tx>
          <c:spPr>
            <a:solidFill>
              <a:schemeClr val="accent2"/>
            </a:solidFill>
            <a:ln>
              <a:noFill/>
            </a:ln>
            <a:effectLst/>
          </c:spPr>
          <c:invertIfNegative val="0"/>
          <c:cat>
            <c:strRef>
              <c:f>'cluster k value'!$I$2:$I$10</c:f>
              <c:strCache>
                <c:ptCount val="9"/>
                <c:pt idx="0">
                  <c:v>2</c:v>
                </c:pt>
                <c:pt idx="1">
                  <c:v>3</c:v>
                </c:pt>
                <c:pt idx="2">
                  <c:v>4</c:v>
                </c:pt>
                <c:pt idx="3">
                  <c:v>5</c:v>
                </c:pt>
                <c:pt idx="4">
                  <c:v>6</c:v>
                </c:pt>
                <c:pt idx="5">
                  <c:v>7</c:v>
                </c:pt>
                <c:pt idx="6">
                  <c:v>8</c:v>
                </c:pt>
                <c:pt idx="7">
                  <c:v>10</c:v>
                </c:pt>
                <c:pt idx="8">
                  <c:v>&gt;10</c:v>
                </c:pt>
              </c:strCache>
            </c:strRef>
          </c:cat>
          <c:val>
            <c:numRef>
              <c:f>'cluster k value'!$J$2:$J$10</c:f>
              <c:numCache>
                <c:formatCode>General</c:formatCode>
                <c:ptCount val="9"/>
                <c:pt idx="0">
                  <c:v>0</c:v>
                </c:pt>
                <c:pt idx="1">
                  <c:v>0</c:v>
                </c:pt>
                <c:pt idx="2">
                  <c:v>4</c:v>
                </c:pt>
                <c:pt idx="3">
                  <c:v>43</c:v>
                </c:pt>
                <c:pt idx="4">
                  <c:v>132</c:v>
                </c:pt>
                <c:pt idx="5">
                  <c:v>76</c:v>
                </c:pt>
                <c:pt idx="6">
                  <c:v>19</c:v>
                </c:pt>
                <c:pt idx="7">
                  <c:v>0</c:v>
                </c:pt>
                <c:pt idx="8">
                  <c:v>0</c:v>
                </c:pt>
              </c:numCache>
            </c:numRef>
          </c:val>
          <c:extLst>
            <c:ext xmlns:c16="http://schemas.microsoft.com/office/drawing/2014/chart" uri="{C3380CC4-5D6E-409C-BE32-E72D297353CC}">
              <c16:uniqueId val="{00000001-295F-49EA-AE97-B67A455844AA}"/>
            </c:ext>
          </c:extLst>
        </c:ser>
        <c:dLbls>
          <c:showLegendKey val="0"/>
          <c:showVal val="0"/>
          <c:showCatName val="0"/>
          <c:showSerName val="0"/>
          <c:showPercent val="0"/>
          <c:showBubbleSize val="0"/>
        </c:dLbls>
        <c:gapWidth val="219"/>
        <c:overlap val="-27"/>
        <c:axId val="935116303"/>
        <c:axId val="1011494463"/>
      </c:barChart>
      <c:catAx>
        <c:axId val="935116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494463"/>
        <c:crosses val="autoZero"/>
        <c:auto val="1"/>
        <c:lblAlgn val="ctr"/>
        <c:lblOffset val="100"/>
        <c:noMultiLvlLbl val="0"/>
      </c:catAx>
      <c:valAx>
        <c:axId val="101149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Proteins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11630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Predicted Residues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ISPRED</c:v>
          </c:tx>
          <c:spPr>
            <a:solidFill>
              <a:schemeClr val="accent1"/>
            </a:solidFill>
            <a:ln>
              <a:noFill/>
            </a:ln>
            <a:effectLst/>
          </c:spPr>
          <c:invertIfNegative val="0"/>
          <c:cat>
            <c:strRef>
              <c:f>bound_compiled!$F$274:$F$283</c:f>
              <c:strCache>
                <c:ptCount val="10"/>
                <c:pt idx="0">
                  <c:v>10</c:v>
                </c:pt>
                <c:pt idx="1">
                  <c:v>20</c:v>
                </c:pt>
                <c:pt idx="2">
                  <c:v>30</c:v>
                </c:pt>
                <c:pt idx="3">
                  <c:v>40</c:v>
                </c:pt>
                <c:pt idx="4">
                  <c:v>50</c:v>
                </c:pt>
                <c:pt idx="5">
                  <c:v>60</c:v>
                </c:pt>
                <c:pt idx="6">
                  <c:v>70</c:v>
                </c:pt>
                <c:pt idx="7">
                  <c:v>80</c:v>
                </c:pt>
                <c:pt idx="8">
                  <c:v>90</c:v>
                </c:pt>
                <c:pt idx="9">
                  <c:v>&gt;90</c:v>
                </c:pt>
              </c:strCache>
            </c:strRef>
          </c:cat>
          <c:val>
            <c:numRef>
              <c:f>bound_compiled!$M$274:$M$283</c:f>
              <c:numCache>
                <c:formatCode>General</c:formatCode>
                <c:ptCount val="10"/>
                <c:pt idx="0">
                  <c:v>0</c:v>
                </c:pt>
                <c:pt idx="1">
                  <c:v>1</c:v>
                </c:pt>
                <c:pt idx="2">
                  <c:v>3</c:v>
                </c:pt>
                <c:pt idx="3">
                  <c:v>6</c:v>
                </c:pt>
                <c:pt idx="4">
                  <c:v>18</c:v>
                </c:pt>
                <c:pt idx="5">
                  <c:v>26</c:v>
                </c:pt>
                <c:pt idx="6">
                  <c:v>29</c:v>
                </c:pt>
                <c:pt idx="7">
                  <c:v>21</c:v>
                </c:pt>
                <c:pt idx="8">
                  <c:v>11</c:v>
                </c:pt>
                <c:pt idx="9">
                  <c:v>0</c:v>
                </c:pt>
              </c:numCache>
            </c:numRef>
          </c:val>
          <c:extLst>
            <c:ext xmlns:c16="http://schemas.microsoft.com/office/drawing/2014/chart" uri="{C3380CC4-5D6E-409C-BE32-E72D297353CC}">
              <c16:uniqueId val="{00000000-61EE-4BEA-8364-2FF978E03EC0}"/>
            </c:ext>
          </c:extLst>
        </c:ser>
        <c:ser>
          <c:idx val="1"/>
          <c:order val="1"/>
          <c:tx>
            <c:v>DOCKPRED</c:v>
          </c:tx>
          <c:spPr>
            <a:solidFill>
              <a:schemeClr val="accent2"/>
            </a:solidFill>
            <a:ln>
              <a:noFill/>
            </a:ln>
            <a:effectLst/>
          </c:spPr>
          <c:invertIfNegative val="0"/>
          <c:cat>
            <c:strRef>
              <c:f>bound_compiled!$F$274:$F$283</c:f>
              <c:strCache>
                <c:ptCount val="10"/>
                <c:pt idx="0">
                  <c:v>10</c:v>
                </c:pt>
                <c:pt idx="1">
                  <c:v>20</c:v>
                </c:pt>
                <c:pt idx="2">
                  <c:v>30</c:v>
                </c:pt>
                <c:pt idx="3">
                  <c:v>40</c:v>
                </c:pt>
                <c:pt idx="4">
                  <c:v>50</c:v>
                </c:pt>
                <c:pt idx="5">
                  <c:v>60</c:v>
                </c:pt>
                <c:pt idx="6">
                  <c:v>70</c:v>
                </c:pt>
                <c:pt idx="7">
                  <c:v>80</c:v>
                </c:pt>
                <c:pt idx="8">
                  <c:v>90</c:v>
                </c:pt>
                <c:pt idx="9">
                  <c:v>&gt;90</c:v>
                </c:pt>
              </c:strCache>
            </c:strRef>
          </c:cat>
          <c:val>
            <c:numRef>
              <c:f>bound_compiled!$N$274:$N$283</c:f>
              <c:numCache>
                <c:formatCode>General</c:formatCode>
                <c:ptCount val="10"/>
                <c:pt idx="0">
                  <c:v>0</c:v>
                </c:pt>
                <c:pt idx="1">
                  <c:v>3</c:v>
                </c:pt>
                <c:pt idx="2">
                  <c:v>10</c:v>
                </c:pt>
                <c:pt idx="3">
                  <c:v>18</c:v>
                </c:pt>
                <c:pt idx="4">
                  <c:v>31</c:v>
                </c:pt>
                <c:pt idx="5">
                  <c:v>21</c:v>
                </c:pt>
                <c:pt idx="6">
                  <c:v>21</c:v>
                </c:pt>
                <c:pt idx="7">
                  <c:v>15</c:v>
                </c:pt>
                <c:pt idx="8">
                  <c:v>11</c:v>
                </c:pt>
                <c:pt idx="9">
                  <c:v>2</c:v>
                </c:pt>
              </c:numCache>
            </c:numRef>
          </c:val>
          <c:extLst>
            <c:ext xmlns:c16="http://schemas.microsoft.com/office/drawing/2014/chart" uri="{C3380CC4-5D6E-409C-BE32-E72D297353CC}">
              <c16:uniqueId val="{00000001-61EE-4BEA-8364-2FF978E03EC0}"/>
            </c:ext>
          </c:extLst>
        </c:ser>
        <c:ser>
          <c:idx val="2"/>
          <c:order val="2"/>
          <c:tx>
            <c:v>VORFFIP</c:v>
          </c:tx>
          <c:spPr>
            <a:solidFill>
              <a:schemeClr val="accent3"/>
            </a:solidFill>
            <a:ln>
              <a:noFill/>
            </a:ln>
            <a:effectLst/>
          </c:spPr>
          <c:invertIfNegative val="0"/>
          <c:cat>
            <c:strRef>
              <c:f>bound_compiled!$F$274:$F$283</c:f>
              <c:strCache>
                <c:ptCount val="10"/>
                <c:pt idx="0">
                  <c:v>10</c:v>
                </c:pt>
                <c:pt idx="1">
                  <c:v>20</c:v>
                </c:pt>
                <c:pt idx="2">
                  <c:v>30</c:v>
                </c:pt>
                <c:pt idx="3">
                  <c:v>40</c:v>
                </c:pt>
                <c:pt idx="4">
                  <c:v>50</c:v>
                </c:pt>
                <c:pt idx="5">
                  <c:v>60</c:v>
                </c:pt>
                <c:pt idx="6">
                  <c:v>70</c:v>
                </c:pt>
                <c:pt idx="7">
                  <c:v>80</c:v>
                </c:pt>
                <c:pt idx="8">
                  <c:v>90</c:v>
                </c:pt>
                <c:pt idx="9">
                  <c:v>&gt;90</c:v>
                </c:pt>
              </c:strCache>
            </c:strRef>
          </c:cat>
          <c:val>
            <c:numRef>
              <c:f>bound_compiled!$O$274:$O$283</c:f>
              <c:numCache>
                <c:formatCode>General</c:formatCode>
                <c:ptCount val="10"/>
                <c:pt idx="0">
                  <c:v>0</c:v>
                </c:pt>
                <c:pt idx="1">
                  <c:v>3</c:v>
                </c:pt>
                <c:pt idx="2">
                  <c:v>5</c:v>
                </c:pt>
                <c:pt idx="3">
                  <c:v>18</c:v>
                </c:pt>
                <c:pt idx="4">
                  <c:v>26</c:v>
                </c:pt>
                <c:pt idx="5">
                  <c:v>31</c:v>
                </c:pt>
                <c:pt idx="6">
                  <c:v>31</c:v>
                </c:pt>
                <c:pt idx="7">
                  <c:v>23</c:v>
                </c:pt>
                <c:pt idx="8">
                  <c:v>2</c:v>
                </c:pt>
                <c:pt idx="9">
                  <c:v>1</c:v>
                </c:pt>
              </c:numCache>
            </c:numRef>
          </c:val>
          <c:extLst>
            <c:ext xmlns:c16="http://schemas.microsoft.com/office/drawing/2014/chart" uri="{C3380CC4-5D6E-409C-BE32-E72D297353CC}">
              <c16:uniqueId val="{00000002-61EE-4BEA-8364-2FF978E03EC0}"/>
            </c:ext>
          </c:extLst>
        </c:ser>
        <c:ser>
          <c:idx val="3"/>
          <c:order val="3"/>
          <c:tx>
            <c:v>Meta-PPISP</c:v>
          </c:tx>
          <c:spPr>
            <a:solidFill>
              <a:schemeClr val="accent4"/>
            </a:solidFill>
            <a:ln>
              <a:noFill/>
            </a:ln>
            <a:effectLst/>
          </c:spPr>
          <c:invertIfNegative val="0"/>
          <c:cat>
            <c:strRef>
              <c:f>bound_compiled!$F$274:$F$283</c:f>
              <c:strCache>
                <c:ptCount val="10"/>
                <c:pt idx="0">
                  <c:v>10</c:v>
                </c:pt>
                <c:pt idx="1">
                  <c:v>20</c:v>
                </c:pt>
                <c:pt idx="2">
                  <c:v>30</c:v>
                </c:pt>
                <c:pt idx="3">
                  <c:v>40</c:v>
                </c:pt>
                <c:pt idx="4">
                  <c:v>50</c:v>
                </c:pt>
                <c:pt idx="5">
                  <c:v>60</c:v>
                </c:pt>
                <c:pt idx="6">
                  <c:v>70</c:v>
                </c:pt>
                <c:pt idx="7">
                  <c:v>80</c:v>
                </c:pt>
                <c:pt idx="8">
                  <c:v>90</c:v>
                </c:pt>
                <c:pt idx="9">
                  <c:v>&gt;90</c:v>
                </c:pt>
              </c:strCache>
            </c:strRef>
          </c:cat>
          <c:val>
            <c:numRef>
              <c:f>bound_compiled!$P$274:$P$283</c:f>
              <c:numCache>
                <c:formatCode>General</c:formatCode>
                <c:ptCount val="10"/>
                <c:pt idx="0">
                  <c:v>11</c:v>
                </c:pt>
                <c:pt idx="1">
                  <c:v>12</c:v>
                </c:pt>
                <c:pt idx="2">
                  <c:v>12</c:v>
                </c:pt>
                <c:pt idx="3">
                  <c:v>11</c:v>
                </c:pt>
                <c:pt idx="4">
                  <c:v>17</c:v>
                </c:pt>
                <c:pt idx="5">
                  <c:v>9</c:v>
                </c:pt>
                <c:pt idx="6">
                  <c:v>11</c:v>
                </c:pt>
                <c:pt idx="7">
                  <c:v>7</c:v>
                </c:pt>
                <c:pt idx="8">
                  <c:v>5</c:v>
                </c:pt>
                <c:pt idx="9">
                  <c:v>0</c:v>
                </c:pt>
              </c:numCache>
            </c:numRef>
          </c:val>
          <c:extLst>
            <c:ext xmlns:c16="http://schemas.microsoft.com/office/drawing/2014/chart" uri="{C3380CC4-5D6E-409C-BE32-E72D297353CC}">
              <c16:uniqueId val="{00000003-61EE-4BEA-8364-2FF978E03EC0}"/>
            </c:ext>
          </c:extLst>
        </c:ser>
        <c:dLbls>
          <c:showLegendKey val="0"/>
          <c:showVal val="0"/>
          <c:showCatName val="0"/>
          <c:showSerName val="0"/>
          <c:showPercent val="0"/>
          <c:showBubbleSize val="0"/>
        </c:dLbls>
        <c:gapWidth val="219"/>
        <c:overlap val="-27"/>
        <c:axId val="930627567"/>
        <c:axId val="1005152415"/>
      </c:barChart>
      <c:catAx>
        <c:axId val="930627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Predicted Epitopes Within Annotated Cluster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152415"/>
        <c:crosses val="autoZero"/>
        <c:auto val="1"/>
        <c:lblAlgn val="ctr"/>
        <c:lblOffset val="100"/>
        <c:noMultiLvlLbl val="0"/>
      </c:catAx>
      <c:valAx>
        <c:axId val="1005152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Proteins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627567"/>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Distribution between Cluster Centroids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ISPRED</c:v>
          </c:tx>
          <c:spPr>
            <a:solidFill>
              <a:schemeClr val="accent1"/>
            </a:solidFill>
            <a:ln>
              <a:noFill/>
            </a:ln>
            <a:effectLst/>
          </c:spPr>
          <c:invertIfNegative val="0"/>
          <c:cat>
            <c:strRef>
              <c:f>bound_compiled!$E$307:$E$313</c:f>
              <c:strCache>
                <c:ptCount val="7"/>
                <c:pt idx="0">
                  <c:v>10</c:v>
                </c:pt>
                <c:pt idx="1">
                  <c:v>15</c:v>
                </c:pt>
                <c:pt idx="2">
                  <c:v>20</c:v>
                </c:pt>
                <c:pt idx="3">
                  <c:v>25</c:v>
                </c:pt>
                <c:pt idx="4">
                  <c:v>30</c:v>
                </c:pt>
                <c:pt idx="5">
                  <c:v>35</c:v>
                </c:pt>
                <c:pt idx="6">
                  <c:v>&gt;35</c:v>
                </c:pt>
              </c:strCache>
            </c:strRef>
          </c:cat>
          <c:val>
            <c:numRef>
              <c:f>bound_compiled!$N$307:$N$313</c:f>
              <c:numCache>
                <c:formatCode>General</c:formatCode>
                <c:ptCount val="7"/>
                <c:pt idx="0">
                  <c:v>0</c:v>
                </c:pt>
                <c:pt idx="1">
                  <c:v>2</c:v>
                </c:pt>
                <c:pt idx="2">
                  <c:v>8</c:v>
                </c:pt>
                <c:pt idx="3">
                  <c:v>21</c:v>
                </c:pt>
                <c:pt idx="4">
                  <c:v>27</c:v>
                </c:pt>
                <c:pt idx="5">
                  <c:v>16</c:v>
                </c:pt>
                <c:pt idx="6">
                  <c:v>41</c:v>
                </c:pt>
              </c:numCache>
            </c:numRef>
          </c:val>
          <c:extLst>
            <c:ext xmlns:c16="http://schemas.microsoft.com/office/drawing/2014/chart" uri="{C3380CC4-5D6E-409C-BE32-E72D297353CC}">
              <c16:uniqueId val="{00000000-B0F6-465A-ABFF-65F3C383250F}"/>
            </c:ext>
          </c:extLst>
        </c:ser>
        <c:ser>
          <c:idx val="1"/>
          <c:order val="1"/>
          <c:tx>
            <c:v>DOCKPRED</c:v>
          </c:tx>
          <c:spPr>
            <a:solidFill>
              <a:schemeClr val="accent2"/>
            </a:solidFill>
            <a:ln>
              <a:noFill/>
            </a:ln>
            <a:effectLst/>
          </c:spPr>
          <c:invertIfNegative val="0"/>
          <c:cat>
            <c:strRef>
              <c:f>bound_compiled!$E$307:$E$313</c:f>
              <c:strCache>
                <c:ptCount val="7"/>
                <c:pt idx="0">
                  <c:v>10</c:v>
                </c:pt>
                <c:pt idx="1">
                  <c:v>15</c:v>
                </c:pt>
                <c:pt idx="2">
                  <c:v>20</c:v>
                </c:pt>
                <c:pt idx="3">
                  <c:v>25</c:v>
                </c:pt>
                <c:pt idx="4">
                  <c:v>30</c:v>
                </c:pt>
                <c:pt idx="5">
                  <c:v>35</c:v>
                </c:pt>
                <c:pt idx="6">
                  <c:v>&gt;35</c:v>
                </c:pt>
              </c:strCache>
            </c:strRef>
          </c:cat>
          <c:val>
            <c:numRef>
              <c:f>bound_compiled!$O$307:$O$313</c:f>
              <c:numCache>
                <c:formatCode>General</c:formatCode>
                <c:ptCount val="7"/>
                <c:pt idx="0">
                  <c:v>0</c:v>
                </c:pt>
                <c:pt idx="1">
                  <c:v>4</c:v>
                </c:pt>
                <c:pt idx="2">
                  <c:v>16</c:v>
                </c:pt>
                <c:pt idx="3">
                  <c:v>22</c:v>
                </c:pt>
                <c:pt idx="4">
                  <c:v>27</c:v>
                </c:pt>
                <c:pt idx="5">
                  <c:v>23</c:v>
                </c:pt>
                <c:pt idx="6">
                  <c:v>40</c:v>
                </c:pt>
              </c:numCache>
            </c:numRef>
          </c:val>
          <c:extLst>
            <c:ext xmlns:c16="http://schemas.microsoft.com/office/drawing/2014/chart" uri="{C3380CC4-5D6E-409C-BE32-E72D297353CC}">
              <c16:uniqueId val="{00000001-B0F6-465A-ABFF-65F3C383250F}"/>
            </c:ext>
          </c:extLst>
        </c:ser>
        <c:ser>
          <c:idx val="2"/>
          <c:order val="2"/>
          <c:tx>
            <c:v>VORFFIP</c:v>
          </c:tx>
          <c:spPr>
            <a:solidFill>
              <a:schemeClr val="accent3"/>
            </a:solidFill>
            <a:ln>
              <a:noFill/>
            </a:ln>
            <a:effectLst/>
          </c:spPr>
          <c:invertIfNegative val="0"/>
          <c:cat>
            <c:strRef>
              <c:f>bound_compiled!$E$307:$E$313</c:f>
              <c:strCache>
                <c:ptCount val="7"/>
                <c:pt idx="0">
                  <c:v>10</c:v>
                </c:pt>
                <c:pt idx="1">
                  <c:v>15</c:v>
                </c:pt>
                <c:pt idx="2">
                  <c:v>20</c:v>
                </c:pt>
                <c:pt idx="3">
                  <c:v>25</c:v>
                </c:pt>
                <c:pt idx="4">
                  <c:v>30</c:v>
                </c:pt>
                <c:pt idx="5">
                  <c:v>35</c:v>
                </c:pt>
                <c:pt idx="6">
                  <c:v>&gt;35</c:v>
                </c:pt>
              </c:strCache>
            </c:strRef>
          </c:cat>
          <c:val>
            <c:numRef>
              <c:f>bound_compiled!$P$307:$P$313</c:f>
              <c:numCache>
                <c:formatCode>General</c:formatCode>
                <c:ptCount val="7"/>
                <c:pt idx="0">
                  <c:v>0</c:v>
                </c:pt>
                <c:pt idx="1">
                  <c:v>1</c:v>
                </c:pt>
                <c:pt idx="2">
                  <c:v>16</c:v>
                </c:pt>
                <c:pt idx="3">
                  <c:v>21</c:v>
                </c:pt>
                <c:pt idx="4">
                  <c:v>32</c:v>
                </c:pt>
                <c:pt idx="5">
                  <c:v>29</c:v>
                </c:pt>
                <c:pt idx="6">
                  <c:v>41</c:v>
                </c:pt>
              </c:numCache>
            </c:numRef>
          </c:val>
          <c:extLst>
            <c:ext xmlns:c16="http://schemas.microsoft.com/office/drawing/2014/chart" uri="{C3380CC4-5D6E-409C-BE32-E72D297353CC}">
              <c16:uniqueId val="{00000002-B0F6-465A-ABFF-65F3C383250F}"/>
            </c:ext>
          </c:extLst>
        </c:ser>
        <c:ser>
          <c:idx val="3"/>
          <c:order val="3"/>
          <c:tx>
            <c:v>meta-PPISP</c:v>
          </c:tx>
          <c:spPr>
            <a:solidFill>
              <a:schemeClr val="accent4"/>
            </a:solidFill>
            <a:ln>
              <a:noFill/>
            </a:ln>
            <a:effectLst/>
          </c:spPr>
          <c:invertIfNegative val="0"/>
          <c:cat>
            <c:strRef>
              <c:f>bound_compiled!$E$307:$E$313</c:f>
              <c:strCache>
                <c:ptCount val="7"/>
                <c:pt idx="0">
                  <c:v>10</c:v>
                </c:pt>
                <c:pt idx="1">
                  <c:v>15</c:v>
                </c:pt>
                <c:pt idx="2">
                  <c:v>20</c:v>
                </c:pt>
                <c:pt idx="3">
                  <c:v>25</c:v>
                </c:pt>
                <c:pt idx="4">
                  <c:v>30</c:v>
                </c:pt>
                <c:pt idx="5">
                  <c:v>35</c:v>
                </c:pt>
                <c:pt idx="6">
                  <c:v>&gt;35</c:v>
                </c:pt>
              </c:strCache>
            </c:strRef>
          </c:cat>
          <c:val>
            <c:numRef>
              <c:f>bound_compiled!$Q$307:$Q$313</c:f>
              <c:numCache>
                <c:formatCode>General</c:formatCode>
                <c:ptCount val="7"/>
                <c:pt idx="0">
                  <c:v>0</c:v>
                </c:pt>
                <c:pt idx="1">
                  <c:v>7</c:v>
                </c:pt>
                <c:pt idx="2">
                  <c:v>14</c:v>
                </c:pt>
                <c:pt idx="3">
                  <c:v>12</c:v>
                </c:pt>
                <c:pt idx="4">
                  <c:v>21</c:v>
                </c:pt>
                <c:pt idx="5">
                  <c:v>10</c:v>
                </c:pt>
                <c:pt idx="6">
                  <c:v>31</c:v>
                </c:pt>
              </c:numCache>
            </c:numRef>
          </c:val>
          <c:extLst>
            <c:ext xmlns:c16="http://schemas.microsoft.com/office/drawing/2014/chart" uri="{C3380CC4-5D6E-409C-BE32-E72D297353CC}">
              <c16:uniqueId val="{00000003-B0F6-465A-ABFF-65F3C383250F}"/>
            </c:ext>
          </c:extLst>
        </c:ser>
        <c:dLbls>
          <c:showLegendKey val="0"/>
          <c:showVal val="0"/>
          <c:showCatName val="0"/>
          <c:showSerName val="0"/>
          <c:showPercent val="0"/>
          <c:showBubbleSize val="0"/>
        </c:dLbls>
        <c:gapWidth val="219"/>
        <c:overlap val="-27"/>
        <c:axId val="1142619583"/>
        <c:axId val="812339039"/>
      </c:barChart>
      <c:catAx>
        <c:axId val="114261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339039"/>
        <c:crosses val="autoZero"/>
        <c:auto val="1"/>
        <c:lblAlgn val="ctr"/>
        <c:lblOffset val="100"/>
        <c:noMultiLvlLbl val="0"/>
      </c:catAx>
      <c:valAx>
        <c:axId val="812339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Proteins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61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Annotated Epitope Distribution Between Clusters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Annotated Epitope Distribution Between Clusters</c:v>
          </c:tx>
          <c:spPr>
            <a:solidFill>
              <a:schemeClr val="accent1"/>
            </a:solidFill>
            <a:ln>
              <a:noFill/>
            </a:ln>
            <a:effectLst/>
          </c:spPr>
          <c:invertIfNegative val="0"/>
          <c:cat>
            <c:strRef>
              <c:f>bound_compiled!$C$377:$C$386</c:f>
              <c:strCache>
                <c:ptCount val="10"/>
                <c:pt idx="0">
                  <c:v>10</c:v>
                </c:pt>
                <c:pt idx="1">
                  <c:v>20</c:v>
                </c:pt>
                <c:pt idx="2">
                  <c:v>30</c:v>
                </c:pt>
                <c:pt idx="3">
                  <c:v>40</c:v>
                </c:pt>
                <c:pt idx="4">
                  <c:v>50</c:v>
                </c:pt>
                <c:pt idx="5">
                  <c:v>60</c:v>
                </c:pt>
                <c:pt idx="6">
                  <c:v>70</c:v>
                </c:pt>
                <c:pt idx="7">
                  <c:v>80</c:v>
                </c:pt>
                <c:pt idx="8">
                  <c:v>90</c:v>
                </c:pt>
                <c:pt idx="9">
                  <c:v>&gt;90</c:v>
                </c:pt>
              </c:strCache>
            </c:strRef>
          </c:cat>
          <c:val>
            <c:numRef>
              <c:f>bound_compiled!$D$377:$D$386</c:f>
              <c:numCache>
                <c:formatCode>General</c:formatCode>
                <c:ptCount val="10"/>
                <c:pt idx="0">
                  <c:v>0</c:v>
                </c:pt>
                <c:pt idx="1">
                  <c:v>6</c:v>
                </c:pt>
                <c:pt idx="2">
                  <c:v>11</c:v>
                </c:pt>
                <c:pt idx="3">
                  <c:v>20</c:v>
                </c:pt>
                <c:pt idx="4">
                  <c:v>12</c:v>
                </c:pt>
                <c:pt idx="5">
                  <c:v>16</c:v>
                </c:pt>
                <c:pt idx="6">
                  <c:v>13</c:v>
                </c:pt>
                <c:pt idx="7">
                  <c:v>12</c:v>
                </c:pt>
                <c:pt idx="8">
                  <c:v>3</c:v>
                </c:pt>
                <c:pt idx="9">
                  <c:v>0</c:v>
                </c:pt>
              </c:numCache>
            </c:numRef>
          </c:val>
          <c:extLst>
            <c:ext xmlns:c16="http://schemas.microsoft.com/office/drawing/2014/chart" uri="{C3380CC4-5D6E-409C-BE32-E72D297353CC}">
              <c16:uniqueId val="{00000000-B54C-4FA2-913B-D03135C2FB34}"/>
            </c:ext>
          </c:extLst>
        </c:ser>
        <c:dLbls>
          <c:showLegendKey val="0"/>
          <c:showVal val="0"/>
          <c:showCatName val="0"/>
          <c:showSerName val="0"/>
          <c:showPercent val="0"/>
          <c:showBubbleSize val="0"/>
        </c:dLbls>
        <c:gapWidth val="219"/>
        <c:overlap val="-27"/>
        <c:axId val="1135717263"/>
        <c:axId val="812340703"/>
      </c:barChart>
      <c:catAx>
        <c:axId val="1135717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Annotated in Cluster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340703"/>
        <c:crosses val="autoZero"/>
        <c:auto val="1"/>
        <c:lblAlgn val="ctr"/>
        <c:lblOffset val="100"/>
        <c:noMultiLvlLbl val="0"/>
      </c:catAx>
      <c:valAx>
        <c:axId val="81234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Proteins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717263"/>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Distribution between Clusters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ISPRED</c:v>
          </c:tx>
          <c:spPr>
            <a:solidFill>
              <a:schemeClr val="accent1"/>
            </a:solidFill>
            <a:ln>
              <a:noFill/>
            </a:ln>
            <a:effectLst/>
          </c:spPr>
          <c:invertIfNegative val="0"/>
          <c:cat>
            <c:strRef>
              <c:f>bound_compiled!$M$346:$M$352</c:f>
              <c:strCache>
                <c:ptCount val="7"/>
                <c:pt idx="0">
                  <c:v>10</c:v>
                </c:pt>
                <c:pt idx="1">
                  <c:v>15</c:v>
                </c:pt>
                <c:pt idx="2">
                  <c:v>20</c:v>
                </c:pt>
                <c:pt idx="3">
                  <c:v>25</c:v>
                </c:pt>
                <c:pt idx="4">
                  <c:v>30</c:v>
                </c:pt>
                <c:pt idx="5">
                  <c:v>35</c:v>
                </c:pt>
                <c:pt idx="6">
                  <c:v>&gt;35</c:v>
                </c:pt>
              </c:strCache>
            </c:strRef>
          </c:cat>
          <c:val>
            <c:numRef>
              <c:f>bound_compiled!$M$375:$M$381</c:f>
              <c:numCache>
                <c:formatCode>General</c:formatCode>
                <c:ptCount val="7"/>
                <c:pt idx="0">
                  <c:v>1</c:v>
                </c:pt>
                <c:pt idx="1">
                  <c:v>19</c:v>
                </c:pt>
                <c:pt idx="2">
                  <c:v>30</c:v>
                </c:pt>
                <c:pt idx="3">
                  <c:v>19</c:v>
                </c:pt>
                <c:pt idx="4">
                  <c:v>18</c:v>
                </c:pt>
                <c:pt idx="5">
                  <c:v>5</c:v>
                </c:pt>
                <c:pt idx="6">
                  <c:v>1</c:v>
                </c:pt>
              </c:numCache>
            </c:numRef>
          </c:val>
          <c:extLst>
            <c:ext xmlns:c16="http://schemas.microsoft.com/office/drawing/2014/chart" uri="{C3380CC4-5D6E-409C-BE32-E72D297353CC}">
              <c16:uniqueId val="{00000000-030E-4115-A79E-D700C69F9F4E}"/>
            </c:ext>
          </c:extLst>
        </c:ser>
        <c:ser>
          <c:idx val="1"/>
          <c:order val="1"/>
          <c:tx>
            <c:v>DOCKPRED</c:v>
          </c:tx>
          <c:spPr>
            <a:solidFill>
              <a:schemeClr val="accent2"/>
            </a:solidFill>
            <a:ln>
              <a:noFill/>
            </a:ln>
            <a:effectLst/>
          </c:spPr>
          <c:invertIfNegative val="0"/>
          <c:cat>
            <c:strRef>
              <c:f>bound_compiled!$M$346:$M$352</c:f>
              <c:strCache>
                <c:ptCount val="7"/>
                <c:pt idx="0">
                  <c:v>10</c:v>
                </c:pt>
                <c:pt idx="1">
                  <c:v>15</c:v>
                </c:pt>
                <c:pt idx="2">
                  <c:v>20</c:v>
                </c:pt>
                <c:pt idx="3">
                  <c:v>25</c:v>
                </c:pt>
                <c:pt idx="4">
                  <c:v>30</c:v>
                </c:pt>
                <c:pt idx="5">
                  <c:v>35</c:v>
                </c:pt>
                <c:pt idx="6">
                  <c:v>&gt;35</c:v>
                </c:pt>
              </c:strCache>
            </c:strRef>
          </c:cat>
          <c:val>
            <c:numRef>
              <c:f>bound_compiled!$N$375:$N$381</c:f>
              <c:numCache>
                <c:formatCode>General</c:formatCode>
                <c:ptCount val="7"/>
                <c:pt idx="0">
                  <c:v>0</c:v>
                </c:pt>
                <c:pt idx="1">
                  <c:v>23</c:v>
                </c:pt>
                <c:pt idx="2">
                  <c:v>32</c:v>
                </c:pt>
                <c:pt idx="3">
                  <c:v>14</c:v>
                </c:pt>
                <c:pt idx="4">
                  <c:v>1</c:v>
                </c:pt>
                <c:pt idx="5">
                  <c:v>3</c:v>
                </c:pt>
                <c:pt idx="6">
                  <c:v>1</c:v>
                </c:pt>
              </c:numCache>
            </c:numRef>
          </c:val>
          <c:extLst>
            <c:ext xmlns:c16="http://schemas.microsoft.com/office/drawing/2014/chart" uri="{C3380CC4-5D6E-409C-BE32-E72D297353CC}">
              <c16:uniqueId val="{00000001-030E-4115-A79E-D700C69F9F4E}"/>
            </c:ext>
          </c:extLst>
        </c:ser>
        <c:ser>
          <c:idx val="2"/>
          <c:order val="2"/>
          <c:tx>
            <c:v>VORFFIP</c:v>
          </c:tx>
          <c:spPr>
            <a:solidFill>
              <a:schemeClr val="accent3"/>
            </a:solidFill>
            <a:ln>
              <a:noFill/>
            </a:ln>
            <a:effectLst/>
          </c:spPr>
          <c:invertIfNegative val="0"/>
          <c:cat>
            <c:strRef>
              <c:f>bound_compiled!$M$346:$M$352</c:f>
              <c:strCache>
                <c:ptCount val="7"/>
                <c:pt idx="0">
                  <c:v>10</c:v>
                </c:pt>
                <c:pt idx="1">
                  <c:v>15</c:v>
                </c:pt>
                <c:pt idx="2">
                  <c:v>20</c:v>
                </c:pt>
                <c:pt idx="3">
                  <c:v>25</c:v>
                </c:pt>
                <c:pt idx="4">
                  <c:v>30</c:v>
                </c:pt>
                <c:pt idx="5">
                  <c:v>35</c:v>
                </c:pt>
                <c:pt idx="6">
                  <c:v>&gt;35</c:v>
                </c:pt>
              </c:strCache>
            </c:strRef>
          </c:cat>
          <c:val>
            <c:numRef>
              <c:f>bound_compiled!$O$375:$O$381</c:f>
              <c:numCache>
                <c:formatCode>General</c:formatCode>
                <c:ptCount val="7"/>
                <c:pt idx="0">
                  <c:v>0</c:v>
                </c:pt>
                <c:pt idx="1">
                  <c:v>21</c:v>
                </c:pt>
                <c:pt idx="2">
                  <c:v>25</c:v>
                </c:pt>
                <c:pt idx="3">
                  <c:v>16</c:v>
                </c:pt>
                <c:pt idx="4">
                  <c:v>8</c:v>
                </c:pt>
                <c:pt idx="5">
                  <c:v>1</c:v>
                </c:pt>
                <c:pt idx="6">
                  <c:v>1</c:v>
                </c:pt>
              </c:numCache>
            </c:numRef>
          </c:val>
          <c:extLst>
            <c:ext xmlns:c16="http://schemas.microsoft.com/office/drawing/2014/chart" uri="{C3380CC4-5D6E-409C-BE32-E72D297353CC}">
              <c16:uniqueId val="{00000002-030E-4115-A79E-D700C69F9F4E}"/>
            </c:ext>
          </c:extLst>
        </c:ser>
        <c:ser>
          <c:idx val="3"/>
          <c:order val="3"/>
          <c:tx>
            <c:v>meta-PPISP</c:v>
          </c:tx>
          <c:spPr>
            <a:solidFill>
              <a:schemeClr val="accent4"/>
            </a:solidFill>
            <a:ln>
              <a:noFill/>
            </a:ln>
            <a:effectLst/>
          </c:spPr>
          <c:invertIfNegative val="0"/>
          <c:cat>
            <c:strRef>
              <c:f>bound_compiled!$M$346:$M$352</c:f>
              <c:strCache>
                <c:ptCount val="7"/>
                <c:pt idx="0">
                  <c:v>10</c:v>
                </c:pt>
                <c:pt idx="1">
                  <c:v>15</c:v>
                </c:pt>
                <c:pt idx="2">
                  <c:v>20</c:v>
                </c:pt>
                <c:pt idx="3">
                  <c:v>25</c:v>
                </c:pt>
                <c:pt idx="4">
                  <c:v>30</c:v>
                </c:pt>
                <c:pt idx="5">
                  <c:v>35</c:v>
                </c:pt>
                <c:pt idx="6">
                  <c:v>&gt;35</c:v>
                </c:pt>
              </c:strCache>
            </c:strRef>
          </c:cat>
          <c:val>
            <c:numRef>
              <c:f>bound_compiled!$P$375:$P$381</c:f>
              <c:numCache>
                <c:formatCode>General</c:formatCode>
                <c:ptCount val="7"/>
                <c:pt idx="0">
                  <c:v>1</c:v>
                </c:pt>
                <c:pt idx="1">
                  <c:v>43</c:v>
                </c:pt>
                <c:pt idx="2">
                  <c:v>24</c:v>
                </c:pt>
                <c:pt idx="3">
                  <c:v>17</c:v>
                </c:pt>
                <c:pt idx="4">
                  <c:v>9</c:v>
                </c:pt>
                <c:pt idx="5">
                  <c:v>5</c:v>
                </c:pt>
                <c:pt idx="6">
                  <c:v>1</c:v>
                </c:pt>
              </c:numCache>
            </c:numRef>
          </c:val>
          <c:extLst>
            <c:ext xmlns:c16="http://schemas.microsoft.com/office/drawing/2014/chart" uri="{C3380CC4-5D6E-409C-BE32-E72D297353CC}">
              <c16:uniqueId val="{00000003-030E-4115-A79E-D700C69F9F4E}"/>
            </c:ext>
          </c:extLst>
        </c:ser>
        <c:dLbls>
          <c:showLegendKey val="0"/>
          <c:showVal val="0"/>
          <c:showCatName val="0"/>
          <c:showSerName val="0"/>
          <c:showPercent val="0"/>
          <c:showBubbleSize val="0"/>
        </c:dLbls>
        <c:gapWidth val="219"/>
        <c:overlap val="-27"/>
        <c:axId val="811888751"/>
        <c:axId val="1167971375"/>
      </c:barChart>
      <c:catAx>
        <c:axId val="81188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971375"/>
        <c:crosses val="autoZero"/>
        <c:auto val="1"/>
        <c:lblAlgn val="ctr"/>
        <c:lblOffset val="100"/>
        <c:noMultiLvlLbl val="0"/>
      </c:catAx>
      <c:valAx>
        <c:axId val="1167971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Proteins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88875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2QiwDJi/PmzgbX40h7UWhhLUOQ==">AMUW2mWzZkxj/jytm0+mTjcuYsr1cWLGI/sfT3pjtwg+/HX4kIgbjq36ZKvagr59DOmQvx7/yuyzdeoxmf2YjyMeY0pBg+2beB3ZUb2fKAtHCdrQpTuJTk4=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Raji Viswanathan</dc:creator>
  <cp:lastModifiedBy>Raji Viswanathan</cp:lastModifiedBy>
  <cp:revision>5</cp:revision>
  <dcterms:created xsi:type="dcterms:W3CDTF">2021-08-17T21:00:00Z</dcterms:created>
  <dcterms:modified xsi:type="dcterms:W3CDTF">2021-08-17T21:48:00Z</dcterms:modified>
</cp:coreProperties>
</file>