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97D"/>
          <w:sz w:val="38"/>
        </w:rPr>
        <w:t>Catastro Histórico de Compras Públicas en Cambio Climático de Chile (2007–2026)</w:t>
      </w:r>
    </w:p>
    <w:p>
      <w:pPr>
        <w:spacing w:after="160"/>
      </w:pPr>
      <w:r>
        <w:rPr>
          <w:rFonts w:ascii="Arial" w:hAnsi="Arial"/>
          <w:i/>
          <w:color w:val="366092"/>
          <w:sz w:val="21"/>
        </w:rPr>
        <w:t>Informe Metodológico, Radiografía de Mecanismos de Compra, Gobernanza Multinivel y Codebook</w:t>
        <w:br/>
        <w:t>Elaborado por: Eduardo Vega Toledo | A encargo de: Valentina Cariaga Cerda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8"/>
              </w:rPr>
              <w:t>Elaborado por: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62626"/>
                <w:sz w:val="18"/>
              </w:rPr>
              <w:t>Eduardo Vega Toledo (Administrador Público | M.Sc. | Data Engineer)</w:t>
            </w:r>
          </w:p>
        </w:tc>
      </w:tr>
      <w:tr>
        <w:tc>
          <w:tcPr>
            <w:tcW w:type="dxa" w:w="3168"/>
            <w:shd w:fill="F2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8"/>
              </w:rPr>
              <w:t>A encargo de: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62626"/>
                <w:sz w:val="18"/>
              </w:rPr>
              <w:t>Valentina Cariaga Cerda</w:t>
            </w:r>
          </w:p>
        </w:tc>
      </w:tr>
      <w:tr>
        <w:tc>
          <w:tcPr>
            <w:tcW w:type="dxa" w:w="3168"/>
            <w:shd w:fill="F2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8"/>
              </w:rPr>
              <w:t>Cobertura y Fuentes: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62626"/>
                <w:sz w:val="18"/>
              </w:rPr>
              <w:t>Mercado Público (ChileCompra 2007 a julio 2026 — 470 bases masivas)</w:t>
            </w:r>
          </w:p>
        </w:tc>
      </w:tr>
      <w:tr>
        <w:tc>
          <w:tcPr>
            <w:tcW w:type="dxa" w:w="3168"/>
            <w:shd w:fill="F2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8"/>
              </w:rPr>
              <w:t>Universo Analizado: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62626"/>
                <w:sz w:val="18"/>
              </w:rPr>
              <w:t>9.086 procesos únicos deduplicados ($359.604 millones de pesos transados)</w:t>
            </w:r>
          </w:p>
        </w:tc>
      </w:tr>
      <w:tr>
        <w:tc>
          <w:tcPr>
            <w:tcW w:type="dxa" w:w="3168"/>
            <w:shd w:fill="F2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97D"/>
                <w:sz w:val="18"/>
              </w:rPr>
              <w:t>Contacto y Licencia: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62626"/>
                <w:sz w:val="18"/>
              </w:rPr>
              <w:t>evega.ap@gmail.com | Creative Commons Attribution 4.0 (CC BY 4.0)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1. Resumen Ejecutivo y Dinámica Temporal (2007–2026)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presente catastro consolida la totalidad de compras públicas y licitaciones del Estado de Chile orientadas a cambio climático, adaptación y mitigación a lo largo de 20 años continuos (2007 a julio de 2026). El corpus reúne 9.086 procesos de compra únicos deduplicados (2.287 licitaciones públicas y 6.799 órdenes de compra), transando un monto acumulado de $359.604 millones de pesos chilenos (~USD 380 millones).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análisis longitudinal evidencia un quiebre estructural a partir de la promulgación de la Ley Marco de Cambio Climático (Ley 21.455 en junio de 2022). De un promedio histórico de 350 a 450 compras anuales durante el período 2007-2021, las contrataciones escalaron a 777 en 2023 (+55%) y alcanzaron su máximo histórico en 2024 con 1.027 procesos (+105% respecto a 2022), transando más de $111.506 millones de pesos en un solo año.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olucion_temporal_ley214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262626"/>
          <w:sz w:val="17"/>
        </w:rPr>
        <w:t>Figura 1: Evolución de las compras climáticas y quiebre estructural tras la Ley Marco 21.455 (2007–2026).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2. Mecanismos de Contratación: Licitación, Convenio Marco y Trato Directo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En la gestión pública chilena, una Licitación y una Orden de Compra NO son equivalentes y no deben confundirse: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Licitación Pública (2.287 procesos): </w:t>
      </w:r>
      <w:r>
        <w:rPr>
          <w:rFonts w:ascii="Arial" w:hAnsi="Arial"/>
          <w:i w:val="0"/>
          <w:color w:val="262626"/>
          <w:sz w:val="19"/>
        </w:rPr>
        <w:t>Es el concurso público administrativo abierto que define bases técnicas, competencia de oferentes y selección de proveedor. Registra los grandes proyectos y llamados estratégicos.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Órdenes de Compra (6.799 transacciones): </w:t>
      </w:r>
      <w:r>
        <w:rPr>
          <w:rFonts w:ascii="Arial" w:hAnsi="Arial"/>
          <w:i w:val="0"/>
          <w:color w:val="262626"/>
          <w:sz w:val="19"/>
        </w:rPr>
        <w:t>Es el documento transaccional de despacho y pago vinculante. De las 6.799 OCs, más de la mitad NO derivan de licitaciones locales, sino de mecanismos directos: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9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canismos_contrat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262626"/>
          <w:sz w:val="17"/>
        </w:rPr>
        <w:t>Figura 2: Distribución por Mecanismo de Contratación (Licitaciones, Convenio Marco, Trato Directo y Compra Ágil).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Mecanismo Legal de Contratación</w:t>
            </w:r>
          </w:p>
        </w:tc>
        <w:tc>
          <w:tcPr>
            <w:tcW w:type="dxa" w:w="234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N° Procesos</w:t>
            </w:r>
          </w:p>
        </w:tc>
        <w:tc>
          <w:tcPr>
            <w:tcW w:type="dxa" w:w="234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Monto (Millones CLP)</w:t>
            </w:r>
          </w:p>
        </w:tc>
        <w:tc>
          <w:tcPr>
            <w:tcW w:type="dxa" w:w="234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% Participación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Licitación Pública (Concursos Abiertos)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2.250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$242.277M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24,8%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Trato Directo (Mecanismo Excepcional)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3.417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$24.476M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37,6%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Convenio Marco (Catálogo Electrónico)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2.279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$3.671M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25,1%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Compra Ágil (Menor a 30 UTM)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999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$745M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11,0%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Licitación Privada (Concurso Cerrado)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37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$139M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0,4%</w:t>
            </w:r>
          </w:p>
        </w:tc>
      </w:tr>
      <w:tr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62626"/>
                <w:sz w:val="16"/>
              </w:rPr>
              <w:t>Otras Órdenes de Compra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104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$894M</w:t>
            </w:r>
          </w:p>
        </w:tc>
        <w:tc>
          <w:tcPr>
            <w:tcW w:type="dxa" w:w="23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262626"/>
                <w:sz w:val="16"/>
              </w:rPr>
              <w:t>1,1%</w:t>
            </w:r>
          </w:p>
        </w:tc>
      </w:tr>
      <w:tr>
        <w:tc>
          <w:tcPr>
            <w:tcW w:type="dxa" w:w="2340"/>
            <w:shd w:fill="EBF1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97D"/>
                <w:sz w:val="16"/>
              </w:rPr>
              <w:t>TOTAL</w:t>
            </w:r>
          </w:p>
        </w:tc>
        <w:tc>
          <w:tcPr>
            <w:tcW w:type="dxa" w:w="2340"/>
            <w:shd w:fill="EBF1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497D"/>
                <w:sz w:val="16"/>
              </w:rPr>
              <w:t>9.086</w:t>
            </w:r>
          </w:p>
        </w:tc>
        <w:tc>
          <w:tcPr>
            <w:tcW w:type="dxa" w:w="2340"/>
            <w:shd w:fill="EBF1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497D"/>
                <w:sz w:val="16"/>
              </w:rPr>
              <w:t>$359.604M</w:t>
            </w:r>
          </w:p>
        </w:tc>
        <w:tc>
          <w:tcPr>
            <w:tcW w:type="dxa" w:w="2340"/>
            <w:shd w:fill="EBF1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497D"/>
                <w:sz w:val="16"/>
              </w:rPr>
              <w:t>100.0%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La Relevancia del Trato Directo en Cambio Climático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37,6% de todas las compras del catastro (3.417 órdenes de compra por $24.476 millones) fueron suscritas vía Trato Directo (mecanismo excepcional). En ciencia política y gestión pública, esto refleja situaciones de emergencia climática (aluviones, incendios forestales, sequía extrema decretada en comunas), contrataciones de urgencia de camiones aljibe y consultorías con proveedores técnicos exclusivos.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3. Radiografía de Gobernanza Multinivel (Municipalidades, GOREs y Central)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catastro incorpora una clasificación institucional que permite analizar la descentralización de las compras y la distribución de capacidades presupuestarias entre niveles del Estado: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88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obernanza_multini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262626"/>
          <w:sz w:val="17"/>
        </w:rPr>
        <w:t>Figura 3: Distribución de compras climáticas y montos transados por Nivel Institucional (2007–2026).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A. El Nivel Municipal (2.605 compras y 54,8% del gasto licitado)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Las municipalidades representan más de la mitad del presupuesto licitado debido a grandes obras comunales de infraestructura verde, recambio de luminarias LED de alta eficiencia energética, arbolado y consultorías de Planes de Acción Comunal de Cambio Climático (PACCC). Municipios destacados: Concepción (127 compras), Copiapó (91), Lampa (66), El Bosque (61) y Temuco (60).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B. Los Gobiernos Regionales (142 compras en escala mesoterritorial)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Los GOREs concentran contrataciones estratégicas orientadas a los Planes de Acción Regional de Cambio Climático (PARCC), balances y modelos de cuencas hídricas y estudios de vulnerabilidad regional. Destacan GORE O'Higgins (18 compras / $785M), GORE Metropolitano (17 compras / $838M), GORE Atacama (13 compras / $238M) y GORE Coquimbo (15 compras).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83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_organismos_compra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262626"/>
          <w:sz w:val="17"/>
        </w:rPr>
        <w:t>Figura 4: Top 12 instituciones compradoras en cambio climático del Estado de Chile.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4. Límites Epistemológicos, Restricciones y Control de Calidad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Para asegurar la máxima rigurosidad y confiabilidad en el uso de estos datos en investigaciones, evaluaciones o políticas públicas, se deben considerar explícitamente los siguientes alcances y restricciones: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1. Intención de Compra vs. Impacto Real: </w:t>
      </w:r>
      <w:r>
        <w:rPr>
          <w:rFonts w:ascii="Arial" w:hAnsi="Arial"/>
          <w:i w:val="0"/>
          <w:color w:val="262626"/>
          <w:sz w:val="19"/>
        </w:rPr>
        <w:t>La emisión de una orden de compra o la adjudicación de una licitación prueba fehacientemente la asignación presupuestaria y la priorización administrativa del organismo, pero no equivale automáticamente a la evaluación de impacto ecológico posterior ni a la ejecución física final de la obra.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2. Sesgo de Rotulado Administrativo: </w:t>
      </w:r>
      <w:r>
        <w:rPr>
          <w:rFonts w:ascii="Arial" w:hAnsi="Arial"/>
          <w:i w:val="0"/>
          <w:color w:val="262626"/>
          <w:sz w:val="19"/>
        </w:rPr>
        <w:t>Mercado Público no cuenta con un etiquetado nativo para cambio climático. La clasificación depende de la redacción técnica de los funcionarios de compras. Se mitigan omisiones mediante escaneo exhaustivo de 8 campos textuales (nombre, descripción, especificaciones técnicas y rubros).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3. Riesgo de Doble Contabilización de Montos: </w:t>
      </w:r>
      <w:r>
        <w:rPr>
          <w:rFonts w:ascii="Arial" w:hAnsi="Arial"/>
          <w:i w:val="0"/>
          <w:color w:val="262626"/>
          <w:sz w:val="19"/>
        </w:rPr>
        <w:t>Para evitar la sobrestimación del gasto, se debe distinguir estrictamente entre Licitaciones (LP/LE, que reflejan montos marco o estimados) y Órdenes de Compra (OC, que reflejan montos netos transados línea a línea). El dataset incluye la variable 'tipo_registro' y 'mecanismo_compra' para filtrar y evitar doble contabilización.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4. Control de Falsos Positivos: </w:t>
      </w:r>
      <w:r>
        <w:rPr>
          <w:rFonts w:ascii="Arial" w:hAnsi="Arial"/>
          <w:i w:val="0"/>
          <w:color w:val="262626"/>
          <w:sz w:val="19"/>
        </w:rPr>
        <w:t>Se aplicó un filtro negativo estricto para eliminar compras espurias de 'clima laboral', 'ambiente laboral' o 'aire acondicionado', así como siglas ambiguas como SBN (subvención municipal no relacionada).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5. Certificación de Calidad y Consistencia: </w:t>
      </w:r>
      <w:r>
        <w:rPr>
          <w:rFonts w:ascii="Arial" w:hAnsi="Arial"/>
          <w:i w:val="0"/>
          <w:color w:val="262626"/>
          <w:sz w:val="19"/>
        </w:rPr>
        <w:t>El dataset final superó 16 de 16 pruebas formales de auditoría informática: cero duplicados en clave compuesta, 100% de campos obligatorios poblados, cuadratura matemática exacta entre pestañas y trazabilidad a través del enlace web público a cada proceso.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5. Taxonomía Temática y Ecosistema de Proveedores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catastro clasifica las 9.086 compras en 4 subcategorías conceptuales: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930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ubcategorias_temat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262626"/>
          <w:sz w:val="17"/>
        </w:rPr>
        <w:t>Figura 5: Distribución de compras por Eje Temático y Modalidad de Registro.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Consultoría Especializada: </w:t>
      </w:r>
      <w:r>
        <w:rPr>
          <w:rFonts w:ascii="Arial" w:hAnsi="Arial"/>
          <w:i w:val="0"/>
          <w:color w:val="262626"/>
          <w:sz w:val="19"/>
        </w:rPr>
        <w:t>Empresas de ingeniería ambiental como Deuman (69 contratos adjudicados por $1.765 millones) lideran los estudios técnicos de inventarios GEI, huella de carbono y hojas de ruta de descarbonización e hidrógeno verde.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Academia y Validación Científica: </w:t>
      </w:r>
      <w:r>
        <w:rPr>
          <w:rFonts w:ascii="Arial" w:hAnsi="Arial"/>
          <w:i w:val="0"/>
          <w:color w:val="262626"/>
          <w:sz w:val="19"/>
        </w:rPr>
        <w:t>La Universidad de Chile (88 adjudicaciones por $1.380M) y la Pontificia Universidad Católica de Chile (55 adjudicaciones por $644M) actúan como asesores científicos principales del Ministerio del Medio Ambiente y Energía.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Asociativismo y Soporte Local: </w:t>
      </w:r>
      <w:r>
        <w:rPr>
          <w:rFonts w:ascii="Arial" w:hAnsi="Arial"/>
          <w:i w:val="0"/>
          <w:color w:val="262626"/>
          <w:sz w:val="19"/>
        </w:rPr>
        <w:t>La Asociación Chilena de Municipalidades (AChM, 105 contrataciones) cumple un rol articulador entregando asistencia técnica y capacitación para ordenanzas y planes comunales.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6. Codebook / Diccionario de Variables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La base de datos entregada en Excel y CSV contiene 23 variables operacionales: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12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120"/>
            <w:shd w:fill="1F497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Descripción y Valores de Ejemplo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codigo_proceso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Identificador único de la licitación (CodigoExterno) o de la orden de compra.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tipo_registro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Modalidad de registro: 'licitacion' o 'orden_compra'.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mecanismo_compra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Licitación Pública, Convenio Marco, Trato Directo (Excepcional), Compra Ágil (&lt;30 UTM), Licitación Privada.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link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URL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Enlace directo a la ficha pública en Mercado Público para verificación.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nombre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Nombre formal del proceso de licitación o de la orden de compra.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descripcion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Glosa descriptiva detallada del requerimiento técnico.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organismo_comprador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Nombre de la institución pública compradora.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nivel_institucional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Municipalidades, Gobiernos Regionales (GORE), Gobierno Central, Universidades, Salud, Defensa.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rut_comprador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RUT institucional del organismo comprador.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region_comprador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Región político-administrativa del comprador (16 regiones).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fecha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Fecha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Fecha de publicación o emisión (2007-01 a 2026-07).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monto_pesos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Numérico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Monto en pesos chilenos estimado/adjudicado o transado.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moneda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Moneda original de la contratación (CLP, UF, USD, UTM).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proveedor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Razón social del proveedor adjudicado.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rut_proveedor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RUT del proveedor adjudicado.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subcategoria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Categórica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Núcleo_Exacto, Instrumentos_Ley21455, Gases_Descarbonizacion, Transicion_SBN.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termino_coincidente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Palabra o frase exacta que gatilló la clasificación positiva.</w:t>
            </w:r>
          </w:p>
        </w:tc>
      </w:tr>
      <w:tr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1F497D"/>
                <w:sz w:val="16"/>
              </w:rPr>
              <w:t>texto_fragmento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Texto</w:t>
            </w:r>
          </w:p>
        </w:tc>
        <w:tc>
          <w:tcPr>
            <w:tcW w:type="dxa" w:w="312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262626"/>
                <w:sz w:val="16"/>
              </w:rPr>
              <w:t>Fragmento de texto de 80 caracteres con el contexto del término.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7. Protocolo de Reproducibilidad y Scripts en Python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El dataset y las visualizaciones fueron construidos bajo una arquitectura determinista de código abierto. Se incluyen dos scripts en Python en la carpeta de entrega: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1. replicar_catastro_chilecompra.py: </w:t>
      </w:r>
      <w:r>
        <w:rPr>
          <w:rFonts w:ascii="Arial" w:hAnsi="Arial"/>
          <w:i w:val="0"/>
          <w:color w:val="262626"/>
          <w:sz w:val="19"/>
        </w:rPr>
        <w:t>Script autónomo y comentado paso a paso para que cualquier persona ejecute la extracción sobre las bases masivas de ChileCompra y replique exactamente los 9.086 registros.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2. generar_graficas_catastro.py: </w:t>
      </w:r>
      <w:r>
        <w:rPr>
          <w:rFonts w:ascii="Arial" w:hAnsi="Arial"/>
          <w:i w:val="0"/>
          <w:color w:val="262626"/>
          <w:sz w:val="19"/>
        </w:rPr>
        <w:t>Script ejecutable para regenerar automáticamente todas las figuras y gráficas estadísticas (300 DPI) a partir del archivo CSV.</w:t>
      </w:r>
    </w:p>
    <w:p>
      <w:pPr>
        <w:spacing w:before="280" w:after="80"/>
      </w:pPr>
      <w:r>
        <w:rPr>
          <w:rFonts w:ascii="Arial" w:hAnsi="Arial"/>
          <w:b/>
          <w:color w:val="1F497D"/>
          <w:sz w:val="25"/>
        </w:rPr>
        <w:t>8. Agendas de Investigación y Diseños Metodológicos Sugeridos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19"/>
        </w:rPr>
        <w:t>A partir de este conjunto de datos empíricos, se formulan 4 agendas de investigación científica y evaluación de políticas públicas, detallando los modelos cuantitativos y estrategias de cruce recomendadas: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Agenda 1: Capacidad Estatal y Brechas Territoriales en Gobiernos Locales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Pregunta: </w:t>
      </w:r>
      <w:r>
        <w:rPr>
          <w:rFonts w:ascii="Arial" w:hAnsi="Arial"/>
          <w:i w:val="0"/>
          <w:color w:val="262626"/>
          <w:sz w:val="19"/>
        </w:rPr>
        <w:t>¿En qué medida los ingresos propios comunales, la dependencia del FCM y la dotación técnica condicionan la probabilidad y celeridad de licitar instrumentos climáticos (PACCC)?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Diseño Metodológico: </w:t>
      </w:r>
      <w:r>
        <w:rPr>
          <w:rFonts w:ascii="Arial" w:hAnsi="Arial"/>
          <w:i w:val="0"/>
          <w:color w:val="262626"/>
          <w:sz w:val="19"/>
        </w:rPr>
        <w:t>Modelos de elección discreta (Logit/Probit) para adopción binaria; regresiones Tobit/Poisson para montos per cápita licitados; y modelos de supervivencia (Cox Proportional Hazards) para medir el tiempo transcurrido hasta la primera licitación post-Ley 21.455. Cruce de datos sugerido con SINIM (SUBDERE), CASEN (pobreza multidimensional) y Censo.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Agenda 2: Evaluación de Impacto Normativo (Efecto Causal de la Ley 21.455)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Pregunta: </w:t>
      </w:r>
      <w:r>
        <w:rPr>
          <w:rFonts w:ascii="Arial" w:hAnsi="Arial"/>
          <w:i w:val="0"/>
          <w:color w:val="262626"/>
          <w:sz w:val="19"/>
        </w:rPr>
        <w:t>¿Cuál es el impacto causal de la Ley Marco de Cambio Climático sobre la aceleración del gasto y la descentralización de compras ambientales?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Diseño Metodológico: </w:t>
      </w:r>
      <w:r>
        <w:rPr>
          <w:rFonts w:ascii="Arial" w:hAnsi="Arial"/>
          <w:i w:val="0"/>
          <w:color w:val="262626"/>
          <w:sz w:val="19"/>
        </w:rPr>
        <w:t>Diseño de Series Temporales Interrumpidas (ITSA) mensual comparando trayectorias pre-2022 vs post-2022, complementado con Diferencias en Diferencias (DiD) entre organismos directamente obligados vs organismos no regulados.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Agenda 3: Redes de Política Pública y Concentración de Proveedores (Policy Networks)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Pregunta: </w:t>
      </w:r>
      <w:r>
        <w:rPr>
          <w:rFonts w:ascii="Arial" w:hAnsi="Arial"/>
          <w:i w:val="0"/>
          <w:color w:val="262626"/>
          <w:sz w:val="19"/>
        </w:rPr>
        <w:t>¿Cómo se estructura la red de gobernanza público-privada y cuán concentrado está el mercado de consultoría frente a la academia y gremios?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Diseño Metodológico: </w:t>
      </w:r>
      <w:r>
        <w:rPr>
          <w:rFonts w:ascii="Arial" w:hAnsi="Arial"/>
          <w:i w:val="0"/>
          <w:color w:val="262626"/>
          <w:sz w:val="19"/>
        </w:rPr>
        <w:t>Análisis de Redes Sociales Bipartitas (Two-Mode Network Analysis) entre compradores y proveedores con métricas de intermediación (Betweenness), autovalor (Eigenvector) y algoritmos de comunidades (Louvain). Cálculo de Índice de Herfindahl-Hirschman (HHI) por submercados.</w:t>
      </w:r>
    </w:p>
    <w:p>
      <w:pPr>
        <w:spacing w:before="200" w:after="60"/>
      </w:pPr>
      <w:r>
        <w:rPr>
          <w:rFonts w:ascii="Arial" w:hAnsi="Arial"/>
          <w:b/>
          <w:color w:val="366092"/>
          <w:sz w:val="21"/>
        </w:rPr>
        <w:t>Agenda 4: Análisis Textual y Calidad de la Demanda Estatal (NLP &amp; Topic Modeling)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Pregunta: </w:t>
      </w:r>
      <w:r>
        <w:rPr>
          <w:rFonts w:ascii="Arial" w:hAnsi="Arial"/>
          <w:i w:val="0"/>
          <w:color w:val="262626"/>
          <w:sz w:val="19"/>
        </w:rPr>
        <w:t>¿Qué prioriza materialmente el Estado: diagnósticos institucionales (soft governance) u obras de infraestructura resiliente (hard adaptation)?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19"/>
        </w:rPr>
        <w:t xml:space="preserve">• Diseño Metodológico: </w:t>
      </w:r>
      <w:r>
        <w:rPr>
          <w:rFonts w:ascii="Arial" w:hAnsi="Arial"/>
          <w:i w:val="0"/>
          <w:color w:val="262626"/>
          <w:sz w:val="19"/>
        </w:rPr>
        <w:t>Modelado Estructural de Tópicos (Structural Topic Model - STM / BERTopic) sobre glosas textuales con covariables institucionales, y clasificación supervisada de intervenciones tangibles vs intangibles.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