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351"/>
        <w:tblW w:w="100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3884"/>
        <w:gridCol w:w="4054"/>
        <w:tblGridChange w:id="0">
          <w:tblGrid>
            <w:gridCol w:w="2122"/>
            <w:gridCol w:w="3884"/>
            <w:gridCol w:w="4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Title: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Proponent: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Requested Amount: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Owner’s Equity: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Project  Cost: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cnbicbe5gylf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DOST technology to be adopted and the mode of techno transfer.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Income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Additional (Y1)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Jobs Created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Additional (Y1)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Productivity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 (Y1)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Market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Additional (Y1)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List of Products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With FDA-LTO?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With CPRs?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 short paragraph on the business plan answering the question, How will the enterprise earn income?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1.992187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Plans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</w:t>
        <w:tab/>
        <w:tab/>
        <w:tab/>
        <w:tab/>
        <w:tab/>
        <w:tab/>
        <w:tab/>
        <w:t xml:space="preserve">Reviewed by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John Paulo R. Tumala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Ruel Vincent C. Banal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Technical Assistant III, PSTO MOR</w:t>
        <w:tab/>
        <w:tab/>
        <w:tab/>
        <w:t xml:space="preserve">Officer-In-Charge, PSTO MOR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1440" w:top="1440" w:left="1080" w:right="1080" w:header="27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EXECUTIVE SUMMARY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-38097</wp:posOffset>
          </wp:positionH>
          <wp:positionV relativeFrom="paragraph">
            <wp:posOffset>19050</wp:posOffset>
          </wp:positionV>
          <wp:extent cx="1289685" cy="428625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9685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52AE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452AE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2AED"/>
  </w:style>
  <w:style w:type="paragraph" w:styleId="Footer">
    <w:name w:val="footer"/>
    <w:basedOn w:val="Normal"/>
    <w:link w:val="FooterChar"/>
    <w:uiPriority w:val="99"/>
    <w:unhideWhenUsed w:val="1"/>
    <w:rsid w:val="00452AE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2AED"/>
  </w:style>
  <w:style w:type="table" w:styleId="TableGrid">
    <w:name w:val="Table Grid"/>
    <w:basedOn w:val="TableNormal"/>
    <w:uiPriority w:val="39"/>
    <w:rsid w:val="00452AE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WbLx51KwRGGBnQRlLxc4l28tnQ==">CgMxLjAyDmguY25iaWNiZTVneWxmOAByITFGU0tSbGRYR2ZJT0c1T2RzU3hPTS1aUE15X2wzNEtMZQ==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2025-02-25T03:28:00Z</dcterms:created>
  <dc:creator>Johnny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2a1824b4-0613-4279-93f0-44d6defdbe32</vt:lpwstr>
  </property>
</Properties>
</file>