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Ecommerce Performance Analysis - Documentation Summary</w:t>
      </w:r>
    </w:p>
    <w:p>
      <w:pPr>
        <w:pStyle w:val="Heading2"/>
      </w:pPr>
      <w:r>
        <w:t>1. Key Metrics Overview</w:t>
      </w:r>
    </w:p>
    <w:p>
      <w:pPr>
        <w:pStyle w:val="ListBullet"/>
      </w:pPr>
      <w:r>
        <w:t>Total Revenue: 45 مليون</w:t>
      </w:r>
    </w:p>
    <w:p>
      <w:pPr>
        <w:pStyle w:val="ListBullet"/>
      </w:pPr>
      <w:r>
        <w:t>Total Orders: 10.2 ألف طلب</w:t>
      </w:r>
    </w:p>
    <w:p>
      <w:pPr>
        <w:pStyle w:val="ListBullet"/>
      </w:pPr>
      <w:r>
        <w:t>Quantity of Products Sold: 92 ألف منتج</w:t>
      </w:r>
    </w:p>
    <w:p>
      <w:pPr>
        <w:pStyle w:val="ListBullet"/>
      </w:pPr>
      <w:r>
        <w:t>Total Supplies: 70</w:t>
      </w:r>
    </w:p>
    <w:p>
      <w:pPr>
        <w:pStyle w:val="ListBullet"/>
      </w:pPr>
      <w:r>
        <w:t>Total Customers: 250</w:t>
      </w:r>
    </w:p>
    <w:p>
      <w:pPr>
        <w:pStyle w:val="ListBullet"/>
      </w:pPr>
      <w:r>
        <w:t>Count of Unique Products: 599 منتج</w:t>
      </w:r>
    </w:p>
    <w:p>
      <w:pPr>
        <w:pStyle w:val="Heading2"/>
      </w:pPr>
      <w:r>
        <w:t>2. Customer Classification</w:t>
      </w:r>
    </w:p>
    <w:p>
      <w:pPr>
        <w:pStyle w:val="ListBullet"/>
      </w:pPr>
      <w:r>
        <w:t>High-Value Customers: 89.47%</w:t>
      </w:r>
    </w:p>
    <w:p>
      <w:pPr>
        <w:pStyle w:val="ListBullet"/>
      </w:pPr>
      <w:r>
        <w:t>Mid-Value Customers: 6.48%</w:t>
      </w:r>
    </w:p>
    <w:p>
      <w:pPr>
        <w:pStyle w:val="ListBullet"/>
      </w:pPr>
      <w:r>
        <w:t>Low-Value Customers: 4.05%</w:t>
      </w:r>
    </w:p>
    <w:p>
      <w:pPr>
        <w:pStyle w:val="ListBullet"/>
      </w:pPr>
      <w:r>
        <w:t>تحليل CLV:</w:t>
      </w:r>
    </w:p>
    <w:p>
      <w:pPr>
        <w:pStyle w:val="ListBullet"/>
      </w:pPr>
      <w:r>
        <w:t>أكثر من 4800 عميل ضمن الفئة عالية القيمة</w:t>
      </w:r>
    </w:p>
    <w:p>
      <w:pPr>
        <w:pStyle w:val="ListBullet"/>
      </w:pPr>
      <w:r>
        <w:t>700 عميل من الفئة المتوسطة</w:t>
      </w:r>
    </w:p>
    <w:p>
      <w:pPr>
        <w:pStyle w:val="ListBullet"/>
      </w:pPr>
      <w:r>
        <w:t>300 عميل من الفئة المنخفضة</w:t>
      </w:r>
    </w:p>
    <w:p>
      <w:pPr>
        <w:pStyle w:val="Heading2"/>
      </w:pPr>
      <w:r>
        <w:t>3. Top Products &amp; Customer Revenue</w:t>
      </w:r>
    </w:p>
    <w:p>
      <w:pPr>
        <w:pStyle w:val="ListBullet"/>
      </w:pPr>
      <w:r>
        <w:t>أفضل منتج: Vision-oriented 3rdgeneration data-warehouse بقيمة 518.78K</w:t>
      </w:r>
    </w:p>
    <w:p>
      <w:pPr>
        <w:pStyle w:val="ListBullet"/>
      </w:pPr>
      <w:r>
        <w:t>المنتجات الأخرى الأعلى من حيث الإيرادات:</w:t>
      </w:r>
    </w:p>
    <w:p>
      <w:pPr>
        <w:pStyle w:val="ListBullet"/>
      </w:pPr>
      <w:r>
        <w:t>Visionary upward-trending extranet</w:t>
      </w:r>
    </w:p>
    <w:p>
      <w:pPr>
        <w:pStyle w:val="ListBullet"/>
      </w:pPr>
      <w:r>
        <w:t>Vision-oriented mission-critical application</w:t>
      </w:r>
    </w:p>
    <w:p>
      <w:pPr>
        <w:pStyle w:val="Heading2"/>
      </w:pPr>
      <w:r>
        <w:t>4. Customer Trends Over Time</w:t>
      </w:r>
    </w:p>
    <w:p>
      <w:pPr>
        <w:pStyle w:val="ListBullet"/>
      </w:pPr>
      <w:r>
        <w:t>توزيع العملاء على مدار السنة (يناير – مايو 2025):</w:t>
      </w:r>
    </w:p>
    <w:p>
      <w:pPr>
        <w:pStyle w:val="ListBullet"/>
      </w:pPr>
      <w:r>
        <w:t>تقلبات مستمرة في عدد العملاء شهريًا</w:t>
      </w:r>
    </w:p>
    <w:p>
      <w:pPr>
        <w:pStyle w:val="ListBullet"/>
      </w:pPr>
      <w:r>
        <w:t>أفضل أداء شهري: أبريل ومايو</w:t>
      </w:r>
    </w:p>
    <w:p>
      <w:pPr>
        <w:pStyle w:val="Heading2"/>
      </w:pPr>
      <w:r>
        <w:t>5. Payment Behavior</w:t>
      </w:r>
    </w:p>
    <w:p>
      <w:pPr>
        <w:pStyle w:val="ListBullet"/>
      </w:pPr>
      <w:r>
        <w:t>أنواع الدفع:</w:t>
      </w:r>
    </w:p>
    <w:p>
      <w:pPr>
        <w:pStyle w:val="ListBullet"/>
      </w:pPr>
      <w:r>
        <w:t>PayPal: 33.54%</w:t>
      </w:r>
    </w:p>
    <w:p>
      <w:pPr>
        <w:pStyle w:val="ListBullet"/>
      </w:pPr>
      <w:r>
        <w:t>Credit Card: 33%</w:t>
      </w:r>
    </w:p>
    <w:p>
      <w:pPr>
        <w:pStyle w:val="ListBullet"/>
      </w:pPr>
      <w:r>
        <w:t>Bank Transfer: 33.46%</w:t>
      </w:r>
    </w:p>
    <w:p>
      <w:pPr>
        <w:pStyle w:val="ListBullet"/>
      </w:pPr>
    </w:p>
    <w:p>
      <w:pPr>
        <w:pStyle w:val="ListBullet"/>
      </w:pPr>
      <w:r>
        <w:t>Top Paying Customers:</w:t>
      </w:r>
    </w:p>
    <w:p>
      <w:pPr>
        <w:pStyle w:val="ListBullet"/>
      </w:pPr>
      <w:r>
        <w:t>Stephen Foster: 32K</w:t>
      </w:r>
    </w:p>
    <w:p>
      <w:pPr>
        <w:pStyle w:val="ListBullet"/>
      </w:pPr>
      <w:r>
        <w:t>Michelle Cruz وDavid Carpenter وChristina Dunn: 17K لكل منهم</w:t>
      </w:r>
    </w:p>
    <w:p>
      <w:pPr>
        <w:pStyle w:val="Heading2"/>
      </w:pPr>
      <w:r>
        <w:t>6. Order Status</w:t>
      </w:r>
    </w:p>
    <w:p>
      <w:pPr>
        <w:pStyle w:val="ListBullet"/>
      </w:pPr>
      <w:r>
        <w:t>Pending: 21.21%</w:t>
      </w:r>
    </w:p>
    <w:p>
      <w:pPr>
        <w:pStyle w:val="ListBullet"/>
      </w:pPr>
      <w:r>
        <w:t>Shipped: 20.35%</w:t>
      </w:r>
    </w:p>
    <w:p>
      <w:pPr>
        <w:pStyle w:val="ListBullet"/>
      </w:pPr>
      <w:r>
        <w:t>Processing: 19.93%</w:t>
      </w:r>
    </w:p>
    <w:p>
      <w:pPr>
        <w:pStyle w:val="ListBullet"/>
      </w:pPr>
      <w:r>
        <w:t>Cancelled: 19.61%</w:t>
      </w:r>
    </w:p>
    <w:p>
      <w:pPr>
        <w:pStyle w:val="ListBullet"/>
      </w:pPr>
      <w:r>
        <w:t>Delivered: 18.9%</w:t>
      </w:r>
    </w:p>
    <w:p>
      <w:pPr>
        <w:pStyle w:val="Heading2"/>
      </w:pPr>
      <w:r>
        <w:t>7. Cancellation Trends</w:t>
      </w:r>
    </w:p>
    <w:p>
      <w:pPr>
        <w:pStyle w:val="ListBullet"/>
      </w:pPr>
      <w:r>
        <w:t>أعلى معدل إلغاء كان في مارس (519 طلب)</w:t>
      </w:r>
    </w:p>
    <w:p>
      <w:pPr>
        <w:pStyle w:val="ListBullet"/>
      </w:pPr>
      <w:r>
        <w:t>تلاه يناير وأبريل</w:t>
      </w:r>
    </w:p>
    <w:p>
      <w:pPr>
        <w:pStyle w:val="Heading2"/>
      </w:pPr>
      <w:r>
        <w:t>8. Monthly Sales Performance</w:t>
      </w:r>
    </w:p>
    <w:p>
      <w:pPr>
        <w:pStyle w:val="ListBullet"/>
      </w:pPr>
      <w:r>
        <w:t>الأداء الأعلى كان في:</w:t>
      </w:r>
    </w:p>
    <w:p>
      <w:pPr>
        <w:pStyle w:val="ListBullet"/>
      </w:pPr>
      <w:r>
        <w:t>يناير: 10.94M</w:t>
      </w:r>
    </w:p>
    <w:p>
      <w:pPr>
        <w:pStyle w:val="ListBullet"/>
      </w:pPr>
      <w:r>
        <w:t>أبريل: 10.76M</w:t>
      </w:r>
    </w:p>
    <w:p>
      <w:pPr>
        <w:pStyle w:val="ListBullet"/>
      </w:pPr>
      <w:r>
        <w:t>مارس: 10.73M</w:t>
      </w:r>
    </w:p>
    <w:p>
      <w:pPr>
        <w:pStyle w:val="ListBullet"/>
      </w:pPr>
    </w:p>
    <w:p>
      <w:pPr>
        <w:pStyle w:val="ListBullet"/>
      </w:pPr>
      <w:r>
        <w:t>انخفاض ملحوظ في مايو: 2.24M</w:t>
      </w:r>
    </w:p>
    <w:p>
      <w:pPr>
        <w:pStyle w:val="Heading2"/>
      </w:pPr>
      <w:r>
        <w:t>9. Wishlist Frequency</w:t>
      </w:r>
    </w:p>
    <w:p>
      <w:pPr>
        <w:pStyle w:val="ListBullet"/>
      </w:pPr>
      <w:r>
        <w:t>أكثر المنتجات المضافة إلى قائمة الرغبات حصلت على "7 إضافات"</w:t>
      </w:r>
    </w:p>
    <w:p>
      <w:pPr>
        <w:pStyle w:val="ListBullet"/>
      </w:pPr>
      <w:r>
        <w:t>يعكس تفضيلات العملاء ويقترح فرص تسويقية</w:t>
      </w:r>
    </w:p>
    <w:p>
      <w:pPr>
        <w:pStyle w:val="Heading2"/>
      </w:pPr>
      <w:r>
        <w:t>10. Average Rating by Product</w:t>
      </w:r>
    </w:p>
    <w:p>
      <w:pPr>
        <w:pStyle w:val="ListBullet"/>
      </w:pPr>
      <w:r>
        <w:t>أفضل تقييم (5.0):</w:t>
      </w:r>
    </w:p>
    <w:p>
      <w:pPr>
        <w:pStyle w:val="ListBullet"/>
      </w:pPr>
      <w:r>
        <w:t>Grass-roots intangible</w:t>
      </w:r>
    </w:p>
    <w:p>
      <w:pPr>
        <w:pStyle w:val="ListBullet"/>
      </w:pPr>
      <w:r>
        <w:t>Optimized content</w:t>
      </w:r>
    </w:p>
    <w:p>
      <w:pPr>
        <w:pStyle w:val="ListBullet"/>
      </w:pPr>
    </w:p>
    <w:p>
      <w:pPr>
        <w:pStyle w:val="ListBullet"/>
      </w:pPr>
      <w:r>
        <w:t>أعلى المنتجات تقييمًا تركز على المحتوى وتحسين التجربة</w:t>
      </w:r>
    </w:p>
    <w:p>
      <w:pPr>
        <w:pStyle w:val="Heading2"/>
      </w:pPr>
      <w:r>
        <w:t>General Insights</w:t>
      </w:r>
    </w:p>
    <w:p>
      <w:pPr>
        <w:pStyle w:val="ListBullet"/>
      </w:pPr>
      <w:r>
        <w:t>الغالبية العظمى من الإيرادات تأتي من عملاء "High-Value"</w:t>
      </w:r>
    </w:p>
    <w:p>
      <w:pPr>
        <w:pStyle w:val="ListBullet"/>
      </w:pPr>
      <w:r>
        <w:t>توزيع متساوي تقريبًا لطرق الدفع، مما يوضح ضرورة تنوع وسائل الدفع</w:t>
      </w:r>
    </w:p>
    <w:p>
      <w:pPr>
        <w:pStyle w:val="ListBullet"/>
      </w:pPr>
      <w:r>
        <w:t>نسبة الإلغاء والطلبات المعلقة مرتفعة نسبيًا وتحتاج لتحسين في العمليات اللوجستية</w:t>
      </w:r>
    </w:p>
    <w:p>
      <w:pPr>
        <w:pStyle w:val="ListBullet"/>
      </w:pPr>
      <w:r>
        <w:t>فرص لتحسين أداء مايو بناءً على الانخفاض الحاد في الإيرادات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Ecommerce Business Improvement Report</w:t>
      </w:r>
    </w:p>
    <w:p>
      <w:pPr>
        <w:pStyle w:val="Heading2"/>
      </w:pPr>
      <w:r>
        <w:t>1. تحسين تجربة العملاء (Customer Experience)</w:t>
      </w:r>
    </w:p>
    <w:p>
      <w:r>
        <w:t>- استهداف العملاء عاليي القيمة:</w:t>
        <w:br/>
        <w:t xml:space="preserve">  • تقديم برامج ولاء خاصة (Loyalty Programs).</w:t>
        <w:br/>
        <w:t xml:space="preserve">  • عروض مخصصة بناءً على تاريخ الشراء.</w:t>
      </w:r>
    </w:p>
    <w:p>
      <w:r>
        <w:t>- تحسين تجربة التسوق:</w:t>
        <w:br/>
        <w:t xml:space="preserve">  • تأكد من سهولة التصفح، الدفع، والتواصل.</w:t>
        <w:br/>
        <w:t xml:space="preserve">  • تحسين جودة المنتجات الحاصلة على تقييم أقل من 4.</w:t>
      </w:r>
    </w:p>
    <w:p>
      <w:pPr>
        <w:pStyle w:val="Heading2"/>
      </w:pPr>
      <w:r>
        <w:t>2. معالجة مشاكل الطلبات (Order Management)</w:t>
      </w:r>
    </w:p>
    <w:p>
      <w:r>
        <w:t>- تقليل نسبة الإلغاء (19.61%):</w:t>
        <w:br/>
        <w:t xml:space="preserve">  • تحسين وضوح معلومات المنتجات وسياسات الإرجاع.</w:t>
        <w:br/>
        <w:t xml:space="preserve">  • تقليل وقت الشحن أو توفير خيارات أسرع.</w:t>
      </w:r>
    </w:p>
    <w:p>
      <w:r>
        <w:t>- تحسين الطلبات المعلقة/قيد المعالجة (41%):</w:t>
        <w:br/>
        <w:t xml:space="preserve">  • تحسين التكامل بين المخزون والطلب.</w:t>
        <w:br/>
        <w:t xml:space="preserve">  • أتمتة عمليات الدفع والتحقق لتسريع العمليات.</w:t>
      </w:r>
    </w:p>
    <w:p>
      <w:pPr>
        <w:pStyle w:val="Heading2"/>
      </w:pPr>
      <w:r>
        <w:t>3. تعزيز التسويق والمبيعات</w:t>
      </w:r>
    </w:p>
    <w:p>
      <w:r>
        <w:t>- الاستفادة من بيانات قائمة الرغبات (Wishlist):</w:t>
        <w:br/>
        <w:t xml:space="preserve">  • إطلاق حملات ترويجية على المنتجات الأكثر طلبًا.</w:t>
        <w:br/>
        <w:t xml:space="preserve">  • إرسال تنبيهات عند انخفاض الأسعار أو توفر المنتج.</w:t>
      </w:r>
    </w:p>
    <w:p>
      <w:r>
        <w:t>- تحليل تقييمات المنتجات:</w:t>
        <w:br/>
        <w:t xml:space="preserve">  • تسويق المنتجات ذات التقييمات العالية.</w:t>
        <w:br/>
        <w:t xml:space="preserve">  • تحسين أو حذف المنتجات ذات التقييمات المنخفضة.</w:t>
      </w:r>
    </w:p>
    <w:p>
      <w:pPr>
        <w:pStyle w:val="Heading2"/>
      </w:pPr>
      <w:r>
        <w:t>4. تنويع وفعالية وسائل الدفع</w:t>
      </w:r>
    </w:p>
    <w:p>
      <w:r>
        <w:t>- تنويع طرق الدفع دون إهمال أي قناة:</w:t>
        <w:br/>
        <w:t xml:space="preserve">  • الثلاث طرق (PayPal, Credit Card, Bank Transfer) متساوية تقريبًا.</w:t>
        <w:br/>
        <w:t xml:space="preserve">  • ضمان استقرار وسرعة كل وسيلة.</w:t>
      </w:r>
    </w:p>
    <w:p>
      <w:r>
        <w:t>- تشجيع على الدفع السريع:</w:t>
        <w:br/>
        <w:t xml:space="preserve">  • توفير حوافز مثل خصومات لمن يدفع إلكترونيًا مباشرة.</w:t>
      </w:r>
    </w:p>
    <w:p>
      <w:pPr>
        <w:pStyle w:val="Heading2"/>
      </w:pPr>
      <w:r>
        <w:t>5. تحسين الأداء الشهري</w:t>
      </w:r>
    </w:p>
    <w:p>
      <w:r>
        <w:t>- التركيز على شهور الانخفاض (مثل مايو):</w:t>
        <w:br/>
        <w:t xml:space="preserve">  • عمل حملات تسويق قوية قبل بداية الشهر.</w:t>
        <w:br/>
        <w:t xml:space="preserve">  • تحليل سبب الانخفاض (هل هو موسمي؟ لوجستي؟ تسعير؟).</w:t>
      </w:r>
    </w:p>
    <w:p>
      <w:r>
        <w:t>- استهداف شهور الذروة (مارس – يناير):</w:t>
        <w:br/>
        <w:t xml:space="preserve">  • مضاعفة العروض والدعايات خلال هذه الفترات.</w:t>
      </w:r>
    </w:p>
    <w:p>
      <w:pPr>
        <w:pStyle w:val="Heading2"/>
      </w:pPr>
      <w:r>
        <w:t>نصيحة ختامية</w:t>
      </w:r>
    </w:p>
    <w:p>
      <w:r>
        <w:t>استخدم التحليلات التنبؤية (Predictive Analytics) لتوقع:</w:t>
        <w:br/>
        <w:t>- سلوك العملاء</w:t>
        <w:br/>
        <w:t>- فترات الركود والطلب العالي</w:t>
        <w:br/>
        <w:t>- المنتجات الواعدة بناءً على الاتجاهات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