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600" w:after="44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A3422F"/>
          <w:sz w:val="16"/>
        </w:rPr>
        <w:t>INDEPENDENT GEO BRAND PROPOSAL</w:t>
      </w:r>
    </w:p>
    <w:p>
      <w:pPr>
        <w:keepNext w:val="0"/>
        <w:spacing w:before="0" w:after="16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182320"/>
          <w:sz w:val="62"/>
        </w:rPr>
        <w:t>元亨利红木家具</w:t>
      </w:r>
    </w:p>
    <w:p>
      <w:pPr>
        <w:keepNext w:val="0"/>
        <w:spacing w:before="0" w:after="28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A3422F"/>
          <w:sz w:val="62"/>
        </w:rPr>
        <w:t>GEO 品牌内容优化方案</w:t>
      </w:r>
    </w:p>
    <w:p>
      <w:pPr>
        <w:keepNext w:val="0"/>
        <w:spacing w:before="0" w:after="44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从“AI知道品牌”到“AI能够引用、区分并守住事实边界”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EB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18"/>
              </w:rPr>
              <w:t xml:space="preserve">核心判断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元亨利当前最大GEO问题不是品牌无法被识别，而是品牌事实缺少稳定、结构化、可追溯的证据。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DF8"/>
          </w:tcPr>
          <w:p>
            <w:pPr>
              <w:spacing w:after="4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40"/>
              </w:rPr>
              <w:t>4.91/5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品牌识别</w:t>
            </w:r>
          </w:p>
          <w:p>
            <w:pPr>
              <w:spacing w:after="4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Baseline150四维评分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BE4D7"/>
          </w:tcPr>
          <w:p>
            <w:pPr>
              <w:spacing w:after="4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40"/>
              </w:rPr>
              <w:t>3.69/5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可靠性</w:t>
            </w:r>
          </w:p>
          <w:p>
            <w:pPr>
              <w:spacing w:after="4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与识别相差1.22分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DF8"/>
          </w:tcPr>
          <w:p>
            <w:pPr>
              <w:spacing w:after="4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40"/>
              </w:rPr>
              <w:t>10.7%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有效来源覆盖</w:t>
            </w:r>
          </w:p>
          <w:p>
            <w:pPr>
              <w:spacing w:after="4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16/150回答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BE4D7"/>
          </w:tcPr>
          <w:p>
            <w:pPr>
              <w:spacing w:after="4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40"/>
              </w:rPr>
              <w:t>149/150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Reliability Gap</w:t>
            </w:r>
          </w:p>
          <w:p>
            <w:pPr>
              <w:spacing w:after="4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识别强于可靠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keepNext w:val="0"/>
        <w:spacing w:before="320" w:after="8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B68B4C"/>
          <w:sz w:val="16"/>
        </w:rPr>
        <w:t>交付定位</w:t>
      </w:r>
    </w:p>
    <w:p>
      <w:pPr>
        <w:keepNext w:val="0"/>
        <w:spacing w:before="0" w:after="44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182320"/>
          <w:sz w:val="20"/>
        </w:rPr>
        <w:t>14页主方案 · 90天执行工作簿 · 品牌事实知识库 · 公开网站策略栏目 · 8页主案例入口</w:t>
      </w:r>
    </w:p>
    <w:p>
      <w:pPr>
        <w:keepNext w:val="0"/>
        <w:spacing w:before="0" w:after="120" w:line="300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61706C"/>
          <w:sz w:val="17"/>
        </w:rPr>
        <w:t>公开案例：</w:t>
      </w:r>
      <w:hyperlink r:id="rId11">
        <w:r>
          <w:rPr>
            <w:rFonts w:ascii="Arial Unicode MS" w:hAnsi="Arial Unicode MS" w:eastAsia="Arial Unicode MS"/>
            <w:color w:val="0F6D65"/>
            <w:u w:val="single"/>
            <w:sz w:val="17"/>
          </w:rPr>
          <w:t>https://yhl-geo-portfolio-2026.layiiii.chatgpt.site/strategy</w:t>
        </w:r>
      </w:hyperlink>
    </w:p>
    <w:p>
      <w:pPr>
        <w:keepNext w:val="0"/>
        <w:spacing w:before="360" w:after="40" w:line="300" w:lineRule="auto"/>
        <w:jc w:val="center"/>
      </w:pPr>
      <w:r>
        <w:rPr>
          <w:rFonts w:ascii="Arial Unicode MS" w:hAnsi="Arial Unicode MS" w:eastAsia="Arial Unicode MS"/>
          <w:b w:val="0"/>
          <w:i/>
          <w:color w:val="61706C"/>
          <w:sz w:val="16"/>
        </w:rPr>
        <w:t>本方案为个人公开资料研究与求职作品集，不代表元亨利官方，不构成品牌委托、产品背书或投资建议。</w:t>
      </w:r>
    </w:p>
    <w:p>
      <w:pPr>
        <w:keepNext w:val="0"/>
        <w:spacing w:before="0" w:after="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B68B4C"/>
          <w:sz w:val="16"/>
        </w:rPr>
        <w:t>2026-07-17</w:t>
      </w: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02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执行摘要：识别不是终点，可靠才是瓶颈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225条回答已证明AI通常知道“元亨利”与红木家具有关，但稳定引用、实体区分和高风险事实边界仍明显不足。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DF8"/>
          </w:tcPr>
          <w:p>
            <w:pPr>
              <w:spacing w:after="4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40"/>
              </w:rPr>
              <w:t>17.2/20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Baseline平均</w:t>
            </w:r>
          </w:p>
          <w:p>
            <w:pPr>
              <w:spacing w:after="4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150条正式诊断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BE4D7"/>
          </w:tcPr>
          <w:p>
            <w:pPr>
              <w:spacing w:after="4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40"/>
              </w:rPr>
              <w:t>1.3%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确认错误率</w:t>
            </w:r>
          </w:p>
          <w:p>
            <w:pPr>
              <w:spacing w:after="4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2/150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DF8"/>
          </w:tcPr>
          <w:p>
            <w:pPr>
              <w:spacing w:after="4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40"/>
              </w:rPr>
              <w:t>9.3%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确认幻觉率</w:t>
            </w:r>
          </w:p>
          <w:p>
            <w:pPr>
              <w:spacing w:after="4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14/150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BE4D7"/>
          </w:tcPr>
          <w:p>
            <w:pPr>
              <w:spacing w:after="4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40"/>
              </w:rPr>
              <w:t>89.3%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疑似幻觉率</w:t>
            </w:r>
          </w:p>
          <w:p>
            <w:pPr>
              <w:spacing w:after="4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134/150，单列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问题如何发生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80"/>
        <w:gridCol w:w="3500"/>
        <w:gridCol w:w="3780"/>
      </w:tblGrid>
      <w:tr>
        <w:trPr>
          <w:tblHeader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表层表现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结构原因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内容动作</w:t>
            </w:r>
          </w:p>
        </w:tc>
      </w:tr>
      <w:tr>
        <w:tc>
          <w:tcPr>
            <w:tcW w:type="dxa" w:w="208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品牌能被提及</w:t>
            </w:r>
          </w:p>
        </w:tc>
        <w:tc>
          <w:tcPr>
            <w:tcW w:type="dxa" w:w="35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品牌-品类关联容易记忆</w:t>
            </w:r>
          </w:p>
        </w:tc>
        <w:tc>
          <w:tcPr>
            <w:tcW w:type="dxa" w:w="378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保留统一主体名称与直接答案</w:t>
            </w:r>
          </w:p>
        </w:tc>
      </w:tr>
      <w:tr>
        <w:tc>
          <w:tcPr>
            <w:tcW w:type="dxa" w:w="20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人物、历史、荣誉被说满</w:t>
            </w:r>
          </w:p>
        </w:tc>
        <w:tc>
          <w:tcPr>
            <w:tcW w:type="dxa" w:w="35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一手自述与第三方事实混合</w:t>
            </w:r>
          </w:p>
        </w:tc>
        <w:tc>
          <w:tcPr>
            <w:tcW w:type="dxa" w:w="37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强事实逐条绑定来源和时间</w:t>
            </w:r>
          </w:p>
        </w:tc>
      </w:tr>
      <w:tr>
        <w:tc>
          <w:tcPr>
            <w:tcW w:type="dxa" w:w="208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同名企业被归并</w:t>
            </w:r>
          </w:p>
        </w:tc>
        <w:tc>
          <w:tcPr>
            <w:tcW w:type="dxa" w:w="35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缺少实体卡和排除项</w:t>
            </w:r>
          </w:p>
        </w:tc>
        <w:tc>
          <w:tcPr>
            <w:tcW w:type="dxa" w:w="378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增加完整名称、业务、地域、域名</w:t>
            </w:r>
          </w:p>
        </w:tc>
      </w:tr>
      <w:tr>
        <w:tc>
          <w:tcPr>
            <w:tcW w:type="dxa" w:w="20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价格、门店、售后过期</w:t>
            </w:r>
          </w:p>
        </w:tc>
        <w:tc>
          <w:tcPr>
            <w:tcW w:type="dxa" w:w="35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动态商业信息缺更新时间</w:t>
            </w:r>
          </w:p>
        </w:tc>
        <w:tc>
          <w:tcPr>
            <w:tcW w:type="dxa" w:w="37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统一转为核验路径和日期记录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EBD9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68B4C"/>
                <w:sz w:val="18"/>
              </w:rPr>
              <w:t xml:space="preserve">90天策略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先完成P0事实基础设施，再扩展风格与产品证据模板，最后进行10题×5平台复测；不把AI收录当作前置完成条件。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keepNext w:val="0"/>
        <w:spacing w:before="60" w:after="40" w:line="264" w:lineRule="auto"/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口径/来源：</w:t>
      </w:r>
      <w:r>
        <w:rPr>
          <w:rFonts w:ascii="Arial Unicode MS" w:hAnsi="Arial Unicode MS" w:eastAsia="Arial Unicode MS"/>
          <w:b w:val="0"/>
          <w:i w:val="0"/>
          <w:color w:val="61706C"/>
          <w:sz w:val="15"/>
        </w:rPr>
        <w:t>主诊断使用Baseline150；UserIntent75仅用于商业意图校准。历史联网状态、模型模式和引用来源未完整记录。</w:t>
      </w: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03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五类用户需求，决定五种内容任务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分类不是把问题换个名字，而是把不同决策风险分开：品牌认知最弱，购买问题虽得分高但对动态信息和单件证据要求更严。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1320"/>
        <w:gridCol w:w="3000"/>
        <w:gridCol w:w="334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搜索场景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样本/均分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用户真正需要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内容责任</w:t>
            </w:r>
          </w:p>
        </w:tc>
      </w:tr>
      <w:tr>
        <w:tc>
          <w:tcPr>
            <w:tcW w:type="dxa" w:w="170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品牌了解</w:t>
            </w:r>
          </w:p>
        </w:tc>
        <w:tc>
          <w:tcPr>
            <w:tcW w:type="dxa" w:w="132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25条 / 15.76</w:t>
            </w:r>
          </w:p>
        </w:tc>
        <w:tc>
          <w:tcPr>
            <w:tcW w:type="dxa" w:w="300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主体、定位、历史、公开背书</w:t>
            </w:r>
          </w:p>
        </w:tc>
        <w:tc>
          <w:tcPr>
            <w:tcW w:type="dxa" w:w="334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先分事实层级，再写品牌叙事</w:t>
            </w:r>
          </w:p>
        </w:tc>
      </w:tr>
      <w:tr>
        <w:tc>
          <w:tcPr>
            <w:tcW w:type="dxa" w:w="17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材质研究</w:t>
            </w:r>
          </w:p>
        </w:tc>
        <w:tc>
          <w:tcPr>
            <w:tcW w:type="dxa" w:w="132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20条 / 16.75</w:t>
            </w:r>
          </w:p>
        </w:tc>
        <w:tc>
          <w:tcPr>
            <w:tcW w:type="dxa" w:w="30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术语、树种、产品关系、证书</w:t>
            </w:r>
          </w:p>
        </w:tc>
        <w:tc>
          <w:tcPr>
            <w:tcW w:type="dxa" w:w="334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标准知识不能替代单件凭证</w:t>
            </w:r>
          </w:p>
        </w:tc>
      </w:tr>
      <w:tr>
        <w:tc>
          <w:tcPr>
            <w:tcW w:type="dxa" w:w="17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京作与风格</w:t>
            </w:r>
          </w:p>
        </w:tc>
        <w:tc>
          <w:tcPr>
            <w:tcW w:type="dxa" w:w="132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30条 / 17.13</w:t>
            </w:r>
          </w:p>
        </w:tc>
        <w:tc>
          <w:tcPr>
            <w:tcW w:type="dxa" w:w="30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地域、工艺、明清风格、资格</w:t>
            </w:r>
          </w:p>
        </w:tc>
        <w:tc>
          <w:tcPr>
            <w:tcW w:type="dxa" w:w="334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概念分层，不互相背书</w:t>
            </w:r>
          </w:p>
        </w:tc>
      </w:tr>
      <w:tr>
        <w:tc>
          <w:tcPr>
            <w:tcW w:type="dxa" w:w="17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购买决策</w:t>
            </w:r>
          </w:p>
        </w:tc>
        <w:tc>
          <w:tcPr>
            <w:tcW w:type="dxa" w:w="132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40条 / 17.98</w:t>
            </w:r>
          </w:p>
        </w:tc>
        <w:tc>
          <w:tcPr>
            <w:tcW w:type="dxa" w:w="30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价格、合同、交付、售后、比较</w:t>
            </w:r>
          </w:p>
        </w:tc>
        <w:tc>
          <w:tcPr>
            <w:tcW w:type="dxa" w:w="334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动态信息记录核验时间</w:t>
            </w:r>
          </w:p>
        </w:tc>
      </w:tr>
      <w:tr>
        <w:tc>
          <w:tcPr>
            <w:tcW w:type="dxa" w:w="170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风险边界</w:t>
            </w:r>
          </w:p>
        </w:tc>
        <w:tc>
          <w:tcPr>
            <w:tcW w:type="dxa" w:w="132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25条 / 17.48</w:t>
            </w:r>
          </w:p>
        </w:tc>
        <w:tc>
          <w:tcPr>
            <w:tcW w:type="dxa" w:w="300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可信渠道、收藏表达、误判风险</w:t>
            </w:r>
          </w:p>
        </w:tc>
        <w:tc>
          <w:tcPr>
            <w:tcW w:type="dxa" w:w="334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高风险问题必须明确停点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用户旅程中的内容承接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认知阶段：先回答“你指的是哪个元亨利”，再给品牌事实与公开定位。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理解阶段：把行业知识、品牌公开资料和单件产品证据拆成三层。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比较阶段：使用主体、材料证据、合同、售后等中性维度，拒绝无来源排名。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购买阶段：把价格和推荐转为型号、渠道、合同、证书、验收和售后的核验动作。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风险阶段：荣誉、馆藏、投资回报等信息必须有原始主体、时间和适用范围。</w:t>
      </w:r>
    </w:p>
    <w:p>
      <w:pPr>
        <w:keepNext w:val="0"/>
        <w:spacing w:before="60" w:after="40" w:line="264" w:lineRule="auto"/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口径/来源：</w:t>
      </w:r>
      <w:r>
        <w:rPr>
          <w:rFonts w:ascii="Arial Unicode MS" w:hAnsi="Arial Unicode MS" w:eastAsia="Arial Unicode MS"/>
          <w:b w:val="0"/>
          <w:i w:val="0"/>
          <w:color w:val="61706C"/>
          <w:sz w:val="15"/>
        </w:rPr>
        <w:t>q01-q28按主意图互斥分类；q29-q30为GEO策略题，单列且不参与类别最好/最差排名。</w:t>
      </w: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04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六项诊断，必须落到六类内容动作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方案不是“多写文章”，而是让每个高风险回答都能回到数据、证据、来源状态和对应页面。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40"/>
        <w:gridCol w:w="1560"/>
        <w:gridCol w:w="2800"/>
        <w:gridCol w:w="2860"/>
      </w:tblGrid>
      <w:tr>
        <w:trPr>
          <w:tblHeader w:val="true"/>
        </w:trPr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诊断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数据证据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核心风险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对应动作</w:t>
            </w:r>
          </w:p>
        </w:tc>
      </w:tr>
      <w:tr>
        <w:tc>
          <w:tcPr>
            <w:tcW w:type="dxa" w:w="214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D1 可靠性弱于识别</w:t>
            </w:r>
          </w:p>
        </w:tc>
        <w:tc>
          <w:tcPr>
            <w:tcW w:type="dxa" w:w="156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4.91 vs 3.69</w:t>
            </w:r>
          </w:p>
        </w:tc>
        <w:tc>
          <w:tcPr>
            <w:tcW w:type="dxa" w:w="280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答案完整但不可核验</w:t>
            </w:r>
          </w:p>
        </w:tc>
        <w:tc>
          <w:tcPr>
            <w:tcW w:type="dxa" w:w="286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品牌事实页+事实等级</w:t>
            </w:r>
          </w:p>
        </w:tc>
      </w:tr>
      <w:tr>
        <w:tc>
          <w:tcPr>
            <w:tcW w:type="dxa" w:w="214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D2 强定位/荣誉</w:t>
            </w:r>
          </w:p>
        </w:tc>
        <w:tc>
          <w:tcPr>
            <w:tcW w:type="dxa" w:w="15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89 / 74 / 58次</w:t>
            </w:r>
          </w:p>
        </w:tc>
        <w:tc>
          <w:tcPr>
            <w:tcW w:type="dxa" w:w="28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自述被写成权威结论</w:t>
            </w:r>
          </w:p>
        </w:tc>
        <w:tc>
          <w:tcPr>
            <w:tcW w:type="dxa" w:w="28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删除榜单词+逐条来源</w:t>
            </w:r>
          </w:p>
        </w:tc>
      </w:tr>
      <w:tr>
        <w:tc>
          <w:tcPr>
            <w:tcW w:type="dxa" w:w="214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D3 同名主体混淆</w:t>
            </w:r>
          </w:p>
        </w:tc>
        <w:tc>
          <w:tcPr>
            <w:tcW w:type="dxa" w:w="15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76次</w:t>
            </w:r>
          </w:p>
        </w:tc>
        <w:tc>
          <w:tcPr>
            <w:tcW w:type="dxa" w:w="28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主体一错，后续事实全错</w:t>
            </w:r>
          </w:p>
        </w:tc>
        <w:tc>
          <w:tcPr>
            <w:tcW w:type="dxa" w:w="28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同名消歧页+实体卡</w:t>
            </w:r>
          </w:p>
        </w:tc>
      </w:tr>
      <w:tr>
        <w:tc>
          <w:tcPr>
            <w:tcW w:type="dxa" w:w="214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D4 材质/单件混用</w:t>
            </w:r>
          </w:p>
        </w:tc>
        <w:tc>
          <w:tcPr>
            <w:tcW w:type="dxa" w:w="15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材质均分16.75</w:t>
            </w:r>
          </w:p>
        </w:tc>
        <w:tc>
          <w:tcPr>
            <w:tcW w:type="dxa" w:w="28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行业知识替代产品凭证</w:t>
            </w:r>
          </w:p>
        </w:tc>
        <w:tc>
          <w:tcPr>
            <w:tcW w:type="dxa" w:w="28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术语-品牌-单件三层</w:t>
            </w:r>
          </w:p>
        </w:tc>
      </w:tr>
      <w:tr>
        <w:tc>
          <w:tcPr>
            <w:tcW w:type="dxa" w:w="214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D5 价格/渠道/售后</w:t>
            </w:r>
          </w:p>
        </w:tc>
        <w:tc>
          <w:tcPr>
            <w:tcW w:type="dxa" w:w="15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价格58、售后71次</w:t>
            </w:r>
          </w:p>
        </w:tc>
        <w:tc>
          <w:tcPr>
            <w:tcW w:type="dxa" w:w="28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动态信息过度确定</w:t>
            </w:r>
          </w:p>
        </w:tc>
        <w:tc>
          <w:tcPr>
            <w:tcW w:type="dxa" w:w="28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购买核验指南+日期</w:t>
            </w:r>
          </w:p>
        </w:tc>
      </w:tr>
      <w:tr>
        <w:tc>
          <w:tcPr>
            <w:tcW w:type="dxa" w:w="214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D6 收藏金融化</w:t>
            </w:r>
          </w:p>
        </w:tc>
        <w:tc>
          <w:tcPr>
            <w:tcW w:type="dxa" w:w="156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收藏77、金融化11次</w:t>
            </w:r>
          </w:p>
        </w:tc>
        <w:tc>
          <w:tcPr>
            <w:tcW w:type="dxa" w:w="280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审美价值被写成收益</w:t>
            </w:r>
          </w:p>
        </w:tc>
        <w:tc>
          <w:tcPr>
            <w:tcW w:type="dxa" w:w="286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价值维度拆分+免责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证据链接口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EB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18"/>
              </w:rPr>
              <w:t xml:space="preserve">统一链路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evidence_id → 数据集/原始行 → 回答摘录 → 评分与风险标签 → 来源状态 → 优化页面 → 发布质检 → 复测结果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确认为“错误”与“幻觉”必须使用冻结数据中的明确标签；“疑似”单列，不替代事实核验。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每条强事实应能回到具体页面、标准、正式报道或证书；不能只链接搜索结果、图片/CDN或首页。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历史会话无法找回时，只能使用“工作簿原始回答摘录”证据卡，不能伪造平台截图。</w:t>
      </w:r>
    </w:p>
    <w:p>
      <w:pPr>
        <w:keepNext w:val="0"/>
        <w:spacing w:before="60" w:after="40" w:line="264" w:lineRule="auto"/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口径/来源：</w:t>
      </w:r>
      <w:r>
        <w:rPr>
          <w:rFonts w:ascii="Arial Unicode MS" w:hAnsi="Arial Unicode MS" w:eastAsia="Arial Unicode MS"/>
          <w:b w:val="0"/>
          <w:i w:val="0"/>
          <w:color w:val="61706C"/>
          <w:sz w:val="15"/>
        </w:rPr>
        <w:t>风险标签为多标签统计，可重复计数；数量用于发现高频风险，不等于唯一回答数。</w:t>
      </w: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05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内容优化目标：建立可维护的品牌事实接口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目标不是把所有信息写满，而是让AI和用户知道：什么可以直接回答、什么只能引用品牌自述、什么必须继续核验。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50"/>
        <w:gridCol w:w="4560"/>
        <w:gridCol w:w="2750"/>
      </w:tblGrid>
      <w:tr>
        <w:trPr>
          <w:tblHeader w:val="true"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目标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90天完成定义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禁止替代</w:t>
            </w:r>
          </w:p>
        </w:tc>
      </w:tr>
      <w:tr>
        <w:tc>
          <w:tcPr>
            <w:tcW w:type="dxa" w:w="205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统一主体</w:t>
            </w:r>
          </w:p>
        </w:tc>
        <w:tc>
          <w:tcPr>
            <w:tcW w:type="dxa" w:w="45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名称、业务、地域、官网、同名排除项一致</w:t>
            </w:r>
          </w:p>
        </w:tc>
        <w:tc>
          <w:tcPr>
            <w:tcW w:type="dxa" w:w="275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只凭字号归并主体</w:t>
            </w:r>
          </w:p>
        </w:tc>
      </w:tr>
      <w:tr>
        <w:tc>
          <w:tcPr>
            <w:tcW w:type="dxa" w:w="205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补足来源</w:t>
            </w:r>
          </w:p>
        </w:tc>
        <w:tc>
          <w:tcPr>
            <w:tcW w:type="dxa" w:w="45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每条强事实绑定source_id、URL和更新时间</w:t>
            </w:r>
          </w:p>
        </w:tc>
        <w:tc>
          <w:tcPr>
            <w:tcW w:type="dxa" w:w="275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用首页或图片代替原文</w:t>
            </w:r>
          </w:p>
        </w:tc>
      </w:tr>
      <w:tr>
        <w:tc>
          <w:tcPr>
            <w:tcW w:type="dxa" w:w="205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分层事实</w:t>
            </w:r>
          </w:p>
        </w:tc>
        <w:tc>
          <w:tcPr>
            <w:tcW w:type="dxa" w:w="45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第三方事实/品牌自述/待官方补充/单件证据</w:t>
            </w:r>
          </w:p>
        </w:tc>
        <w:tc>
          <w:tcPr>
            <w:tcW w:type="dxa" w:w="275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把自述写成官方认证</w:t>
            </w:r>
          </w:p>
        </w:tc>
      </w:tr>
      <w:tr>
        <w:tc>
          <w:tcPr>
            <w:tcW w:type="dxa" w:w="205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控制动态信息</w:t>
            </w:r>
          </w:p>
        </w:tc>
        <w:tc>
          <w:tcPr>
            <w:tcW w:type="dxa" w:w="45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价格、门店、售后记录核验日期与渠道</w:t>
            </w:r>
          </w:p>
        </w:tc>
        <w:tc>
          <w:tcPr>
            <w:tcW w:type="dxa" w:w="275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永久有效式承诺</w:t>
            </w:r>
          </w:p>
        </w:tc>
      </w:tr>
      <w:tr>
        <w:tc>
          <w:tcPr>
            <w:tcW w:type="dxa" w:w="205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控制金融化</w:t>
            </w:r>
          </w:p>
        </w:tc>
        <w:tc>
          <w:tcPr>
            <w:tcW w:type="dxa" w:w="45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只谈审美、工艺、材料、来源和保存状态</w:t>
            </w:r>
          </w:p>
        </w:tc>
        <w:tc>
          <w:tcPr>
            <w:tcW w:type="dxa" w:w="275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承诺保值、升值或收益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四级事实模型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40"/>
        <w:gridCol w:w="2160"/>
        <w:gridCol w:w="3300"/>
        <w:gridCol w:w="2460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等级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可用表达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所需证据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典型内容</w:t>
            </w:r>
          </w:p>
        </w:tc>
      </w:tr>
      <w:tr>
        <w:tc>
          <w:tcPr>
            <w:tcW w:type="dxa" w:w="144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5"/>
              </w:rPr>
              <w:t>L1 已核验第三方</w:t>
            </w:r>
          </w:p>
        </w:tc>
        <w:tc>
          <w:tcPr>
            <w:tcW w:type="dxa" w:w="216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“标准/机构资料显示”</w:t>
            </w:r>
          </w:p>
        </w:tc>
        <w:tc>
          <w:tcPr>
            <w:tcW w:type="dxa" w:w="330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政府、标准、协会、媒体、博物馆原页</w:t>
            </w:r>
          </w:p>
        </w:tc>
        <w:tc>
          <w:tcPr>
            <w:tcW w:type="dxa" w:w="246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标准术语、公开活动、历史语境</w:t>
            </w:r>
          </w:p>
        </w:tc>
      </w:tr>
      <w:tr>
        <w:tc>
          <w:tcPr>
            <w:tcW w:type="dxa" w:w="144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5"/>
              </w:rPr>
              <w:t>L2 品牌一手自述</w:t>
            </w:r>
          </w:p>
        </w:tc>
        <w:tc>
          <w:tcPr>
            <w:tcW w:type="dxa" w:w="21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“品牌官网公开称”</w:t>
            </w:r>
          </w:p>
        </w:tc>
        <w:tc>
          <w:tcPr>
            <w:tcW w:type="dxa" w:w="33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官网具体页面、发布日期或截图</w:t>
            </w:r>
          </w:p>
        </w:tc>
        <w:tc>
          <w:tcPr>
            <w:tcW w:type="dxa" w:w="24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品牌理念、产品栏目、品牌故事</w:t>
            </w:r>
          </w:p>
        </w:tc>
      </w:tr>
      <w:tr>
        <w:tc>
          <w:tcPr>
            <w:tcW w:type="dxa" w:w="144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5"/>
              </w:rPr>
              <w:t>L3 待官方补充</w:t>
            </w:r>
          </w:p>
        </w:tc>
        <w:tc>
          <w:tcPr>
            <w:tcW w:type="dxa" w:w="216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“现有公开资料不足”</w:t>
            </w:r>
          </w:p>
        </w:tc>
        <w:tc>
          <w:tcPr>
            <w:tcW w:type="dxa" w:w="330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官方声明、证书、主办方公告</w:t>
            </w:r>
          </w:p>
        </w:tc>
        <w:tc>
          <w:tcPr>
            <w:tcW w:type="dxa" w:w="246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人物、年份、荣誉、馆藏、资格</w:t>
            </w:r>
          </w:p>
        </w:tc>
      </w:tr>
      <w:tr>
        <w:tc>
          <w:tcPr>
            <w:tcW w:type="dxa" w:w="144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5"/>
              </w:rPr>
              <w:t>L4 需单件证据</w:t>
            </w:r>
          </w:p>
        </w:tc>
        <w:tc>
          <w:tcPr>
            <w:tcW w:type="dxa" w:w="216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“以该件产品材料为准”</w:t>
            </w:r>
          </w:p>
        </w:tc>
        <w:tc>
          <w:tcPr>
            <w:tcW w:type="dxa" w:w="330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合同、标识、证书、检测、发票</w:t>
            </w:r>
          </w:p>
        </w:tc>
        <w:tc>
          <w:tcPr>
            <w:tcW w:type="dxa" w:w="246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材质、价格、尺寸、交付、售后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keepNext w:val="0"/>
        <w:spacing w:before="60" w:after="40" w:line="264" w:lineRule="auto"/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口径/来源：</w:t>
      </w:r>
      <w:r>
        <w:rPr>
          <w:rFonts w:ascii="Arial Unicode MS" w:hAnsi="Arial Unicode MS" w:eastAsia="Arial Unicode MS"/>
          <w:b w:val="0"/>
          <w:i w:val="0"/>
          <w:color w:val="61706C"/>
          <w:sz w:val="15"/>
        </w:rPr>
        <w:t>当前信源库27条，其中24条可用于投递：11条品牌一手、12条第三方、4条主体核验；不同来源类型可交叉归类。</w:t>
      </w: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06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内容架构：P0守事实，知识库串证据，P1/P2再扩展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现有5页MVP和FAQ继续承担首发；品牌事实知识库作为独立底座，连接事实、来源、证据、FAQ和页面。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P0｜0-30天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P1｜31-60天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P2｜61-90天及以后</w:t>
            </w:r>
          </w:p>
        </w:tc>
      </w:tr>
      <w:tr>
        <w:tc>
          <w:tcPr>
            <w:tcW w:type="dxa" w:w="312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8"/>
              </w:rPr>
              <w:t>品牌事实知识库v1</w:t>
              <w:br/>
              <w:t>公开JSON快照</w:t>
              <w:br/>
              <w:t>品牌事实与定位MVP</w:t>
              <w:br/>
              <w:t>同名主体消歧</w:t>
              <w:br/>
              <w:t>材质与产品关系</w:t>
              <w:br/>
              <w:t>京作/明清边界</w:t>
              <w:br/>
              <w:t>购买核验指南</w:t>
              <w:br/>
              <w:t>15条FAQ</w:t>
            </w:r>
          </w:p>
        </w:tc>
        <w:tc>
          <w:tcPr>
            <w:tcW w:type="dxa" w:w="312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8"/>
              </w:rPr>
              <w:t>品牌定位深度页（证据满足后拆分）</w:t>
              <w:br/>
              <w:t>明式/清式风格指南</w:t>
              <w:br/>
              <w:t>黄花梨/紫檀/酸枝专题</w:t>
              <w:br/>
              <w:t>单件产品证据模板</w:t>
              <w:br/>
              <w:t>内部链接完善</w:t>
            </w:r>
          </w:p>
        </w:tc>
        <w:tc>
          <w:tcPr>
            <w:tcW w:type="dxa" w:w="312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8"/>
              </w:rPr>
              <w:t>产品数据库</w:t>
              <w:br/>
              <w:t>展览与案例内容</w:t>
              <w:br/>
              <w:t>工艺系列专题</w:t>
              <w:br/>
              <w:t>中性品牌比较页</w:t>
              <w:br/>
              <w:t>持续信源与复测记录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统一页面数据结构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5000"/>
        <w:gridCol w:w="2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字段组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必填字段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作用</w:t>
            </w:r>
          </w:p>
        </w:tc>
      </w:tr>
      <w:tr>
        <w:tc>
          <w:tcPr>
            <w:tcW w:type="dxa" w:w="17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识别</w:t>
            </w:r>
          </w:p>
        </w:tc>
        <w:tc>
          <w:tcPr>
            <w:tcW w:type="dxa" w:w="50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content_id、优先级、目标问题、用户意图</w:t>
            </w:r>
          </w:p>
        </w:tc>
        <w:tc>
          <w:tcPr>
            <w:tcW w:type="dxa" w:w="26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确定页面为什么存在</w:t>
            </w:r>
          </w:p>
        </w:tc>
      </w:tr>
      <w:tr>
        <w:tc>
          <w:tcPr>
            <w:tcW w:type="dxa" w:w="17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回答</w:t>
            </w:r>
          </w:p>
        </w:tc>
        <w:tc>
          <w:tcPr>
            <w:tcW w:type="dxa" w:w="50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直接答案、章节结构、相关问题</w:t>
            </w:r>
          </w:p>
        </w:tc>
        <w:tc>
          <w:tcPr>
            <w:tcW w:type="dxa" w:w="26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让模型先获取结论再展开</w:t>
            </w:r>
          </w:p>
        </w:tc>
      </w:tr>
      <w:tr>
        <w:tc>
          <w:tcPr>
            <w:tcW w:type="dxa" w:w="17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证据</w:t>
            </w:r>
          </w:p>
        </w:tc>
        <w:tc>
          <w:tcPr>
            <w:tcW w:type="dxa" w:w="50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fact_id、事实等级、evidence_id、source_id、URL</w:t>
            </w:r>
          </w:p>
        </w:tc>
        <w:tc>
          <w:tcPr>
            <w:tcW w:type="dxa" w:w="26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把强事实连回知识库与证据</w:t>
            </w:r>
          </w:p>
        </w:tc>
      </w:tr>
      <w:tr>
        <w:tc>
          <w:tcPr>
            <w:tcW w:type="dxa" w:w="17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边界</w:t>
            </w:r>
          </w:p>
        </w:tc>
        <w:tc>
          <w:tcPr>
            <w:tcW w:type="dxa" w:w="50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适用范围、待补资料、禁止表达</w:t>
            </w:r>
          </w:p>
        </w:tc>
        <w:tc>
          <w:tcPr>
            <w:tcW w:type="dxa" w:w="26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明确页面在哪里停</w:t>
            </w:r>
          </w:p>
        </w:tc>
      </w:tr>
      <w:tr>
        <w:tc>
          <w:tcPr>
            <w:tcW w:type="dxa" w:w="17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维护</w:t>
            </w:r>
          </w:p>
        </w:tc>
        <w:tc>
          <w:tcPr>
            <w:tcW w:type="dxa" w:w="50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更新时间、维护周期、负责人角色、状态</w:t>
            </w:r>
          </w:p>
        </w:tc>
        <w:tc>
          <w:tcPr>
            <w:tcW w:type="dxa" w:w="26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防止动态信息过期</w:t>
            </w:r>
          </w:p>
        </w:tc>
      </w:tr>
      <w:tr>
        <w:tc>
          <w:tcPr>
            <w:tcW w:type="dxa" w:w="17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发布</w:t>
            </w:r>
          </w:p>
        </w:tc>
        <w:tc>
          <w:tcPr>
            <w:tcW w:type="dxa" w:w="50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slug、标题、description、内部链接、结构化数据</w:t>
            </w:r>
          </w:p>
        </w:tc>
        <w:tc>
          <w:tcPr>
            <w:tcW w:type="dxa" w:w="26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保证可读、可抓取、可复用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EBD9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68B4C"/>
                <w:sz w:val="18"/>
              </w:rPr>
              <w:t xml:space="preserve">知识库接口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Excel知识库作为事实主库；公开JSON只输出ID、事实内容、证据等级、来源链接、更新时间、事实边界、关联问题和页面，不输出内部备注或审核意见。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07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页面规范一：品牌事实与定位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这是所有回答的事实入口。页面要先证明“主体是谁”，再说明“公开资料如何描述”，最后列出“目前不能确认什么”。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EB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18"/>
              </w:rPr>
              <w:t xml:space="preserve">直接答案模板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在本案例中，“元亨利”指红木家具语境中的品牌/企业主体。介绍时应同时给出完整主体名称、业务语境与可核验入口，并将品牌自述与第三方事实分开。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40"/>
        <w:gridCol w:w="5200"/>
        <w:gridCol w:w="2520"/>
      </w:tblGrid>
      <w:tr>
        <w:trPr>
          <w:tblHeader w:val="true"/>
        </w:trPr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模块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写作要求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验收</w:t>
            </w:r>
          </w:p>
        </w:tc>
      </w:tr>
      <w:tr>
        <w:tc>
          <w:tcPr>
            <w:tcW w:type="dxa" w:w="164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主体卡</w:t>
            </w:r>
          </w:p>
        </w:tc>
        <w:tc>
          <w:tcPr>
            <w:tcW w:type="dxa" w:w="52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完整名称、业务、地域、官网、更新时间</w:t>
            </w:r>
          </w:p>
        </w:tc>
        <w:tc>
          <w:tcPr>
            <w:tcW w:type="dxa" w:w="252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与消歧页一致</w:t>
            </w:r>
          </w:p>
        </w:tc>
      </w:tr>
      <w:tr>
        <w:tc>
          <w:tcPr>
            <w:tcW w:type="dxa" w:w="164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公开事实</w:t>
            </w:r>
          </w:p>
        </w:tc>
        <w:tc>
          <w:tcPr>
            <w:tcW w:type="dxa" w:w="52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逐条写事实、日期、source_id与原始链接</w:t>
            </w:r>
          </w:p>
        </w:tc>
        <w:tc>
          <w:tcPr>
            <w:tcW w:type="dxa" w:w="252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强事实100%有来源</w:t>
            </w:r>
          </w:p>
        </w:tc>
      </w:tr>
      <w:tr>
        <w:tc>
          <w:tcPr>
            <w:tcW w:type="dxa" w:w="164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品牌自述</w:t>
            </w:r>
          </w:p>
        </w:tc>
        <w:tc>
          <w:tcPr>
            <w:tcW w:type="dxa" w:w="52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标注“品牌官网公开称/介绍”</w:t>
            </w:r>
          </w:p>
        </w:tc>
        <w:tc>
          <w:tcPr>
            <w:tcW w:type="dxa" w:w="252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不转换为行业认证</w:t>
            </w:r>
          </w:p>
        </w:tc>
      </w:tr>
      <w:tr>
        <w:tc>
          <w:tcPr>
            <w:tcW w:type="dxa" w:w="164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定位表达</w:t>
            </w:r>
          </w:p>
        </w:tc>
        <w:tc>
          <w:tcPr>
            <w:tcW w:type="dxa" w:w="52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用产品、风格、场景和公开活动描述</w:t>
            </w:r>
          </w:p>
        </w:tc>
        <w:tc>
          <w:tcPr>
            <w:tcW w:type="dxa" w:w="252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不用“第一/顶级/唯一”</w:t>
            </w:r>
          </w:p>
        </w:tc>
      </w:tr>
      <w:tr>
        <w:tc>
          <w:tcPr>
            <w:tcW w:type="dxa" w:w="164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待核验区</w:t>
            </w:r>
          </w:p>
        </w:tc>
        <w:tc>
          <w:tcPr>
            <w:tcW w:type="dxa" w:w="52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人物、年份、荣誉、馆藏、资格逐项列出</w:t>
            </w:r>
          </w:p>
        </w:tc>
        <w:tc>
          <w:tcPr>
            <w:tcW w:type="dxa" w:w="252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不给推断式答案</w:t>
            </w:r>
          </w:p>
        </w:tc>
      </w:tr>
      <w:tr>
        <w:tc>
          <w:tcPr>
            <w:tcW w:type="dxa" w:w="164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相关问题</w:t>
            </w:r>
          </w:p>
        </w:tc>
        <w:tc>
          <w:tcPr>
            <w:tcW w:type="dxa" w:w="52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链接同名、材质、京作、购买、FAQ</w:t>
            </w:r>
          </w:p>
        </w:tc>
        <w:tc>
          <w:tcPr>
            <w:tcW w:type="dxa" w:w="252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形成双向内链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推荐与禁用表达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推荐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禁用</w:t>
            </w:r>
          </w:p>
        </w:tc>
      </w:tr>
      <w:tr>
        <w:tc>
          <w:tcPr>
            <w:tcW w:type="dxa" w:w="468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“公开资料可确认……”；“品牌官网介绍……”；“截至核验日期……”</w:t>
            </w:r>
          </w:p>
        </w:tc>
        <w:tc>
          <w:tcPr>
            <w:tcW w:type="dxa" w:w="468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“行业第一”“顶级奢侈品牌”“国家级代表”等无来源强定位</w:t>
            </w:r>
          </w:p>
        </w:tc>
      </w:tr>
      <w:tr>
        <w:tc>
          <w:tcPr>
            <w:tcW w:type="dxa" w:w="468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“该事实仍需主办方/证书/正式公告确认”</w:t>
            </w:r>
          </w:p>
        </w:tc>
        <w:tc>
          <w:tcPr>
            <w:tcW w:type="dxa" w:w="468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从AI回答或二手转载反推成立时间、人物职务、馆藏和荣誉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keepNext w:val="0"/>
        <w:spacing w:before="60" w:after="40" w:line="264" w:lineRule="auto"/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口径/来源：</w:t>
      </w:r>
      <w:r>
        <w:rPr>
          <w:rFonts w:ascii="Arial Unicode MS" w:hAnsi="Arial Unicode MS" w:eastAsia="Arial Unicode MS"/>
          <w:b w:val="0"/>
          <w:i w:val="0"/>
          <w:color w:val="61706C"/>
          <w:sz w:val="15"/>
        </w:rPr>
        <w:t>定位深度页在31-60天阶段评估拆分；若第三方证据不足，继续保留合并结构和待核验清单。</w:t>
      </w: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08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页面规范二：同名主体消歧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同名消歧不是附加说明，而是元亨利GEO的第一道防线。只要主体没有确认，人物、荣誉、门店、价格等信息都不能继续归并。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五步实体确认</w:t>
      </w:r>
    </w:p>
    <w:p>
      <w:pPr>
        <w:pStyle w:val="ListNumber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完整名称：页面是否出现“北京元亨利硬木家具有限公司”等完整主体，而非只有字号。</w:t>
      </w:r>
    </w:p>
    <w:p>
      <w:pPr>
        <w:pStyle w:val="ListNumber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业务语境：红木/硬木/家具，还是珠宝、钟表、科技、建设等其他行业。</w:t>
      </w:r>
    </w:p>
    <w:p>
      <w:pPr>
        <w:pStyle w:val="ListNumber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地域线索：北京、郑州或其他地区只能作为辅助，不单独决定主体。</w:t>
      </w:r>
    </w:p>
    <w:p>
      <w:pPr>
        <w:pStyle w:val="ListNumber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域名与登记：官网域名、备案、工商、商标类别是否互相一致。</w:t>
      </w:r>
    </w:p>
    <w:p>
      <w:pPr>
        <w:pStyle w:val="ListNumber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时间与关系：成立、变更、旗下、同属等关系是否有当前有效的原始记录。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140"/>
        <w:gridCol w:w="5220"/>
      </w:tblGrid>
      <w:tr>
        <w:trPr>
          <w:tblHeader w:val="true"/>
        </w:trPr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红旗信号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安全改写</w:t>
            </w:r>
          </w:p>
        </w:tc>
      </w:tr>
      <w:tr>
        <w:tc>
          <w:tcPr>
            <w:tcW w:type="dxa" w:w="414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一句话串联公司、品牌、人物、馆藏和荣誉</w:t>
            </w:r>
          </w:p>
        </w:tc>
        <w:tc>
          <w:tcPr>
            <w:tcW w:type="dxa" w:w="522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拆成独立事实，每条分别给来源</w:t>
            </w:r>
          </w:p>
        </w:tc>
      </w:tr>
      <w:tr>
        <w:tc>
          <w:tcPr>
            <w:tcW w:type="dxa" w:w="414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使用“同属”“旗下”“创始于”但无主体页面</w:t>
            </w:r>
          </w:p>
        </w:tc>
        <w:tc>
          <w:tcPr>
            <w:tcW w:type="dxa" w:w="522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改为“可能为同名主体，需核对完整名称”</w:t>
            </w:r>
          </w:p>
        </w:tc>
      </w:tr>
      <w:tr>
        <w:tc>
          <w:tcPr>
            <w:tcW w:type="dxa" w:w="414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把珠宝价格、门店或司法信息写入家具回答</w:t>
            </w:r>
          </w:p>
        </w:tc>
        <w:tc>
          <w:tcPr>
            <w:tcW w:type="dxa" w:w="522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先限定红木家具语境，再排除其他主体</w:t>
            </w:r>
          </w:p>
        </w:tc>
      </w:tr>
      <w:tr>
        <w:tc>
          <w:tcPr>
            <w:tcW w:type="dxa" w:w="414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引用图片/CDN但无法回到发布页</w:t>
            </w:r>
          </w:p>
        </w:tc>
        <w:tc>
          <w:tcPr>
            <w:tcW w:type="dxa" w:w="522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不计有效来源，进入待核验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EB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18"/>
              </w:rPr>
              <w:t xml:space="preserve">页面回答规则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用户只问“元亨利怎么样”时，先追问行业；若必须直接回答，应明确写“以下按红木家具语境中的元亨利回答”。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keepNext w:val="0"/>
        <w:spacing w:before="60" w:after="40" w:line="264" w:lineRule="auto"/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口径/来源：</w:t>
      </w:r>
      <w:r>
        <w:rPr>
          <w:rFonts w:ascii="Arial Unicode MS" w:hAnsi="Arial Unicode MS" w:eastAsia="Arial Unicode MS"/>
          <w:b w:val="0"/>
          <w:i w:val="0"/>
          <w:color w:val="61706C"/>
          <w:sz w:val="15"/>
        </w:rPr>
        <w:t>主体核验使用工商、ICP备案和商标查询入口；查询入口本身不等于已经核验出具体登记结论。</w:t>
      </w: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09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页面规范三：材质、品牌产品与单件证据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材质页面最重要的不是罗列木材知识，而是阻止AI把国家标准、品牌公开范围和某一件商品的材质证明压成同一个结论。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80"/>
        <w:gridCol w:w="3800"/>
        <w:gridCol w:w="3780"/>
      </w:tblGrid>
      <w:tr>
        <w:trPr>
          <w:tblHeader w:val="true"/>
        </w:trPr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证据层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可以回答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不能替代</w:t>
            </w:r>
          </w:p>
        </w:tc>
      </w:tr>
      <w:tr>
        <w:tc>
          <w:tcPr>
            <w:tcW w:type="dxa" w:w="178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标准术语层</w:t>
            </w:r>
          </w:p>
        </w:tc>
        <w:tc>
          <w:tcPr>
            <w:tcW w:type="dxa" w:w="380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规范名称、树种/用材术语、通用技术条件</w:t>
            </w:r>
          </w:p>
        </w:tc>
        <w:tc>
          <w:tcPr>
            <w:tcW w:type="dxa" w:w="378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品牌是否使用、单件真伪和等级</w:t>
            </w:r>
          </w:p>
        </w:tc>
      </w:tr>
      <w:tr>
        <w:tc>
          <w:tcPr>
            <w:tcW w:type="dxa" w:w="17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品牌公开层</w:t>
            </w:r>
          </w:p>
        </w:tc>
        <w:tc>
          <w:tcPr>
            <w:tcW w:type="dxa" w:w="38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官网或正式采访出现的产品/材料方向</w:t>
            </w:r>
          </w:p>
        </w:tc>
        <w:tc>
          <w:tcPr>
            <w:tcW w:type="dxa" w:w="37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品牌全部产品的固定属性</w:t>
            </w:r>
          </w:p>
        </w:tc>
      </w:tr>
      <w:tr>
        <w:tc>
          <w:tcPr>
            <w:tcW w:type="dxa" w:w="178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单件产品层</w:t>
            </w:r>
          </w:p>
        </w:tc>
        <w:tc>
          <w:tcPr>
            <w:tcW w:type="dxa" w:w="380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主辅材、尺寸、型号、证书、检测和合同</w:t>
            </w:r>
          </w:p>
        </w:tc>
        <w:tc>
          <w:tcPr>
            <w:tcW w:type="dxa" w:w="378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其他型号、其他时间或其他渠道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购买或评估单件家具时的最小证据包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合同写明规范中文名与必要的学名/材种信息，避免只写俗称。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产品标识、证书或检测报告与合同、实物型号一致。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销售主体、发票主体、收款主体和售后主体可以互相对应。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保留产品照片、尺寸、器型、工艺、交付与验收记录。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国家标准用于说明规则，不被写成某件产品已经通过检测的证明。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关键来源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来源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使用范围</w:t>
            </w:r>
          </w:p>
        </w:tc>
      </w:tr>
      <w:tr>
        <w:tc>
          <w:tcPr>
            <w:tcW w:type="dxa" w:w="43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GB/T 18107-2017《红木》</w:t>
            </w:r>
          </w:p>
        </w:tc>
        <w:tc>
          <w:tcPr>
            <w:tcW w:type="dxa" w:w="50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红木树种与术语边界</w:t>
            </w:r>
          </w:p>
        </w:tc>
      </w:tr>
      <w:tr>
        <w:tc>
          <w:tcPr>
            <w:tcW w:type="dxa" w:w="43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GB/T 35475-2017《红木制品用材规范》</w:t>
            </w:r>
          </w:p>
        </w:tc>
        <w:tc>
          <w:tcPr>
            <w:tcW w:type="dxa" w:w="50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红木制品用材表达</w:t>
            </w:r>
          </w:p>
        </w:tc>
      </w:tr>
      <w:tr>
        <w:tc>
          <w:tcPr>
            <w:tcW w:type="dxa" w:w="43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GB/T 28010-2011《红木家具通用技术条件》</w:t>
            </w:r>
          </w:p>
        </w:tc>
        <w:tc>
          <w:tcPr>
            <w:tcW w:type="dxa" w:w="50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产品、合同、标识与质量核验</w:t>
            </w:r>
          </w:p>
        </w:tc>
      </w:tr>
      <w:tr>
        <w:tc>
          <w:tcPr>
            <w:tcW w:type="dxa" w:w="43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政府消费提示与合同指南</w:t>
            </w:r>
          </w:p>
        </w:tc>
        <w:tc>
          <w:tcPr>
            <w:tcW w:type="dxa" w:w="50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检测、三证、主材、价格、交付和验收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10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页面规范四：京作、明式、清式与品牌事实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“京作”可能指地域、工艺传统或行业语境；“明式、清式”是家具史与审美风格；它们都不能自动证明品牌资格或单件产品属性。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概念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回答重点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需要额外证据</w:t>
            </w:r>
          </w:p>
        </w:tc>
      </w:tr>
      <w:tr>
        <w:tc>
          <w:tcPr>
            <w:tcW w:type="dxa" w:w="18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地域</w:t>
            </w:r>
          </w:p>
        </w:tc>
        <w:tc>
          <w:tcPr>
            <w:tcW w:type="dxa" w:w="39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企业或活动是否位于北京</w:t>
            </w:r>
          </w:p>
        </w:tc>
        <w:tc>
          <w:tcPr>
            <w:tcW w:type="dxa" w:w="36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主体地址与核验日期</w:t>
            </w:r>
          </w:p>
        </w:tc>
      </w:tr>
      <w:tr>
        <w:tc>
          <w:tcPr>
            <w:tcW w:type="dxa" w:w="18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京作语境</w:t>
            </w:r>
          </w:p>
        </w:tc>
        <w:tc>
          <w:tcPr>
            <w:tcW w:type="dxa" w:w="39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行业、工艺传统和公开活动中的使用方式</w:t>
            </w:r>
          </w:p>
        </w:tc>
        <w:tc>
          <w:tcPr>
            <w:tcW w:type="dxa" w:w="36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协会、机构或正式报道原文</w:t>
            </w:r>
          </w:p>
        </w:tc>
      </w:tr>
      <w:tr>
        <w:tc>
          <w:tcPr>
            <w:tcW w:type="dxa" w:w="18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明式/清式</w:t>
            </w:r>
          </w:p>
        </w:tc>
        <w:tc>
          <w:tcPr>
            <w:tcW w:type="dxa" w:w="39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造型、比例、装饰、构件和历史语境</w:t>
            </w:r>
          </w:p>
        </w:tc>
        <w:tc>
          <w:tcPr>
            <w:tcW w:type="dxa" w:w="36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权威书目、博物馆或研究资料</w:t>
            </w:r>
          </w:p>
        </w:tc>
      </w:tr>
      <w:tr>
        <w:tc>
          <w:tcPr>
            <w:tcW w:type="dxa" w:w="18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品牌产品</w:t>
            </w:r>
          </w:p>
        </w:tc>
        <w:tc>
          <w:tcPr>
            <w:tcW w:type="dxa" w:w="39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某件产品是否采用对应设计语言</w:t>
            </w:r>
          </w:p>
        </w:tc>
        <w:tc>
          <w:tcPr>
            <w:tcW w:type="dxa" w:w="36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产品图、尺寸、结构和正式说明</w:t>
            </w:r>
          </w:p>
        </w:tc>
      </w:tr>
      <w:tr>
        <w:tc>
          <w:tcPr>
            <w:tcW w:type="dxa" w:w="18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资格/传承</w:t>
            </w:r>
          </w:p>
        </w:tc>
        <w:tc>
          <w:tcPr>
            <w:tcW w:type="dxa" w:w="39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非遗、代表、基地、传承人等强身份</w:t>
            </w:r>
          </w:p>
        </w:tc>
        <w:tc>
          <w:tcPr>
            <w:tcW w:type="dxa" w:w="36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主管机构、证书或主办方公告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安全表达框架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EB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18"/>
              </w:rPr>
              <w:t xml:space="preserve">直接回答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元亨利与京作、明式或清式的关系，应分别从地域、行业语境、风格知识和具体产品证据说明，不能用“北京品牌”自动推导为“京作非遗代表”。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可以写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暂不写</w:t>
            </w:r>
          </w:p>
        </w:tc>
      </w:tr>
      <w:tr>
        <w:tc>
          <w:tcPr>
            <w:tcW w:type="dxa" w:w="468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“在北京红木家具行业语境中被讨论”</w:t>
            </w:r>
          </w:p>
        </w:tc>
        <w:tc>
          <w:tcPr>
            <w:tcW w:type="dxa" w:w="468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“国家级京作代表”“唯一正宗京作”</w:t>
            </w:r>
          </w:p>
        </w:tc>
      </w:tr>
      <w:tr>
        <w:tc>
          <w:tcPr>
            <w:tcW w:type="dxa" w:w="468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“产品说明与视觉证据支持时，可描述为借鉴明式/清式语言”</w:t>
            </w:r>
          </w:p>
        </w:tc>
        <w:tc>
          <w:tcPr>
            <w:tcW w:type="dxa" w:w="468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仅凭商品名或营销文案断言风格、年代和收藏价值</w:t>
            </w:r>
          </w:p>
        </w:tc>
      </w:tr>
      <w:tr>
        <w:tc>
          <w:tcPr>
            <w:tcW w:type="dxa" w:w="46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“博物馆资料用于解释明清家具背景”</w:t>
            </w:r>
          </w:p>
        </w:tc>
        <w:tc>
          <w:tcPr>
            <w:tcW w:type="dxa" w:w="46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用展览背景资料证明品牌某件产品或馆藏事实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keepNext w:val="0"/>
        <w:spacing w:before="60" w:after="40" w:line="264" w:lineRule="auto"/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口径/来源：</w:t>
      </w:r>
      <w:r>
        <w:rPr>
          <w:rFonts w:ascii="Arial Unicode MS" w:hAnsi="Arial Unicode MS" w:eastAsia="Arial Unicode MS"/>
          <w:b w:val="0"/>
          <w:i w:val="0"/>
          <w:color w:val="61706C"/>
          <w:sz w:val="15"/>
        </w:rPr>
        <w:t>中国国家博物馆展览资料用于明清家具背景，不证明元亨利单件产品的年代、风格、馆藏或收藏价值。</w:t>
      </w: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11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页面规范五：购买决策与高风险边界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购买页面必须帮助用户做核验，而不是替用户做确定结论。价格、门店、售后和收藏价值都需要时间、渠道与单件资料。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20"/>
        <w:gridCol w:w="4040"/>
        <w:gridCol w:w="3700"/>
      </w:tblGrid>
      <w:tr>
        <w:trPr>
          <w:tblHeader w:val="true"/>
        </w:trP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问题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直接回答原则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必须核验</w:t>
            </w:r>
          </w:p>
        </w:tc>
      </w:tr>
      <w:tr>
        <w:tc>
          <w:tcPr>
            <w:tcW w:type="dxa" w:w="162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价格</w:t>
            </w:r>
          </w:p>
        </w:tc>
        <w:tc>
          <w:tcPr>
            <w:tcW w:type="dxa" w:w="404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不编造通用区间；先确认型号与配置</w:t>
            </w:r>
          </w:p>
        </w:tc>
        <w:tc>
          <w:tcPr>
            <w:tcW w:type="dxa" w:w="370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材质、尺寸、工艺、渠道、报价日期</w:t>
            </w:r>
          </w:p>
        </w:tc>
      </w:tr>
      <w:tr>
        <w:tc>
          <w:tcPr>
            <w:tcW w:type="dxa" w:w="162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门店/展厅</w:t>
            </w:r>
          </w:p>
        </w:tc>
        <w:tc>
          <w:tcPr>
            <w:tcW w:type="dxa" w:w="404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只给官方核验路径，不保证实时营业</w:t>
            </w:r>
          </w:p>
        </w:tc>
        <w:tc>
          <w:tcPr>
            <w:tcW w:type="dxa" w:w="37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地址、电话、主体、核验日期</w:t>
            </w:r>
          </w:p>
        </w:tc>
      </w:tr>
      <w:tr>
        <w:tc>
          <w:tcPr>
            <w:tcW w:type="dxa" w:w="162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合同/发票</w:t>
            </w:r>
          </w:p>
        </w:tc>
        <w:tc>
          <w:tcPr>
            <w:tcW w:type="dxa" w:w="404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书面约定优先于口头或AI回答</w:t>
            </w:r>
          </w:p>
        </w:tc>
        <w:tc>
          <w:tcPr>
            <w:tcW w:type="dxa" w:w="37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主材、价格、交付、验收、开票主体</w:t>
            </w:r>
          </w:p>
        </w:tc>
      </w:tr>
      <w:tr>
        <w:tc>
          <w:tcPr>
            <w:tcW w:type="dxa" w:w="162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售后</w:t>
            </w:r>
          </w:p>
        </w:tc>
        <w:tc>
          <w:tcPr>
            <w:tcW w:type="dxa" w:w="404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不写“终身”“全国”等永久承诺</w:t>
            </w:r>
          </w:p>
        </w:tc>
        <w:tc>
          <w:tcPr>
            <w:tcW w:type="dxa" w:w="37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服务主体、范围、期限、例外和凭证</w:t>
            </w:r>
          </w:p>
        </w:tc>
      </w:tr>
      <w:tr>
        <w:tc>
          <w:tcPr>
            <w:tcW w:type="dxa" w:w="162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品牌比较</w:t>
            </w:r>
          </w:p>
        </w:tc>
        <w:tc>
          <w:tcPr>
            <w:tcW w:type="dxa" w:w="404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按公开维度比较，不做无来源总排名</w:t>
            </w:r>
          </w:p>
        </w:tc>
        <w:tc>
          <w:tcPr>
            <w:tcW w:type="dxa" w:w="37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证据质量、产品适配、合同与售后</w:t>
            </w:r>
          </w:p>
        </w:tc>
      </w:tr>
      <w:tr>
        <w:tc>
          <w:tcPr>
            <w:tcW w:type="dxa" w:w="162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收藏/投资</w:t>
            </w:r>
          </w:p>
        </w:tc>
        <w:tc>
          <w:tcPr>
            <w:tcW w:type="dxa" w:w="404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只拆分价值因素，不承诺收益</w:t>
            </w:r>
          </w:p>
        </w:tc>
        <w:tc>
          <w:tcPr>
            <w:tcW w:type="dxa" w:w="370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来源、工艺、材料、保存、成交与评估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购买前八项检查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检查项A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检查项B</w:t>
            </w:r>
          </w:p>
        </w:tc>
      </w:tr>
      <w:tr>
        <w:tc>
          <w:tcPr>
            <w:tcW w:type="dxa" w:w="468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主体一致</w:t>
            </w:r>
          </w:p>
        </w:tc>
        <w:tc>
          <w:tcPr>
            <w:tcW w:type="dxa" w:w="468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主辅材写清</w:t>
            </w:r>
          </w:p>
        </w:tc>
      </w:tr>
      <w:tr>
        <w:tc>
          <w:tcPr>
            <w:tcW w:type="dxa" w:w="468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证书/检测对应</w:t>
            </w:r>
          </w:p>
        </w:tc>
        <w:tc>
          <w:tcPr>
            <w:tcW w:type="dxa" w:w="468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尺寸与工艺写入合同</w:t>
            </w:r>
          </w:p>
        </w:tc>
      </w:tr>
      <w:tr>
        <w:tc>
          <w:tcPr>
            <w:tcW w:type="dxa" w:w="46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价格与付款留痕</w:t>
            </w:r>
          </w:p>
        </w:tc>
        <w:tc>
          <w:tcPr>
            <w:tcW w:type="dxa" w:w="46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交付验收明确</w:t>
            </w:r>
          </w:p>
        </w:tc>
      </w:tr>
      <w:tr>
        <w:tc>
          <w:tcPr>
            <w:tcW w:type="dxa" w:w="468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发票主体明确</w:t>
            </w:r>
          </w:p>
        </w:tc>
        <w:tc>
          <w:tcPr>
            <w:tcW w:type="dxa" w:w="468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售后范围与期限明确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E2DC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8"/>
              </w:rPr>
              <w:t xml:space="preserve">投资边界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本方案不提供升值预测，不把品牌自述、材质稀缺或传统工艺直接转写为投资回报。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12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FAQ策略：15个直接答案，串联五个页面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FAQ先给一句结论，再给证据边界和下一步链接。每条都必须具备来源、更新时间和相关页面，而不是只写一段“听起来合理”的答案。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DF8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Q01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元亨利是什么品牌？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先限定红木家具主体并核对完整名称。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DF8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Q02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是不是行业第一？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无统一排名证据，不写第一或顶级。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DF8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Q03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与黄花梨什么关系？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公开方向不等于单件材质证明。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0E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Q04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紫檀家具怎么理解？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标准术语+单件主辅材与检测。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0E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Q05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白酸枝是固定树种吗？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俗称需回到规范名称和合同。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0E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Q06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怎么判断值不值得买？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拆成使用、材料、合同、交付和售后。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EBD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Q07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能直接做品牌排名吗？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只做有来源的中性维度比较。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EBD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Q08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一定是京作家具吗？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地域、行业语境、资格和产品分开。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EBD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Q09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明式清式与产品关系？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风格知识不能替代产品说明。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DF8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Q10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AI为什么容易说错？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同名、强营销与动态信息被合并。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DF8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Q11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与珠宝主体是一家吗？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不能凭字号，需核对主体链。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DF8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Q12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官网算第三方证据吗？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官网证明品牌说法，不等于第三方。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EB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Q13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成立时间/创始人怎么写？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有原页才写确定事实，否则待核验。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EB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Q14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门店和价格哪里确认？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最新官方渠道+书面报价+日期。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EB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Q15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能保值或升值吗？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审美工艺价值不等于金融回报。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EB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18"/>
              </w:rPr>
              <w:t xml:space="preserve">FAQ字段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faq_id · 用户问题 · 一句话直接回答 · 详细说明 · 信息边界 · source_id/URL · 更新时间 · 相关页面 · 发布状态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keepNext w:val="0"/>
        <w:spacing w:before="60" w:after="40" w:line="264" w:lineRule="auto"/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口径/来源：</w:t>
      </w:r>
      <w:r>
        <w:rPr>
          <w:rFonts w:ascii="Arial Unicode MS" w:hAnsi="Arial Unicode MS" w:eastAsia="Arial Unicode MS"/>
          <w:b w:val="0"/>
          <w:i w:val="0"/>
          <w:color w:val="61706C"/>
          <w:sz w:val="15"/>
        </w:rPr>
        <w:t>详细答案、来源字段和页面链接进入《90天内容执行工作簿》的FAQ计划表，并同步到公开网站。</w:t>
      </w: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13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90天路线图：发布、补证据、再验证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路线图按内容成熟度推进。先完成可控的内容与技术验收，再观察AI回答变化；不等待所有平台收录后才完成作品集。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550"/>
        <w:gridCol w:w="2430"/>
        <w:gridCol w:w="188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阶段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主要任务</w:t>
            </w:r>
          </w:p>
        </w:tc>
        <w:tc>
          <w:tcPr>
            <w:tcW w:type="dxa" w:w="2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关键产出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阶段门</w:t>
            </w:r>
          </w:p>
        </w:tc>
      </w:tr>
      <w:tr>
        <w:tc>
          <w:tcPr>
            <w:tcW w:type="dxa" w:w="150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0-30天</w:t>
              <w:br/>
              <w:t>事实基础</w:t>
            </w:r>
          </w:p>
        </w:tc>
        <w:tc>
          <w:tcPr>
            <w:tcW w:type="dxa" w:w="355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冻结品牌主体口径；建立11表品牌事实知识库与公开JSON；完善P0五页与FAQ；补元数据、来源、边界和内链；建立发布质检</w:t>
            </w:r>
          </w:p>
        </w:tc>
        <w:tc>
          <w:tcPr>
            <w:tcW w:type="dxa" w:w="243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知识库+公开JSON</w:t>
              <w:br/>
              <w:t>5页MVP+15 FAQ</w:t>
              <w:br/>
              <w:t>内容矩阵</w:t>
              <w:br/>
              <w:t>信源补强清单</w:t>
            </w:r>
          </w:p>
        </w:tc>
        <w:tc>
          <w:tcPr>
            <w:tcW w:type="dxa" w:w="188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30/30承接</w:t>
              <w:br/>
              <w:t>27信源迁移</w:t>
              <w:br/>
              <w:t>15FAQ映射</w:t>
            </w:r>
          </w:p>
        </w:tc>
      </w:tr>
      <w:tr>
        <w:tc>
          <w:tcPr>
            <w:tcW w:type="dxa" w:w="15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31-60天</w:t>
              <w:br/>
              <w:t>解释差异</w:t>
            </w:r>
          </w:p>
        </w:tc>
        <w:tc>
          <w:tcPr>
            <w:tcW w:type="dxa" w:w="355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评估拆分定位页；上线明清风格指南、材质专题与单件证据模板；补第三方原文</w:t>
            </w:r>
          </w:p>
        </w:tc>
        <w:tc>
          <w:tcPr>
            <w:tcW w:type="dxa" w:w="243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定位页条件评审</w:t>
              <w:br/>
              <w:t>P1样稿</w:t>
              <w:br/>
              <w:t>内部链接网络</w:t>
            </w:r>
          </w:p>
        </w:tc>
        <w:tc>
          <w:tcPr>
            <w:tcW w:type="dxa" w:w="18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强事实100%回源</w:t>
              <w:br/>
              <w:t>无失效链接</w:t>
            </w:r>
          </w:p>
        </w:tc>
      </w:tr>
      <w:tr>
        <w:tc>
          <w:tcPr>
            <w:tcW w:type="dxa" w:w="150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61-90天</w:t>
              <w:br/>
              <w:t>复测维护</w:t>
            </w:r>
          </w:p>
        </w:tc>
        <w:tc>
          <w:tcPr>
            <w:tcW w:type="dxa" w:w="355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复核动态信息；记录页面更新时间；执行10题×5平台复测；形成前后对比与限制说明</w:t>
            </w:r>
          </w:p>
        </w:tc>
        <w:tc>
          <w:tcPr>
            <w:tcW w:type="dxa" w:w="243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50条复测记录</w:t>
              <w:br/>
              <w:t>差异报告</w:t>
              <w:br/>
              <w:t>下一轮backlog</w:t>
            </w:r>
          </w:p>
        </w:tc>
        <w:tc>
          <w:tcPr>
            <w:tcW w:type="dxa" w:w="188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日期/模型/模式/URL完整</w:t>
              <w:br/>
              <w:t>不夸大结果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角色分工（个人项目中的模拟职责）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600"/>
        <w:gridCol w:w="29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角色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责任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交接物</w:t>
            </w:r>
          </w:p>
        </w:tc>
      </w:tr>
      <w:tr>
        <w:tc>
          <w:tcPr>
            <w:tcW w:type="dxa" w:w="18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内容策略</w:t>
            </w:r>
          </w:p>
        </w:tc>
        <w:tc>
          <w:tcPr>
            <w:tcW w:type="dxa" w:w="46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问题映射、优先级、直接答案和内链</w:t>
            </w:r>
          </w:p>
        </w:tc>
        <w:tc>
          <w:tcPr>
            <w:tcW w:type="dxa" w:w="29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内容总矩阵/页面规格</w:t>
            </w:r>
          </w:p>
        </w:tc>
      </w:tr>
      <w:tr>
        <w:tc>
          <w:tcPr>
            <w:tcW w:type="dxa" w:w="18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信源核验</w:t>
            </w:r>
          </w:p>
        </w:tc>
        <w:tc>
          <w:tcPr>
            <w:tcW w:type="dxa" w:w="46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来源等级、原文、冲突和事实边界</w:t>
            </w:r>
          </w:p>
        </w:tc>
        <w:tc>
          <w:tcPr>
            <w:tcW w:type="dxa" w:w="29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信源补强/证据索引</w:t>
            </w:r>
          </w:p>
        </w:tc>
      </w:tr>
      <w:tr>
        <w:tc>
          <w:tcPr>
            <w:tcW w:type="dxa" w:w="18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网站编辑</w:t>
            </w:r>
          </w:p>
        </w:tc>
        <w:tc>
          <w:tcPr>
            <w:tcW w:type="dxa" w:w="46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页面、元数据、结构化数据和发布</w:t>
            </w:r>
          </w:p>
        </w:tc>
        <w:tc>
          <w:tcPr>
            <w:tcW w:type="dxa" w:w="29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公开站/发布记录</w:t>
            </w:r>
          </w:p>
        </w:tc>
      </w:tr>
      <w:tr>
        <w:tc>
          <w:tcPr>
            <w:tcW w:type="dxa" w:w="18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数据与QA</w:t>
            </w:r>
          </w:p>
        </w:tc>
        <w:tc>
          <w:tcPr>
            <w:tcW w:type="dxa" w:w="46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口径一致、知识库治理、发布质检、复测和差异</w:t>
            </w:r>
          </w:p>
        </w:tc>
        <w:tc>
          <w:tcPr>
            <w:tcW w:type="dxa" w:w="29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知识库/公开JSON/KPI看板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EBD9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68B4C"/>
                <w:sz w:val="18"/>
              </w:rPr>
              <w:t xml:space="preserve">维护节奏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品牌事实与定位每季度复核；知识库每月检查新增、失效和待核验事实；动态商业信息每月或发布前复核；重大活动、证书或主体变化触发即时更新。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14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KPI、验收与下一阶段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完成标准分为“可控制的内容质量”和“需要观察的AI表现”。前者必须验收，后者只能通过复测记录变化，不能预先承诺。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500"/>
        <w:gridCol w:w="43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指标层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指标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本轮验收/基线</w:t>
            </w:r>
          </w:p>
        </w:tc>
      </w:tr>
      <w:tr>
        <w:tc>
          <w:tcPr>
            <w:tcW w:type="dxa" w:w="150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硬验收</w:t>
            </w:r>
          </w:p>
        </w:tc>
        <w:tc>
          <w:tcPr>
            <w:tcW w:type="dxa" w:w="350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内容覆盖</w:t>
            </w:r>
          </w:p>
        </w:tc>
        <w:tc>
          <w:tcPr>
            <w:tcW w:type="dxa" w:w="436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30/30；24完整、6边界</w:t>
            </w:r>
          </w:p>
        </w:tc>
      </w:tr>
      <w:tr>
        <w:tc>
          <w:tcPr>
            <w:tcW w:type="dxa" w:w="15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硬验收</w:t>
            </w:r>
          </w:p>
        </w:tc>
        <w:tc>
          <w:tcPr>
            <w:tcW w:type="dxa" w:w="35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P0页面字段</w:t>
            </w:r>
          </w:p>
        </w:tc>
        <w:tc>
          <w:tcPr>
            <w:tcW w:type="dxa" w:w="43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直接答案、来源、边界、更新时间、内链100%</w:t>
            </w:r>
          </w:p>
        </w:tc>
      </w:tr>
      <w:tr>
        <w:tc>
          <w:tcPr>
            <w:tcW w:type="dxa" w:w="15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硬验收</w:t>
            </w:r>
          </w:p>
        </w:tc>
        <w:tc>
          <w:tcPr>
            <w:tcW w:type="dxa" w:w="35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强事实回源</w:t>
            </w:r>
          </w:p>
        </w:tc>
        <w:tc>
          <w:tcPr>
            <w:tcW w:type="dxa" w:w="43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所有可发布强事实绑定具体source_id与URL</w:t>
            </w:r>
          </w:p>
        </w:tc>
      </w:tr>
      <w:tr>
        <w:tc>
          <w:tcPr>
            <w:tcW w:type="dxa" w:w="15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硬验收</w:t>
            </w:r>
          </w:p>
        </w:tc>
        <w:tc>
          <w:tcPr>
            <w:tcW w:type="dxa" w:w="35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知识库完整度</w:t>
            </w:r>
          </w:p>
        </w:tc>
        <w:tc>
          <w:tcPr>
            <w:tcW w:type="dxa" w:w="43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11表；27信源迁移；30题和15FAQ全部映射</w:t>
            </w:r>
          </w:p>
        </w:tc>
      </w:tr>
      <w:tr>
        <w:tc>
          <w:tcPr>
            <w:tcW w:type="dxa" w:w="150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硬验收</w:t>
            </w:r>
          </w:p>
        </w:tc>
        <w:tc>
          <w:tcPr>
            <w:tcW w:type="dxa" w:w="350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技术发布</w:t>
            </w:r>
          </w:p>
        </w:tc>
        <w:tc>
          <w:tcPr>
            <w:tcW w:type="dxa" w:w="436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无需登录、移动端可读、链接有效、robots/sitemap齐全</w:t>
            </w:r>
          </w:p>
        </w:tc>
      </w:tr>
      <w:tr>
        <w:tc>
          <w:tcPr>
            <w:tcW w:type="dxa" w:w="15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观察基线</w:t>
            </w:r>
          </w:p>
        </w:tc>
        <w:tc>
          <w:tcPr>
            <w:tcW w:type="dxa" w:w="35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可靠性</w:t>
            </w:r>
          </w:p>
        </w:tc>
        <w:tc>
          <w:tcPr>
            <w:tcW w:type="dxa" w:w="43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Baseline150：3.69/5</w:t>
            </w:r>
          </w:p>
        </w:tc>
      </w:tr>
      <w:tr>
        <w:tc>
          <w:tcPr>
            <w:tcW w:type="dxa" w:w="15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观察基线</w:t>
            </w:r>
          </w:p>
        </w:tc>
        <w:tc>
          <w:tcPr>
            <w:tcW w:type="dxa" w:w="35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有效来源覆盖</w:t>
            </w:r>
          </w:p>
        </w:tc>
        <w:tc>
          <w:tcPr>
            <w:tcW w:type="dxa" w:w="43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Baseline150：16/150（10.7%）</w:t>
            </w:r>
          </w:p>
        </w:tc>
      </w:tr>
      <w:tr>
        <w:tc>
          <w:tcPr>
            <w:tcW w:type="dxa" w:w="150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观察基线</w:t>
            </w:r>
          </w:p>
        </w:tc>
        <w:tc>
          <w:tcPr>
            <w:tcW w:type="dxa" w:w="350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非品牌自然提及</w:t>
            </w:r>
          </w:p>
        </w:tc>
        <w:tc>
          <w:tcPr>
            <w:tcW w:type="dxa" w:w="436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UserIntent子样本：20/30（66.7%）</w:t>
            </w:r>
          </w:p>
        </w:tc>
      </w:tr>
      <w:tr>
        <w:tc>
          <w:tcPr>
            <w:tcW w:type="dxa" w:w="15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观察基线</w:t>
            </w:r>
          </w:p>
        </w:tc>
        <w:tc>
          <w:tcPr>
            <w:tcW w:type="dxa" w:w="35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确认幻觉</w:t>
            </w:r>
          </w:p>
        </w:tc>
        <w:tc>
          <w:tcPr>
            <w:tcW w:type="dxa" w:w="43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Baseline14/150；UserIntent32/75，分开报告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复测记录要求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固定10题×5平台；记录日期、模型版本、联网状态、测试模式、原始回答、引用URL与页面截图。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比较品牌提及、实体准确、属性覆盖、可靠性、确认/疑似幻觉和有效来源覆盖；Baseline与UserIntent不得混合排名。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只有出现可审计差异，才描述“回答质量变化”；不把页面发布直接写成AI收录、曝光或销售提升。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EB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18"/>
              </w:rPr>
              <w:t xml:space="preserve">交付结论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这套方案已经形成“诊断—内容矩阵—页面规范—信源治理—发布—复测”的完整闭环，可作为GEO、AI内容运营或AI搜索策略岗位的核心作品。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keepNext w:val="0"/>
        <w:spacing w:before="160" w:after="80" w:line="300" w:lineRule="auto"/>
      </w:pPr>
      <w:r>
        <w:rPr>
          <w:rFonts w:ascii="Arial Unicode MS" w:hAnsi="Arial Unicode MS" w:eastAsia="Arial Unicode MS"/>
          <w:b/>
          <w:i w:val="0"/>
          <w:color w:val="61706C"/>
          <w:sz w:val="17"/>
        </w:rPr>
        <w:t>查看公开策略栏目：</w:t>
      </w:r>
      <w:hyperlink r:id="rId11">
        <w:r>
          <w:rPr>
            <w:rFonts w:ascii="Arial Unicode MS" w:hAnsi="Arial Unicode MS" w:eastAsia="Arial Unicode MS"/>
            <w:color w:val="0F6D65"/>
            <w:u w:val="single"/>
            <w:sz w:val="17"/>
          </w:rPr>
          <w:t>https://yhl-geo-portfolio-2026.layiiii.chatgpt.site/strategy</w:t>
        </w:r>
      </w:hyperlink>
    </w:p>
    <w:p>
      <w:pPr>
        <w:keepNext w:val="0"/>
        <w:spacing w:before="40" w:after="80" w:line="300" w:lineRule="auto"/>
      </w:pPr>
      <w:r>
        <w:rPr>
          <w:rFonts w:ascii="Arial Unicode MS" w:hAnsi="Arial Unicode MS" w:eastAsia="Arial Unicode MS"/>
          <w:b/>
          <w:i w:val="0"/>
          <w:color w:val="61706C"/>
          <w:sz w:val="17"/>
        </w:rPr>
        <w:t>查看企业知识库栏目：</w:t>
      </w:r>
      <w:hyperlink r:id="rId12">
        <w:r>
          <w:rPr>
            <w:rFonts w:ascii="Arial Unicode MS" w:hAnsi="Arial Unicode MS" w:eastAsia="Arial Unicode MS"/>
            <w:color w:val="0F6D65"/>
            <w:u w:val="single"/>
            <w:sz w:val="17"/>
          </w:rPr>
          <w:t>https://yhl-geo-portfolio-2026.layiiii.chatgpt.site/knowledge-base</w:t>
        </w:r>
      </w:hyperlink>
    </w:p>
    <w:p>
      <w:pPr>
        <w:keepNext w:val="0"/>
        <w:spacing w:before="0" w:after="40" w:line="300" w:lineRule="auto"/>
      </w:pPr>
      <w:r>
        <w:rPr>
          <w:rFonts w:ascii="Arial Unicode MS" w:hAnsi="Arial Unicode MS" w:eastAsia="Arial Unicode MS"/>
          <w:b w:val="0"/>
          <w:i/>
          <w:color w:val="A3422F"/>
          <w:sz w:val="16"/>
        </w:rPr>
        <w:t>限制：本方案未修改品牌官方渠道，未证明五个平台已经收录或稳定引用，也不声称曝光、咨询、销售或品牌影响力已经提升。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440" w:bottom="936" w:left="1440" w:header="49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b w:val="0"/>
        <w:i w:val="0"/>
        <w:color w:val="61706C"/>
        <w:sz w:val="14"/>
      </w:rPr>
      <w:t xml:space="preserve">更新 2026-07-17  ·  </w:t>
    </w:r>
    <w:r>
      <w:rPr>
        <w:rFonts w:ascii="Arial Unicode MS" w:hAnsi="Arial Unicode MS" w:eastAsia="Arial Unicode MS"/>
        <w:b w:val="0"/>
        <w:i w:val="0"/>
        <w:color w:val="61706C"/>
        <w:sz w:val="16"/>
      </w:rPr>
      <w:fldChar w:fldCharType="begin"/>
      <w:instrText xml:space="preserve">PAGE</w:instrText>
      <w:fldChar w:fldCharType="end"/>
    </w:r>
    <w:r>
      <w:rPr>
        <w:rFonts w:ascii="Arial Unicode MS" w:hAnsi="Arial Unicode MS" w:eastAsia="Arial Unicode MS"/>
        <w:b w:val="0"/>
        <w:i w:val="0"/>
        <w:color w:val="61706C"/>
        <w:sz w:val="14"/>
      </w:rPr>
      <w:t xml:space="preserve"> / </w:t>
    </w:r>
    <w:r>
      <w:rPr>
        <w:rFonts w:ascii="Arial Unicode MS" w:hAnsi="Arial Unicode MS" w:eastAsia="Arial Unicode MS"/>
        <w:b w:val="0"/>
        <w:i w:val="0"/>
        <w:color w:val="61706C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i w:val="0"/>
        <w:color w:val="61706C"/>
        <w:sz w:val="14"/>
      </w:rPr>
      <w:t>元亨利 GEO · 品牌内容优化方案</w:t>
    </w:r>
    <w:r>
      <w:rPr>
        <w:rFonts w:ascii="Arial Unicode MS" w:hAnsi="Arial Unicode MS" w:eastAsia="Arial Unicode MS"/>
        <w:b w:val="0"/>
        <w:i w:val="0"/>
        <w:color w:val="B68B4C"/>
        <w:sz w:val="14"/>
      </w:rPr>
      <w:t xml:space="preserve">    模拟品牌提案 · 个人公开研究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8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A342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B49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F6D6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yhl-geo-portfolio-2026.layiiii.chatgpt.site/strategy" TargetMode="External"/><Relationship Id="rId12" Type="http://schemas.openxmlformats.org/officeDocument/2006/relationships/hyperlink" Target="https://yhl-geo-portfolio-2026.layiiii.chatgpt.site/knowledge-b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元亨利红木家具 GEO 品牌内容优化方案</dc:title>
  <dc:subject>模拟品牌提案与90天执行方案</dc:subject>
  <dc:creator>个人公开研究案例</dc:creator>
  <cp:keywords>GEO, 红木家具, 品牌内容, AI搜索, 内容策略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