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600" w:after="44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A3422F"/>
          <w:sz w:val="16"/>
        </w:rPr>
        <w:t>INDEPENDENT GEO BRAND PROPOSAL</w:t>
      </w:r>
    </w:p>
    <w:p>
      <w:pPr>
        <w:keepNext w:val="0"/>
        <w:spacing w:before="0" w:after="16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182320"/>
          <w:sz w:val="62"/>
        </w:rPr>
        <w:t>元亨利红木家具</w:t>
      </w:r>
    </w:p>
    <w:p>
      <w:pPr>
        <w:keepNext w:val="0"/>
        <w:spacing w:before="0" w:after="28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A3422F"/>
          <w:sz w:val="62"/>
        </w:rPr>
        <w:t>GEO 品牌内容优化方案</w:t>
      </w:r>
    </w:p>
    <w:p>
      <w:pPr>
        <w:keepNext w:val="0"/>
        <w:spacing w:before="0" w:after="44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从“AI知道品牌”到“AI能够引用、区分并守住事实边界”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核心判断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元亨利当前最大GEO问题不是品牌无法被识别，而是品牌事实缺少稳定、结构化、可追溯的证据。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4.91/5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品牌识别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Baseline150四维评分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E4D7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3.69/5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可靠性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与识别相差1.22分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10.7%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有效来源覆盖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16/150回答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E4D7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40"/>
              </w:rPr>
              <w:t>149/150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Reliability Gap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识别强于可靠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320" w:after="8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B68B4C"/>
          <w:sz w:val="16"/>
        </w:rPr>
        <w:t>交付定位</w:t>
      </w:r>
    </w:p>
    <w:p>
      <w:pPr>
        <w:keepNext w:val="0"/>
        <w:spacing w:before="0" w:after="44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182320"/>
          <w:sz w:val="20"/>
        </w:rPr>
        <w:t>14页主方案 · 90天执行工作簿 · 公开网站策略栏目 · 8页主案例入口</w:t>
      </w:r>
    </w:p>
    <w:p>
      <w:pPr>
        <w:keepNext w:val="0"/>
        <w:spacing w:before="0" w:after="12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1706C"/>
          <w:sz w:val="17"/>
        </w:rPr>
        <w:t>公开案例：</w:t>
      </w:r>
      <w:hyperlink r:id="rId11">
        <w:r>
          <w:rPr>
            <w:rFonts w:ascii="Arial Unicode MS" w:hAnsi="Arial Unicode MS" w:eastAsia="Arial Unicode MS"/>
            <w:color w:val="0F6D65"/>
            <w:u w:val="single"/>
            <w:sz w:val="17"/>
          </w:rPr>
          <w:t>https://yhl-geo-portfolio-2026.layiiii.chatgpt.site/strategy</w:t>
        </w:r>
      </w:hyperlink>
    </w:p>
    <w:p>
      <w:pPr>
        <w:keepNext w:val="0"/>
        <w:spacing w:before="360" w:after="40" w:line="300" w:lineRule="auto"/>
        <w:jc w:val="center"/>
      </w:pPr>
      <w:r>
        <w:rPr>
          <w:rFonts w:ascii="Arial Unicode MS" w:hAnsi="Arial Unicode MS" w:eastAsia="Arial Unicode MS"/>
          <w:b w:val="0"/>
          <w:i/>
          <w:color w:val="61706C"/>
          <w:sz w:val="16"/>
        </w:rPr>
        <w:t>本方案为个人公开资料研究与求职作品集，不代表元亨利官方，不构成品牌委托、产品背书或投资建议。</w:t>
      </w:r>
    </w:p>
    <w:p>
      <w:pPr>
        <w:keepNext w:val="0"/>
        <w:spacing w:before="0" w:after="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B68B4C"/>
          <w:sz w:val="16"/>
        </w:rPr>
        <w:t>2026-07-17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02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执行摘要：识别不是终点，可靠才是瓶颈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225条回答已证明AI通常知道“元亨利”与红木家具有关，但稳定引用、实体区分和高风险事实边界仍明显不足。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17.2/20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Baseline平均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150条正式诊断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E4D7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1.3%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确认错误率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2/150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40"/>
              </w:rPr>
              <w:t>9.3%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确认幻觉率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14/150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BE4D7"/>
          </w:tcPr>
          <w:p>
            <w:pPr>
              <w:spacing w:after="40"/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40"/>
              </w:rPr>
              <w:t>89.3%</w:t>
            </w:r>
          </w:p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疑似幻觉率</w:t>
            </w:r>
          </w:p>
          <w:p>
            <w:pPr>
              <w:spacing w:after="4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134/150，单列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问题如何发生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80"/>
        <w:gridCol w:w="3500"/>
        <w:gridCol w:w="3780"/>
      </w:tblGrid>
      <w:tr>
        <w:trPr>
          <w:tblHeader w:val="true"/>
        </w:trPr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表层表现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结构原因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内容动作</w:t>
            </w:r>
          </w:p>
        </w:tc>
      </w:tr>
      <w:tr>
        <w:tc>
          <w:tcPr>
            <w:tcW w:type="dxa" w:w="20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品牌能被提及</w:t>
            </w:r>
          </w:p>
        </w:tc>
        <w:tc>
          <w:tcPr>
            <w:tcW w:type="dxa" w:w="3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品牌-品类关联容易记忆</w:t>
            </w:r>
          </w:p>
        </w:tc>
        <w:tc>
          <w:tcPr>
            <w:tcW w:type="dxa" w:w="37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保留统一主体名称与直接答案</w:t>
            </w:r>
          </w:p>
        </w:tc>
      </w:tr>
      <w:tr>
        <w:tc>
          <w:tcPr>
            <w:tcW w:type="dxa" w:w="20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人物、历史、荣誉被说满</w:t>
            </w:r>
          </w:p>
        </w:tc>
        <w:tc>
          <w:tcPr>
            <w:tcW w:type="dxa" w:w="3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一手自述与第三方事实混合</w:t>
            </w:r>
          </w:p>
        </w:tc>
        <w:tc>
          <w:tcPr>
            <w:tcW w:type="dxa" w:w="37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强事实逐条绑定来源和时间</w:t>
            </w:r>
          </w:p>
        </w:tc>
      </w:tr>
      <w:tr>
        <w:tc>
          <w:tcPr>
            <w:tcW w:type="dxa" w:w="20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同名企业被归并</w:t>
            </w:r>
          </w:p>
        </w:tc>
        <w:tc>
          <w:tcPr>
            <w:tcW w:type="dxa" w:w="3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缺少实体卡和排除项</w:t>
            </w:r>
          </w:p>
        </w:tc>
        <w:tc>
          <w:tcPr>
            <w:tcW w:type="dxa" w:w="37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增加完整名称、业务、地域、域名</w:t>
            </w:r>
          </w:p>
        </w:tc>
      </w:tr>
      <w:tr>
        <w:tc>
          <w:tcPr>
            <w:tcW w:type="dxa" w:w="20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价格、门店、售后过期</w:t>
            </w:r>
          </w:p>
        </w:tc>
        <w:tc>
          <w:tcPr>
            <w:tcW w:type="dxa" w:w="3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动态商业信息缺更新时间</w:t>
            </w:r>
          </w:p>
        </w:tc>
        <w:tc>
          <w:tcPr>
            <w:tcW w:type="dxa" w:w="37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统一转为核验路径和日期记录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EBD9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68B4C"/>
                <w:sz w:val="18"/>
              </w:rPr>
              <w:t xml:space="preserve">90天策略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先完成P0事实基础设施，再扩展风格与产品证据模板，最后进行10题×5平台复测；不把AI收录当作前置完成条件。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主诊断使用Baseline150；UserIntent75仅用于商业意图校准。历史联网状态、模型模式和引用来源未完整记录。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03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五类用户需求，决定五种内容任务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分类不是把问题换个名字，而是把不同决策风险分开：品牌认知最弱，购买问题虽得分高但对动态信息和单件证据要求更严。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1320"/>
        <w:gridCol w:w="3000"/>
        <w:gridCol w:w="334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搜索场景</w:t>
            </w:r>
          </w:p>
        </w:tc>
        <w:tc>
          <w:tcPr>
            <w:tcW w:type="dxa" w:w="1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样本/均分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用户真正需要</w:t>
            </w:r>
          </w:p>
        </w:tc>
        <w:tc>
          <w:tcPr>
            <w:tcW w:type="dxa" w:w="3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内容责任</w:t>
            </w:r>
          </w:p>
        </w:tc>
      </w:tr>
      <w:tr>
        <w:tc>
          <w:tcPr>
            <w:tcW w:type="dxa" w:w="17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品牌了解</w:t>
            </w:r>
          </w:p>
        </w:tc>
        <w:tc>
          <w:tcPr>
            <w:tcW w:type="dxa" w:w="132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25条 / 15.76</w:t>
            </w:r>
          </w:p>
        </w:tc>
        <w:tc>
          <w:tcPr>
            <w:tcW w:type="dxa" w:w="30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主体、定位、历史、公开背书</w:t>
            </w:r>
          </w:p>
        </w:tc>
        <w:tc>
          <w:tcPr>
            <w:tcW w:type="dxa" w:w="334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先分事实层级，再写品牌叙事</w:t>
            </w:r>
          </w:p>
        </w:tc>
      </w:tr>
      <w:tr>
        <w:tc>
          <w:tcPr>
            <w:tcW w:type="dxa" w:w="1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材质研究</w:t>
            </w:r>
          </w:p>
        </w:tc>
        <w:tc>
          <w:tcPr>
            <w:tcW w:type="dxa" w:w="13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20条 / 16.75</w:t>
            </w:r>
          </w:p>
        </w:tc>
        <w:tc>
          <w:tcPr>
            <w:tcW w:type="dxa" w:w="30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术语、树种、产品关系、证书</w:t>
            </w:r>
          </w:p>
        </w:tc>
        <w:tc>
          <w:tcPr>
            <w:tcW w:type="dxa" w:w="33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标准知识不能替代单件凭证</w:t>
            </w:r>
          </w:p>
        </w:tc>
      </w:tr>
      <w:tr>
        <w:tc>
          <w:tcPr>
            <w:tcW w:type="dxa" w:w="1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京作与风格</w:t>
            </w:r>
          </w:p>
        </w:tc>
        <w:tc>
          <w:tcPr>
            <w:tcW w:type="dxa" w:w="13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30条 / 17.13</w:t>
            </w:r>
          </w:p>
        </w:tc>
        <w:tc>
          <w:tcPr>
            <w:tcW w:type="dxa" w:w="30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地域、工艺、明清风格、资格</w:t>
            </w:r>
          </w:p>
        </w:tc>
        <w:tc>
          <w:tcPr>
            <w:tcW w:type="dxa" w:w="33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概念分层，不互相背书</w:t>
            </w:r>
          </w:p>
        </w:tc>
      </w:tr>
      <w:tr>
        <w:tc>
          <w:tcPr>
            <w:tcW w:type="dxa" w:w="1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购买决策</w:t>
            </w:r>
          </w:p>
        </w:tc>
        <w:tc>
          <w:tcPr>
            <w:tcW w:type="dxa" w:w="13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40条 / 17.98</w:t>
            </w:r>
          </w:p>
        </w:tc>
        <w:tc>
          <w:tcPr>
            <w:tcW w:type="dxa" w:w="30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价格、合同、交付、售后、比较</w:t>
            </w:r>
          </w:p>
        </w:tc>
        <w:tc>
          <w:tcPr>
            <w:tcW w:type="dxa" w:w="33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动态信息记录核验时间</w:t>
            </w:r>
          </w:p>
        </w:tc>
      </w:tr>
      <w:tr>
        <w:tc>
          <w:tcPr>
            <w:tcW w:type="dxa" w:w="17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风险边界</w:t>
            </w:r>
          </w:p>
        </w:tc>
        <w:tc>
          <w:tcPr>
            <w:tcW w:type="dxa" w:w="132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25条 / 17.48</w:t>
            </w:r>
          </w:p>
        </w:tc>
        <w:tc>
          <w:tcPr>
            <w:tcW w:type="dxa" w:w="30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可信渠道、收藏表达、误判风险</w:t>
            </w:r>
          </w:p>
        </w:tc>
        <w:tc>
          <w:tcPr>
            <w:tcW w:type="dxa" w:w="334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高风险问题必须明确停点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用户旅程中的内容承接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认知阶段：先回答“你指的是哪个元亨利”，再给品牌事实与公开定位。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理解阶段：把行业知识、品牌公开资料和单件产品证据拆成三层。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比较阶段：使用主体、材料证据、合同、售后等中性维度，拒绝无来源排名。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购买阶段：把价格和推荐转为型号、渠道、合同、证书、验收和售后的核验动作。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风险阶段：荣誉、馆藏、投资回报等信息必须有原始主体、时间和适用范围。</w:t>
      </w: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q01-q28按主意图互斥分类；q29-q30为GEO策略题，单列且不参与类别最好/最差排名。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04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六项诊断，必须落到六类内容动作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方案不是“多写文章”，而是让每个高风险回答都能回到数据、证据、来源状态和对应页面。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40"/>
        <w:gridCol w:w="1560"/>
        <w:gridCol w:w="2800"/>
        <w:gridCol w:w="2860"/>
      </w:tblGrid>
      <w:tr>
        <w:trPr>
          <w:tblHeader w:val="true"/>
        </w:trPr>
        <w:tc>
          <w:tcPr>
            <w:tcW w:type="dxa" w:w="2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诊断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数据证据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核心风险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对应动作</w:t>
            </w:r>
          </w:p>
        </w:tc>
      </w:tr>
      <w:tr>
        <w:tc>
          <w:tcPr>
            <w:tcW w:type="dxa" w:w="214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D1 可靠性弱于识别</w:t>
            </w:r>
          </w:p>
        </w:tc>
        <w:tc>
          <w:tcPr>
            <w:tcW w:type="dxa" w:w="156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4.91 vs 3.69</w:t>
            </w:r>
          </w:p>
        </w:tc>
        <w:tc>
          <w:tcPr>
            <w:tcW w:type="dxa" w:w="28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答案完整但不可核验</w:t>
            </w:r>
          </w:p>
        </w:tc>
        <w:tc>
          <w:tcPr>
            <w:tcW w:type="dxa" w:w="286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品牌事实页+事实等级</w:t>
            </w:r>
          </w:p>
        </w:tc>
      </w:tr>
      <w:tr>
        <w:tc>
          <w:tcPr>
            <w:tcW w:type="dxa" w:w="21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D2 强定位/荣誉</w:t>
            </w:r>
          </w:p>
        </w:tc>
        <w:tc>
          <w:tcPr>
            <w:tcW w:type="dxa" w:w="15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89 / 74 / 58次</w:t>
            </w:r>
          </w:p>
        </w:tc>
        <w:tc>
          <w:tcPr>
            <w:tcW w:type="dxa" w:w="2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自述被写成权威结论</w:t>
            </w:r>
          </w:p>
        </w:tc>
        <w:tc>
          <w:tcPr>
            <w:tcW w:type="dxa" w:w="28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删除榜单词+逐条来源</w:t>
            </w:r>
          </w:p>
        </w:tc>
      </w:tr>
      <w:tr>
        <w:tc>
          <w:tcPr>
            <w:tcW w:type="dxa" w:w="21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D3 同名主体混淆</w:t>
            </w:r>
          </w:p>
        </w:tc>
        <w:tc>
          <w:tcPr>
            <w:tcW w:type="dxa" w:w="15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76次</w:t>
            </w:r>
          </w:p>
        </w:tc>
        <w:tc>
          <w:tcPr>
            <w:tcW w:type="dxa" w:w="2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主体一错，后续事实全错</w:t>
            </w:r>
          </w:p>
        </w:tc>
        <w:tc>
          <w:tcPr>
            <w:tcW w:type="dxa" w:w="28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同名消歧页+实体卡</w:t>
            </w:r>
          </w:p>
        </w:tc>
      </w:tr>
      <w:tr>
        <w:tc>
          <w:tcPr>
            <w:tcW w:type="dxa" w:w="21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D4 材质/单件混用</w:t>
            </w:r>
          </w:p>
        </w:tc>
        <w:tc>
          <w:tcPr>
            <w:tcW w:type="dxa" w:w="15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材质均分16.75</w:t>
            </w:r>
          </w:p>
        </w:tc>
        <w:tc>
          <w:tcPr>
            <w:tcW w:type="dxa" w:w="2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行业知识替代产品凭证</w:t>
            </w:r>
          </w:p>
        </w:tc>
        <w:tc>
          <w:tcPr>
            <w:tcW w:type="dxa" w:w="28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术语-品牌-单件三层</w:t>
            </w:r>
          </w:p>
        </w:tc>
      </w:tr>
      <w:tr>
        <w:tc>
          <w:tcPr>
            <w:tcW w:type="dxa" w:w="21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D5 价格/渠道/售后</w:t>
            </w:r>
          </w:p>
        </w:tc>
        <w:tc>
          <w:tcPr>
            <w:tcW w:type="dxa" w:w="15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价格58、售后71次</w:t>
            </w:r>
          </w:p>
        </w:tc>
        <w:tc>
          <w:tcPr>
            <w:tcW w:type="dxa" w:w="2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动态信息过度确定</w:t>
            </w:r>
          </w:p>
        </w:tc>
        <w:tc>
          <w:tcPr>
            <w:tcW w:type="dxa" w:w="28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购买核验指南+日期</w:t>
            </w:r>
          </w:p>
        </w:tc>
      </w:tr>
      <w:tr>
        <w:tc>
          <w:tcPr>
            <w:tcW w:type="dxa" w:w="214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D6 收藏金融化</w:t>
            </w:r>
          </w:p>
        </w:tc>
        <w:tc>
          <w:tcPr>
            <w:tcW w:type="dxa" w:w="156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收藏77、金融化11次</w:t>
            </w:r>
          </w:p>
        </w:tc>
        <w:tc>
          <w:tcPr>
            <w:tcW w:type="dxa" w:w="28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审美价值被写成收益</w:t>
            </w:r>
          </w:p>
        </w:tc>
        <w:tc>
          <w:tcPr>
            <w:tcW w:type="dxa" w:w="286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价值维度拆分+免责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证据链接口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统一链路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evidence_id → 数据集/原始行 → 回答摘录 → 评分与风险标签 → 来源状态 → 优化页面 → 发布质检 → 复测结果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确认为“错误”与“幻觉”必须使用冻结数据中的明确标签；“疑似”单列，不替代事实核验。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每条强事实应能回到具体页面、标准、正式报道或证书；不能只链接搜索结果、图片/CDN或首页。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历史会话无法找回时，只能使用“工作簿原始回答摘录”证据卡，不能伪造平台截图。</w:t>
      </w: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风险标签为多标签统计，可重复计数；数量用于发现高频风险，不等于唯一回答数。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05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内容优化目标：建立可维护的品牌事实接口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目标不是把所有信息写满，而是让AI和用户知道：什么可以直接回答、什么只能引用品牌自述、什么必须继续核验。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50"/>
        <w:gridCol w:w="4560"/>
        <w:gridCol w:w="2750"/>
      </w:tblGrid>
      <w:tr>
        <w:trPr>
          <w:tblHeader w:val="true"/>
        </w:trP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目标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90天完成定义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禁止替代</w:t>
            </w:r>
          </w:p>
        </w:tc>
      </w:tr>
      <w:tr>
        <w:tc>
          <w:tcPr>
            <w:tcW w:type="dxa" w:w="20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统一主体</w:t>
            </w:r>
          </w:p>
        </w:tc>
        <w:tc>
          <w:tcPr>
            <w:tcW w:type="dxa" w:w="45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名称、业务、地域、官网、同名排除项一致</w:t>
            </w:r>
          </w:p>
        </w:tc>
        <w:tc>
          <w:tcPr>
            <w:tcW w:type="dxa" w:w="27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只凭字号归并主体</w:t>
            </w:r>
          </w:p>
        </w:tc>
      </w:tr>
      <w:tr>
        <w:tc>
          <w:tcPr>
            <w:tcW w:type="dxa" w:w="205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补足来源</w:t>
            </w:r>
          </w:p>
        </w:tc>
        <w:tc>
          <w:tcPr>
            <w:tcW w:type="dxa" w:w="45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每条强事实绑定source_id、URL和更新时间</w:t>
            </w:r>
          </w:p>
        </w:tc>
        <w:tc>
          <w:tcPr>
            <w:tcW w:type="dxa" w:w="275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用首页或图片代替原文</w:t>
            </w:r>
          </w:p>
        </w:tc>
      </w:tr>
      <w:tr>
        <w:tc>
          <w:tcPr>
            <w:tcW w:type="dxa" w:w="20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分层事实</w:t>
            </w:r>
          </w:p>
        </w:tc>
        <w:tc>
          <w:tcPr>
            <w:tcW w:type="dxa" w:w="45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第三方事实/品牌自述/待官方补充/单件证据</w:t>
            </w:r>
          </w:p>
        </w:tc>
        <w:tc>
          <w:tcPr>
            <w:tcW w:type="dxa" w:w="27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把自述写成官方认证</w:t>
            </w:r>
          </w:p>
        </w:tc>
      </w:tr>
      <w:tr>
        <w:tc>
          <w:tcPr>
            <w:tcW w:type="dxa" w:w="205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控制动态信息</w:t>
            </w:r>
          </w:p>
        </w:tc>
        <w:tc>
          <w:tcPr>
            <w:tcW w:type="dxa" w:w="45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价格、门店、售后记录核验日期与渠道</w:t>
            </w:r>
          </w:p>
        </w:tc>
        <w:tc>
          <w:tcPr>
            <w:tcW w:type="dxa" w:w="275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永久有效式承诺</w:t>
            </w:r>
          </w:p>
        </w:tc>
      </w:tr>
      <w:tr>
        <w:tc>
          <w:tcPr>
            <w:tcW w:type="dxa" w:w="20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控制金融化</w:t>
            </w:r>
          </w:p>
        </w:tc>
        <w:tc>
          <w:tcPr>
            <w:tcW w:type="dxa" w:w="45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只谈审美、工艺、材料、来源和保存状态</w:t>
            </w:r>
          </w:p>
        </w:tc>
        <w:tc>
          <w:tcPr>
            <w:tcW w:type="dxa" w:w="275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承诺保值、升值或收益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四级事实模型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40"/>
        <w:gridCol w:w="2160"/>
        <w:gridCol w:w="3300"/>
        <w:gridCol w:w="2460"/>
      </w:tblGrid>
      <w:tr>
        <w:trPr>
          <w:tblHeader w:val="true"/>
        </w:trP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等级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可用表达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所需证据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典型内容</w:t>
            </w:r>
          </w:p>
        </w:tc>
      </w:tr>
      <w:tr>
        <w:tc>
          <w:tcPr>
            <w:tcW w:type="dxa" w:w="144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5"/>
              </w:rPr>
              <w:t>L1 已核验第三方</w:t>
            </w:r>
          </w:p>
        </w:tc>
        <w:tc>
          <w:tcPr>
            <w:tcW w:type="dxa" w:w="216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“标准/机构资料显示”</w:t>
            </w:r>
          </w:p>
        </w:tc>
        <w:tc>
          <w:tcPr>
            <w:tcW w:type="dxa" w:w="330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政府、标准、协会、媒体、博物馆原页</w:t>
            </w:r>
          </w:p>
        </w:tc>
        <w:tc>
          <w:tcPr>
            <w:tcW w:type="dxa" w:w="246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标准术语、公开活动、历史语境</w:t>
            </w:r>
          </w:p>
        </w:tc>
      </w:tr>
      <w:tr>
        <w:tc>
          <w:tcPr>
            <w:tcW w:type="dxa" w:w="14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5"/>
              </w:rPr>
              <w:t>L2 品牌一手自述</w:t>
            </w:r>
          </w:p>
        </w:tc>
        <w:tc>
          <w:tcPr>
            <w:tcW w:type="dxa" w:w="21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“品牌官网公开称”</w:t>
            </w:r>
          </w:p>
        </w:tc>
        <w:tc>
          <w:tcPr>
            <w:tcW w:type="dxa" w:w="33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官网具体页面、发布日期或截图</w:t>
            </w:r>
          </w:p>
        </w:tc>
        <w:tc>
          <w:tcPr>
            <w:tcW w:type="dxa" w:w="24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品牌理念、产品栏目、品牌故事</w:t>
            </w:r>
          </w:p>
        </w:tc>
      </w:tr>
      <w:tr>
        <w:tc>
          <w:tcPr>
            <w:tcW w:type="dxa" w:w="144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5"/>
              </w:rPr>
              <w:t>L3 待官方补充</w:t>
            </w:r>
          </w:p>
        </w:tc>
        <w:tc>
          <w:tcPr>
            <w:tcW w:type="dxa" w:w="216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“现有公开资料不足”</w:t>
            </w:r>
          </w:p>
        </w:tc>
        <w:tc>
          <w:tcPr>
            <w:tcW w:type="dxa" w:w="33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官方声明、证书、主办方公告</w:t>
            </w:r>
          </w:p>
        </w:tc>
        <w:tc>
          <w:tcPr>
            <w:tcW w:type="dxa" w:w="246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人物、年份、荣誉、馆藏、资格</w:t>
            </w:r>
          </w:p>
        </w:tc>
      </w:tr>
      <w:tr>
        <w:tc>
          <w:tcPr>
            <w:tcW w:type="dxa" w:w="144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5"/>
              </w:rPr>
              <w:t>L4 需单件证据</w:t>
            </w:r>
          </w:p>
        </w:tc>
        <w:tc>
          <w:tcPr>
            <w:tcW w:type="dxa" w:w="216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“以该件产品材料为准”</w:t>
            </w:r>
          </w:p>
        </w:tc>
        <w:tc>
          <w:tcPr>
            <w:tcW w:type="dxa" w:w="33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合同、标识、证书、检测、发票</w:t>
            </w:r>
          </w:p>
        </w:tc>
        <w:tc>
          <w:tcPr>
            <w:tcW w:type="dxa" w:w="246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5"/>
              </w:rPr>
              <w:t>材质、价格、尺寸、交付、售后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当前信源库27条，其中24条可用于投递：11条品牌一手、12条第三方、4条主体核验；不同来源类型可交叉归类。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06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内容架构：P0先守住事实，P1再解释差异，P2建立规模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现有5页MVP和FAQ继续承担首发；品牌事实与定位在第三方证据足够后拆分，避免为了“页面完整”而写出无依据定位。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P0｜0-30天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P1｜31-60天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P2｜61-90天及以后</w:t>
            </w:r>
          </w:p>
        </w:tc>
      </w:tr>
      <w:tr>
        <w:tc>
          <w:tcPr>
            <w:tcW w:type="dxa" w:w="312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8"/>
              </w:rPr>
              <w:t>品牌事实与定位MVP</w:t>
              <w:br/>
              <w:t>同名主体消歧</w:t>
              <w:br/>
              <w:t>材质与产品关系</w:t>
              <w:br/>
              <w:t>京作/明清边界</w:t>
              <w:br/>
              <w:t>购买核验指南</w:t>
              <w:br/>
              <w:t>15条FAQ</w:t>
            </w:r>
          </w:p>
        </w:tc>
        <w:tc>
          <w:tcPr>
            <w:tcW w:type="dxa" w:w="312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8"/>
              </w:rPr>
              <w:t>品牌定位深度页（证据满足后拆分）</w:t>
              <w:br/>
              <w:t>明式/清式风格指南</w:t>
              <w:br/>
              <w:t>黄花梨/紫檀/酸枝专题</w:t>
              <w:br/>
              <w:t>单件产品证据模板</w:t>
              <w:br/>
              <w:t>内部链接完善</w:t>
            </w:r>
          </w:p>
        </w:tc>
        <w:tc>
          <w:tcPr>
            <w:tcW w:type="dxa" w:w="312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8"/>
              </w:rPr>
              <w:t>产品数据库</w:t>
              <w:br/>
              <w:t>展览与案例内容</w:t>
              <w:br/>
              <w:t>工艺系列专题</w:t>
              <w:br/>
              <w:t>中性品牌比较页</w:t>
              <w:br/>
              <w:t>持续信源与复测记录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统一页面数据结构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5000"/>
        <w:gridCol w:w="266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字段组</w:t>
            </w:r>
          </w:p>
        </w:tc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必填字段</w:t>
            </w:r>
          </w:p>
        </w:tc>
        <w:tc>
          <w:tcPr>
            <w:tcW w:type="dxa" w:w="2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作用</w:t>
            </w:r>
          </w:p>
        </w:tc>
      </w:tr>
      <w:tr>
        <w:tc>
          <w:tcPr>
            <w:tcW w:type="dxa" w:w="1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识别</w:t>
            </w:r>
          </w:p>
        </w:tc>
        <w:tc>
          <w:tcPr>
            <w:tcW w:type="dxa" w:w="50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content_id、优先级、目标问题、用户意图</w:t>
            </w:r>
          </w:p>
        </w:tc>
        <w:tc>
          <w:tcPr>
            <w:tcW w:type="dxa" w:w="2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确定页面为什么存在</w:t>
            </w:r>
          </w:p>
        </w:tc>
      </w:tr>
      <w:tr>
        <w:tc>
          <w:tcPr>
            <w:tcW w:type="dxa" w:w="1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回答</w:t>
            </w:r>
          </w:p>
        </w:tc>
        <w:tc>
          <w:tcPr>
            <w:tcW w:type="dxa" w:w="50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直接答案、章节结构、相关问题</w:t>
            </w:r>
          </w:p>
        </w:tc>
        <w:tc>
          <w:tcPr>
            <w:tcW w:type="dxa" w:w="26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让模型先获取结论再展开</w:t>
            </w:r>
          </w:p>
        </w:tc>
      </w:tr>
      <w:tr>
        <w:tc>
          <w:tcPr>
            <w:tcW w:type="dxa" w:w="1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证据</w:t>
            </w:r>
          </w:p>
        </w:tc>
        <w:tc>
          <w:tcPr>
            <w:tcW w:type="dxa" w:w="50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事实等级、evidence_id、source_id、URL</w:t>
            </w:r>
          </w:p>
        </w:tc>
        <w:tc>
          <w:tcPr>
            <w:tcW w:type="dxa" w:w="2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把强事实连回证据</w:t>
            </w:r>
          </w:p>
        </w:tc>
      </w:tr>
      <w:tr>
        <w:tc>
          <w:tcPr>
            <w:tcW w:type="dxa" w:w="1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边界</w:t>
            </w:r>
          </w:p>
        </w:tc>
        <w:tc>
          <w:tcPr>
            <w:tcW w:type="dxa" w:w="50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适用范围、待补资料、禁止表达</w:t>
            </w:r>
          </w:p>
        </w:tc>
        <w:tc>
          <w:tcPr>
            <w:tcW w:type="dxa" w:w="26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明确页面在哪里停</w:t>
            </w:r>
          </w:p>
        </w:tc>
      </w:tr>
      <w:tr>
        <w:tc>
          <w:tcPr>
            <w:tcW w:type="dxa" w:w="1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维护</w:t>
            </w:r>
          </w:p>
        </w:tc>
        <w:tc>
          <w:tcPr>
            <w:tcW w:type="dxa" w:w="50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更新时间、维护周期、负责人角色、状态</w:t>
            </w:r>
          </w:p>
        </w:tc>
        <w:tc>
          <w:tcPr>
            <w:tcW w:type="dxa" w:w="2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防止动态信息过期</w:t>
            </w:r>
          </w:p>
        </w:tc>
      </w:tr>
      <w:tr>
        <w:tc>
          <w:tcPr>
            <w:tcW w:type="dxa" w:w="1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发布</w:t>
            </w:r>
          </w:p>
        </w:tc>
        <w:tc>
          <w:tcPr>
            <w:tcW w:type="dxa" w:w="50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slug、标题、description、内部链接、结构化数据</w:t>
            </w:r>
          </w:p>
        </w:tc>
        <w:tc>
          <w:tcPr>
            <w:tcW w:type="dxa" w:w="26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保证可读、可抓取、可复用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E2DC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8"/>
              </w:rPr>
              <w:t xml:space="preserve">拆页条件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品牌定位页只有在行业位置、代表性活动或差异化主张拥有明确第三方来源时才独立发布；否则继续与品牌事实页合并。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07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页面规范一：品牌事实与定位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这是所有回答的事实入口。页面要先证明“主体是谁”，再说明“公开资料如何描述”，最后列出“目前不能确认什么”。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直接答案模板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在本案例中，“元亨利”指红木家具语境中的品牌/企业主体。介绍时应同时给出完整主体名称、业务语境与可核验入口，并将品牌自述与第三方事实分开。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40"/>
        <w:gridCol w:w="5200"/>
        <w:gridCol w:w="2520"/>
      </w:tblGrid>
      <w:tr>
        <w:trPr>
          <w:tblHeader w:val="true"/>
        </w:trPr>
        <w:tc>
          <w:tcPr>
            <w:tcW w:type="dxa" w:w="16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模块</w:t>
            </w:r>
          </w:p>
        </w:tc>
        <w:tc>
          <w:tcPr>
            <w:tcW w:type="dxa" w:w="5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写作要求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验收</w:t>
            </w:r>
          </w:p>
        </w:tc>
      </w:tr>
      <w:tr>
        <w:tc>
          <w:tcPr>
            <w:tcW w:type="dxa" w:w="16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主体卡</w:t>
            </w:r>
          </w:p>
        </w:tc>
        <w:tc>
          <w:tcPr>
            <w:tcW w:type="dxa" w:w="52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完整名称、业务、地域、官网、更新时间</w:t>
            </w:r>
          </w:p>
        </w:tc>
        <w:tc>
          <w:tcPr>
            <w:tcW w:type="dxa" w:w="25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与消歧页一致</w:t>
            </w:r>
          </w:p>
        </w:tc>
      </w:tr>
      <w:tr>
        <w:tc>
          <w:tcPr>
            <w:tcW w:type="dxa" w:w="16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公开事实</w:t>
            </w:r>
          </w:p>
        </w:tc>
        <w:tc>
          <w:tcPr>
            <w:tcW w:type="dxa" w:w="52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逐条写事实、日期、source_id与原始链接</w:t>
            </w:r>
          </w:p>
        </w:tc>
        <w:tc>
          <w:tcPr>
            <w:tcW w:type="dxa" w:w="25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强事实100%有来源</w:t>
            </w:r>
          </w:p>
        </w:tc>
      </w:tr>
      <w:tr>
        <w:tc>
          <w:tcPr>
            <w:tcW w:type="dxa" w:w="16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品牌自述</w:t>
            </w:r>
          </w:p>
        </w:tc>
        <w:tc>
          <w:tcPr>
            <w:tcW w:type="dxa" w:w="52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标注“品牌官网公开称/介绍”</w:t>
            </w:r>
          </w:p>
        </w:tc>
        <w:tc>
          <w:tcPr>
            <w:tcW w:type="dxa" w:w="25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不转换为行业认证</w:t>
            </w:r>
          </w:p>
        </w:tc>
      </w:tr>
      <w:tr>
        <w:tc>
          <w:tcPr>
            <w:tcW w:type="dxa" w:w="16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定位表达</w:t>
            </w:r>
          </w:p>
        </w:tc>
        <w:tc>
          <w:tcPr>
            <w:tcW w:type="dxa" w:w="52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用产品、风格、场景和公开活动描述</w:t>
            </w:r>
          </w:p>
        </w:tc>
        <w:tc>
          <w:tcPr>
            <w:tcW w:type="dxa" w:w="25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不用“第一/顶级/唯一”</w:t>
            </w:r>
          </w:p>
        </w:tc>
      </w:tr>
      <w:tr>
        <w:tc>
          <w:tcPr>
            <w:tcW w:type="dxa" w:w="16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待核验区</w:t>
            </w:r>
          </w:p>
        </w:tc>
        <w:tc>
          <w:tcPr>
            <w:tcW w:type="dxa" w:w="52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人物、年份、荣誉、馆藏、资格逐项列出</w:t>
            </w:r>
          </w:p>
        </w:tc>
        <w:tc>
          <w:tcPr>
            <w:tcW w:type="dxa" w:w="25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不给推断式答案</w:t>
            </w:r>
          </w:p>
        </w:tc>
      </w:tr>
      <w:tr>
        <w:tc>
          <w:tcPr>
            <w:tcW w:type="dxa" w:w="16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相关问题</w:t>
            </w:r>
          </w:p>
        </w:tc>
        <w:tc>
          <w:tcPr>
            <w:tcW w:type="dxa" w:w="52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链接同名、材质、京作、购买、FAQ</w:t>
            </w:r>
          </w:p>
        </w:tc>
        <w:tc>
          <w:tcPr>
            <w:tcW w:type="dxa" w:w="25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形成双向内链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推荐与禁用表达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推荐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禁用</w:t>
            </w:r>
          </w:p>
        </w:tc>
      </w:tr>
      <w:tr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“公开资料可确认……”；“品牌官网介绍……”；“截至核验日期……”</w:t>
            </w:r>
          </w:p>
        </w:tc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“行业第一”“顶级奢侈品牌”“国家级代表”等无来源强定位</w:t>
            </w:r>
          </w:p>
        </w:tc>
      </w:tr>
      <w:tr>
        <w:tc>
          <w:tcPr>
            <w:tcW w:type="dxa" w:w="468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“该事实仍需主办方/证书/正式公告确认”</w:t>
            </w:r>
          </w:p>
        </w:tc>
        <w:tc>
          <w:tcPr>
            <w:tcW w:type="dxa" w:w="468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从AI回答或二手转载反推成立时间、人物职务、馆藏和荣誉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定位深度页在31-60天阶段评估拆分；若第三方证据不足，继续保留合并结构和待核验清单。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08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页面规范二：同名主体消歧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同名消歧不是附加说明，而是元亨利GEO的第一道防线。只要主体没有确认，人物、荣誉、门店、价格等信息都不能继续归并。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五步实体确认</w:t>
      </w:r>
    </w:p>
    <w:p>
      <w:pPr>
        <w:pStyle w:val="ListNumber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完整名称：页面是否出现“北京元亨利硬木家具有限公司”等完整主体，而非只有字号。</w:t>
      </w:r>
    </w:p>
    <w:p>
      <w:pPr>
        <w:pStyle w:val="ListNumber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业务语境：红木/硬木/家具，还是珠宝、钟表、科技、建设等其他行业。</w:t>
      </w:r>
    </w:p>
    <w:p>
      <w:pPr>
        <w:pStyle w:val="ListNumber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地域线索：北京、郑州或其他地区只能作为辅助，不单独决定主体。</w:t>
      </w:r>
    </w:p>
    <w:p>
      <w:pPr>
        <w:pStyle w:val="ListNumber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域名与登记：官网域名、备案、工商、商标类别是否互相一致。</w:t>
      </w:r>
    </w:p>
    <w:p>
      <w:pPr>
        <w:pStyle w:val="ListNumber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时间与关系：成立、变更、旗下、同属等关系是否有当前有效的原始记录。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140"/>
        <w:gridCol w:w="5220"/>
      </w:tblGrid>
      <w:tr>
        <w:trPr>
          <w:tblHeader w:val="true"/>
        </w:trPr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红旗信号</w:t>
            </w:r>
          </w:p>
        </w:tc>
        <w:tc>
          <w:tcPr>
            <w:tcW w:type="dxa" w:w="52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安全改写</w:t>
            </w:r>
          </w:p>
        </w:tc>
      </w:tr>
      <w:tr>
        <w:tc>
          <w:tcPr>
            <w:tcW w:type="dxa" w:w="414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一句话串联公司、品牌、人物、馆藏和荣誉</w:t>
            </w:r>
          </w:p>
        </w:tc>
        <w:tc>
          <w:tcPr>
            <w:tcW w:type="dxa" w:w="522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拆成独立事实，每条分别给来源</w:t>
            </w:r>
          </w:p>
        </w:tc>
      </w:tr>
      <w:tr>
        <w:tc>
          <w:tcPr>
            <w:tcW w:type="dxa" w:w="41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使用“同属”“旗下”“创始于”但无主体页面</w:t>
            </w:r>
          </w:p>
        </w:tc>
        <w:tc>
          <w:tcPr>
            <w:tcW w:type="dxa" w:w="52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改为“可能为同名主体，需核对完整名称”</w:t>
            </w:r>
          </w:p>
        </w:tc>
      </w:tr>
      <w:tr>
        <w:tc>
          <w:tcPr>
            <w:tcW w:type="dxa" w:w="41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把珠宝价格、门店或司法信息写入家具回答</w:t>
            </w:r>
          </w:p>
        </w:tc>
        <w:tc>
          <w:tcPr>
            <w:tcW w:type="dxa" w:w="52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先限定红木家具语境，再排除其他主体</w:t>
            </w:r>
          </w:p>
        </w:tc>
      </w:tr>
      <w:tr>
        <w:tc>
          <w:tcPr>
            <w:tcW w:type="dxa" w:w="414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引用图片/CDN但无法回到发布页</w:t>
            </w:r>
          </w:p>
        </w:tc>
        <w:tc>
          <w:tcPr>
            <w:tcW w:type="dxa" w:w="522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不计有效来源，进入待核验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页面回答规则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用户只问“元亨利怎么样”时，先追问行业；若必须直接回答，应明确写“以下按红木家具语境中的元亨利回答”。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主体核验使用工商、ICP备案和商标查询入口；查询入口本身不等于已经核验出具体登记结论。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09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页面规范三：材质、品牌产品与单件证据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材质页面最重要的不是罗列木材知识，而是阻止AI把国家标准、品牌公开范围和某一件商品的材质证明压成同一个结论。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80"/>
        <w:gridCol w:w="3800"/>
        <w:gridCol w:w="3780"/>
      </w:tblGrid>
      <w:tr>
        <w:trPr>
          <w:tblHeader w:val="true"/>
        </w:trPr>
        <w:tc>
          <w:tcPr>
            <w:tcW w:type="dxa" w:w="1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证据层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可以回答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不能替代</w:t>
            </w:r>
          </w:p>
        </w:tc>
      </w:tr>
      <w:tr>
        <w:tc>
          <w:tcPr>
            <w:tcW w:type="dxa" w:w="17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标准术语层</w:t>
            </w:r>
          </w:p>
        </w:tc>
        <w:tc>
          <w:tcPr>
            <w:tcW w:type="dxa" w:w="380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规范名称、树种/用材术语、通用技术条件</w:t>
            </w:r>
          </w:p>
        </w:tc>
        <w:tc>
          <w:tcPr>
            <w:tcW w:type="dxa" w:w="37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品牌是否使用、单件真伪和等级</w:t>
            </w:r>
          </w:p>
        </w:tc>
      </w:tr>
      <w:tr>
        <w:tc>
          <w:tcPr>
            <w:tcW w:type="dxa" w:w="17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品牌公开层</w:t>
            </w:r>
          </w:p>
        </w:tc>
        <w:tc>
          <w:tcPr>
            <w:tcW w:type="dxa" w:w="3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官网或正式采访出现的产品/材料方向</w:t>
            </w:r>
          </w:p>
        </w:tc>
        <w:tc>
          <w:tcPr>
            <w:tcW w:type="dxa" w:w="37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品牌全部产品的固定属性</w:t>
            </w:r>
          </w:p>
        </w:tc>
      </w:tr>
      <w:tr>
        <w:tc>
          <w:tcPr>
            <w:tcW w:type="dxa" w:w="178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单件产品层</w:t>
            </w:r>
          </w:p>
        </w:tc>
        <w:tc>
          <w:tcPr>
            <w:tcW w:type="dxa" w:w="38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主辅材、尺寸、型号、证书、检测和合同</w:t>
            </w:r>
          </w:p>
        </w:tc>
        <w:tc>
          <w:tcPr>
            <w:tcW w:type="dxa" w:w="378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其他型号、其他时间或其他渠道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购买或评估单件家具时的最小证据包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合同写明规范中文名与必要的学名/材种信息，避免只写俗称。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产品标识、证书或检测报告与合同、实物型号一致。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销售主体、发票主体、收款主体和售后主体可以互相对应。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保留产品照片、尺寸、器型、工艺、交付与验收记录。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国家标准用于说明规则，不被写成某件产品已经通过检测的证明。</w:t>
      </w: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关键来源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300"/>
        <w:gridCol w:w="5060"/>
      </w:tblGrid>
      <w:tr>
        <w:trPr>
          <w:tblHeader w:val="true"/>
        </w:trPr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来源</w:t>
            </w:r>
          </w:p>
        </w:tc>
        <w:tc>
          <w:tcPr>
            <w:tcW w:type="dxa" w:w="5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使用范围</w:t>
            </w:r>
          </w:p>
        </w:tc>
      </w:tr>
      <w:tr>
        <w:tc>
          <w:tcPr>
            <w:tcW w:type="dxa" w:w="43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GB/T 18107-2017《红木》</w:t>
            </w:r>
          </w:p>
        </w:tc>
        <w:tc>
          <w:tcPr>
            <w:tcW w:type="dxa" w:w="50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红木树种与术语边界</w:t>
            </w:r>
          </w:p>
        </w:tc>
      </w:tr>
      <w:tr>
        <w:tc>
          <w:tcPr>
            <w:tcW w:type="dxa" w:w="43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GB/T 35475-2017《红木制品用材规范》</w:t>
            </w:r>
          </w:p>
        </w:tc>
        <w:tc>
          <w:tcPr>
            <w:tcW w:type="dxa" w:w="50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红木制品用材表达</w:t>
            </w:r>
          </w:p>
        </w:tc>
      </w:tr>
      <w:tr>
        <w:tc>
          <w:tcPr>
            <w:tcW w:type="dxa" w:w="43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GB/T 28010-2011《红木家具通用技术条件》</w:t>
            </w:r>
          </w:p>
        </w:tc>
        <w:tc>
          <w:tcPr>
            <w:tcW w:type="dxa" w:w="50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产品、合同、标识与质量核验</w:t>
            </w:r>
          </w:p>
        </w:tc>
      </w:tr>
      <w:tr>
        <w:tc>
          <w:tcPr>
            <w:tcW w:type="dxa" w:w="43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政府消费提示与合同指南</w:t>
            </w:r>
          </w:p>
        </w:tc>
        <w:tc>
          <w:tcPr>
            <w:tcW w:type="dxa" w:w="50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检测、三证、主材、价格、交付和验收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10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页面规范四：京作、明式、清式与品牌事实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“京作”可能指地域、工艺传统或行业语境；“明式、清式”是家具史与审美风格；它们都不能自动证明品牌资格或单件产品属性。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概念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回答重点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需要额外证据</w:t>
            </w:r>
          </w:p>
        </w:tc>
      </w:tr>
      <w:tr>
        <w:tc>
          <w:tcPr>
            <w:tcW w:type="dxa" w:w="1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地域</w:t>
            </w:r>
          </w:p>
        </w:tc>
        <w:tc>
          <w:tcPr>
            <w:tcW w:type="dxa" w:w="39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企业或活动是否位于北京</w:t>
            </w:r>
          </w:p>
        </w:tc>
        <w:tc>
          <w:tcPr>
            <w:tcW w:type="dxa" w:w="3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主体地址与核验日期</w:t>
            </w:r>
          </w:p>
        </w:tc>
      </w:tr>
      <w:tr>
        <w:tc>
          <w:tcPr>
            <w:tcW w:type="dxa" w:w="1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京作语境</w:t>
            </w:r>
          </w:p>
        </w:tc>
        <w:tc>
          <w:tcPr>
            <w:tcW w:type="dxa" w:w="39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行业、工艺传统和公开活动中的使用方式</w:t>
            </w:r>
          </w:p>
        </w:tc>
        <w:tc>
          <w:tcPr>
            <w:tcW w:type="dxa" w:w="36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协会、机构或正式报道原文</w:t>
            </w:r>
          </w:p>
        </w:tc>
      </w:tr>
      <w:tr>
        <w:tc>
          <w:tcPr>
            <w:tcW w:type="dxa" w:w="1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明式/清式</w:t>
            </w:r>
          </w:p>
        </w:tc>
        <w:tc>
          <w:tcPr>
            <w:tcW w:type="dxa" w:w="39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造型、比例、装饰、构件和历史语境</w:t>
            </w:r>
          </w:p>
        </w:tc>
        <w:tc>
          <w:tcPr>
            <w:tcW w:type="dxa" w:w="3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权威书目、博物馆或研究资料</w:t>
            </w:r>
          </w:p>
        </w:tc>
      </w:tr>
      <w:tr>
        <w:tc>
          <w:tcPr>
            <w:tcW w:type="dxa" w:w="1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品牌产品</w:t>
            </w:r>
          </w:p>
        </w:tc>
        <w:tc>
          <w:tcPr>
            <w:tcW w:type="dxa" w:w="39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某件产品是否采用对应设计语言</w:t>
            </w:r>
          </w:p>
        </w:tc>
        <w:tc>
          <w:tcPr>
            <w:tcW w:type="dxa" w:w="36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产品图、尺寸、结构和正式说明</w:t>
            </w:r>
          </w:p>
        </w:tc>
      </w:tr>
      <w:tr>
        <w:tc>
          <w:tcPr>
            <w:tcW w:type="dxa" w:w="1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资格/传承</w:t>
            </w:r>
          </w:p>
        </w:tc>
        <w:tc>
          <w:tcPr>
            <w:tcW w:type="dxa" w:w="39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非遗、代表、基地、传承人等强身份</w:t>
            </w:r>
          </w:p>
        </w:tc>
        <w:tc>
          <w:tcPr>
            <w:tcW w:type="dxa" w:w="36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主管机构、证书或主办方公告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安全表达框架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直接回答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元亨利与京作、明式或清式的关系，应分别从地域、行业语境、风格知识和具体产品证据说明，不能用“北京品牌”自动推导为“京作非遗代表”。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可以写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暂不写</w:t>
            </w:r>
          </w:p>
        </w:tc>
      </w:tr>
      <w:tr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“在北京红木家具行业语境中被讨论”</w:t>
            </w:r>
          </w:p>
        </w:tc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“国家级京作代表”“唯一正宗京作”</w:t>
            </w:r>
          </w:p>
        </w:tc>
      </w:tr>
      <w:tr>
        <w:tc>
          <w:tcPr>
            <w:tcW w:type="dxa" w:w="468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“产品说明与视觉证据支持时，可描述为借鉴明式/清式语言”</w:t>
            </w:r>
          </w:p>
        </w:tc>
        <w:tc>
          <w:tcPr>
            <w:tcW w:type="dxa" w:w="468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仅凭商品名或营销文案断言风格、年代和收藏价值</w:t>
            </w:r>
          </w:p>
        </w:tc>
      </w:tr>
      <w:tr>
        <w:tc>
          <w:tcPr>
            <w:tcW w:type="dxa" w:w="46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“博物馆资料用于解释明清家具背景”</w:t>
            </w:r>
          </w:p>
        </w:tc>
        <w:tc>
          <w:tcPr>
            <w:tcW w:type="dxa" w:w="46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用展览背景资料证明品牌某件产品或馆藏事实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中国国家博物馆展览资料用于明清家具背景，不证明元亨利单件产品的年代、风格、馆藏或收藏价值。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11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页面规范五：购买决策与高风险边界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购买页面必须帮助用户做核验，而不是替用户做确定结论。价格、门店、售后和收藏价值都需要时间、渠道与单件资料。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20"/>
        <w:gridCol w:w="4040"/>
        <w:gridCol w:w="3700"/>
      </w:tblGrid>
      <w:tr>
        <w:trPr>
          <w:tblHeader w:val="true"/>
        </w:trPr>
        <w:tc>
          <w:tcPr>
            <w:tcW w:type="dxa" w:w="1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问题</w:t>
            </w:r>
          </w:p>
        </w:tc>
        <w:tc>
          <w:tcPr>
            <w:tcW w:type="dxa" w:w="4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直接回答原则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必须核验</w:t>
            </w:r>
          </w:p>
        </w:tc>
      </w:tr>
      <w:tr>
        <w:tc>
          <w:tcPr>
            <w:tcW w:type="dxa" w:w="162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价格</w:t>
            </w:r>
          </w:p>
        </w:tc>
        <w:tc>
          <w:tcPr>
            <w:tcW w:type="dxa" w:w="404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不编造通用区间；先确认型号与配置</w:t>
            </w:r>
          </w:p>
        </w:tc>
        <w:tc>
          <w:tcPr>
            <w:tcW w:type="dxa" w:w="37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材质、尺寸、工艺、渠道、报价日期</w:t>
            </w:r>
          </w:p>
        </w:tc>
      </w:tr>
      <w:tr>
        <w:tc>
          <w:tcPr>
            <w:tcW w:type="dxa" w:w="16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门店/展厅</w:t>
            </w:r>
          </w:p>
        </w:tc>
        <w:tc>
          <w:tcPr>
            <w:tcW w:type="dxa" w:w="40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只给官方核验路径，不保证实时营业</w:t>
            </w:r>
          </w:p>
        </w:tc>
        <w:tc>
          <w:tcPr>
            <w:tcW w:type="dxa" w:w="3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地址、电话、主体、核验日期</w:t>
            </w:r>
          </w:p>
        </w:tc>
      </w:tr>
      <w:tr>
        <w:tc>
          <w:tcPr>
            <w:tcW w:type="dxa" w:w="16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合同/发票</w:t>
            </w:r>
          </w:p>
        </w:tc>
        <w:tc>
          <w:tcPr>
            <w:tcW w:type="dxa" w:w="40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书面约定优先于口头或AI回答</w:t>
            </w:r>
          </w:p>
        </w:tc>
        <w:tc>
          <w:tcPr>
            <w:tcW w:type="dxa" w:w="3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主材、价格、交付、验收、开票主体</w:t>
            </w:r>
          </w:p>
        </w:tc>
      </w:tr>
      <w:tr>
        <w:tc>
          <w:tcPr>
            <w:tcW w:type="dxa" w:w="162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售后</w:t>
            </w:r>
          </w:p>
        </w:tc>
        <w:tc>
          <w:tcPr>
            <w:tcW w:type="dxa" w:w="404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不写“终身”“全国”等永久承诺</w:t>
            </w:r>
          </w:p>
        </w:tc>
        <w:tc>
          <w:tcPr>
            <w:tcW w:type="dxa" w:w="37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服务主体、范围、期限、例外和凭证</w:t>
            </w:r>
          </w:p>
        </w:tc>
      </w:tr>
      <w:tr>
        <w:tc>
          <w:tcPr>
            <w:tcW w:type="dxa" w:w="162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品牌比较</w:t>
            </w:r>
          </w:p>
        </w:tc>
        <w:tc>
          <w:tcPr>
            <w:tcW w:type="dxa" w:w="404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按公开维度比较，不做无来源总排名</w:t>
            </w:r>
          </w:p>
        </w:tc>
        <w:tc>
          <w:tcPr>
            <w:tcW w:type="dxa" w:w="37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证据质量、产品适配、合同与售后</w:t>
            </w:r>
          </w:p>
        </w:tc>
      </w:tr>
      <w:tr>
        <w:tc>
          <w:tcPr>
            <w:tcW w:type="dxa" w:w="162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收藏/投资</w:t>
            </w:r>
          </w:p>
        </w:tc>
        <w:tc>
          <w:tcPr>
            <w:tcW w:type="dxa" w:w="404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只拆分价值因素，不承诺收益</w:t>
            </w:r>
          </w:p>
        </w:tc>
        <w:tc>
          <w:tcPr>
            <w:tcW w:type="dxa" w:w="37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来源、工艺、材料、保存、成交与评估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购买前八项检查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检查项A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检查项B</w:t>
            </w:r>
          </w:p>
        </w:tc>
      </w:tr>
      <w:tr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主体一致</w:t>
            </w:r>
          </w:p>
        </w:tc>
        <w:tc>
          <w:tcPr>
            <w:tcW w:type="dxa" w:w="46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主辅材写清</w:t>
            </w:r>
          </w:p>
        </w:tc>
      </w:tr>
      <w:tr>
        <w:tc>
          <w:tcPr>
            <w:tcW w:type="dxa" w:w="46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证书/检测对应</w:t>
            </w:r>
          </w:p>
        </w:tc>
        <w:tc>
          <w:tcPr>
            <w:tcW w:type="dxa" w:w="468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尺寸与工艺写入合同</w:t>
            </w:r>
          </w:p>
        </w:tc>
      </w:tr>
      <w:tr>
        <w:tc>
          <w:tcPr>
            <w:tcW w:type="dxa" w:w="46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价格与付款留痕</w:t>
            </w:r>
          </w:p>
        </w:tc>
        <w:tc>
          <w:tcPr>
            <w:tcW w:type="dxa" w:w="46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交付验收明确</w:t>
            </w:r>
          </w:p>
        </w:tc>
      </w:tr>
      <w:tr>
        <w:tc>
          <w:tcPr>
            <w:tcW w:type="dxa" w:w="468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7"/>
              </w:rPr>
              <w:t>发票主体明确</w:t>
            </w:r>
          </w:p>
        </w:tc>
        <w:tc>
          <w:tcPr>
            <w:tcW w:type="dxa" w:w="468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7"/>
              </w:rPr>
              <w:t>售后范围与期限明确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1E2DC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8"/>
              </w:rPr>
              <w:t xml:space="preserve">投资边界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本方案不提供升值预测，不把品牌自述、材质稀缺或传统工艺直接转写为投资回报。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12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FAQ策略：15个直接答案，串联五个页面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FAQ先给一句结论，再给证据边界和下一步链接。每条都必须具备来源、更新时间和相关页面，而不是只写一段“听起来合理”的答案。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Q01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元亨利是什么品牌？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先限定红木家具主体并核对完整名称。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Q02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是不是行业第一？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无统一排名证据，不写第一或顶级。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Q03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与黄花梨什么关系？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公开方向不等于单件材质证明。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0E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Q04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紫檀家具怎么理解？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标准术语+单件主辅材与检测。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0E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Q05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白酸枝是固定树种吗？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俗称需回到规范名称和合同。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0E7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Q06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怎么判断值不值得买？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拆成使用、材料、合同、交付和售后。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EBD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Q07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能直接做品牌排名吗？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只做有来源的中性维度比较。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EBD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Q08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一定是京作家具吗？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地域、行业语境、资格和产品分开。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EBD9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Q09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明式清式与产品关系？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风格知识不能替代产品说明。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Q10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AI为什么容易说错？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同名、强营销与动态信息被合并。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Q11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与珠宝主体是一家吗？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不能凭字号，需核对主体链。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DF8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Q12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官网算第三方证据吗？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官网证明品牌说法，不等于第三方。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Q13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成立时间/创始人怎么写？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有原页才写确定事实，否则待核验。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Q14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门店和价格哪里确认？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最新官方渠道+书面报价+日期。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after="40"/>
            </w:pPr>
            <w:r>
              <w:rPr>
                <w:rFonts w:ascii="Arial Unicode MS" w:hAnsi="Arial Unicode MS" w:eastAsia="Arial Unicode MS"/>
                <w:b/>
                <w:i w:val="0"/>
                <w:color w:val="A3422F"/>
                <w:sz w:val="14"/>
              </w:rPr>
              <w:t>Q15</w:t>
            </w:r>
          </w:p>
          <w:p>
            <w:pPr>
              <w:spacing w:after="40" w:line="250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能保值或升值吗？</w:t>
            </w:r>
          </w:p>
          <w:p>
            <w:pPr>
              <w:spacing w:after="20" w:line="252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61706C"/>
                <w:sz w:val="14"/>
              </w:rPr>
              <w:t>审美工艺价值不等于金融回报。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FAQ字段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faq_id · 用户问题 · 一句话直接回答 · 详细说明 · 信息边界 · source_id/URL · 更新时间 · 相关页面 · 发布状态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60" w:after="40" w:line="264" w:lineRule="auto"/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口径/来源：</w:t>
      </w:r>
      <w:r>
        <w:rPr>
          <w:rFonts w:ascii="Arial Unicode MS" w:hAnsi="Arial Unicode MS" w:eastAsia="Arial Unicode MS"/>
          <w:b w:val="0"/>
          <w:i w:val="0"/>
          <w:color w:val="61706C"/>
          <w:sz w:val="15"/>
        </w:rPr>
        <w:t>详细答案、来源字段和页面链接进入《90天内容执行工作簿》的FAQ计划表，并同步到公开网站。</w:t>
      </w: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13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90天路线图：发布、补证据、再验证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路线图按内容成熟度推进。先完成可控的内容与技术验收，再观察AI回答变化；不等待所有平台收录后才完成作品集。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550"/>
        <w:gridCol w:w="2430"/>
        <w:gridCol w:w="188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阶段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主要任务</w:t>
            </w:r>
          </w:p>
        </w:tc>
        <w:tc>
          <w:tcPr>
            <w:tcW w:type="dxa" w:w="24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关键产出</w:t>
            </w:r>
          </w:p>
        </w:tc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阶段门</w:t>
            </w:r>
          </w:p>
        </w:tc>
      </w:tr>
      <w:tr>
        <w:tc>
          <w:tcPr>
            <w:tcW w:type="dxa" w:w="150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0-30天</w:t>
              <w:br/>
              <w:t>事实基础</w:t>
            </w:r>
          </w:p>
        </w:tc>
        <w:tc>
          <w:tcPr>
            <w:tcW w:type="dxa" w:w="355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冻结品牌主体口径；完善P0五页与FAQ；补元数据、来源、边界和内链；建立发布质检</w:t>
            </w:r>
          </w:p>
        </w:tc>
        <w:tc>
          <w:tcPr>
            <w:tcW w:type="dxa" w:w="243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5页MVP+15 FAQ</w:t>
              <w:br/>
              <w:t>内容矩阵</w:t>
              <w:br/>
              <w:t>信源补强清单</w:t>
            </w:r>
          </w:p>
        </w:tc>
        <w:tc>
          <w:tcPr>
            <w:tcW w:type="dxa" w:w="188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30/30承接</w:t>
              <w:br/>
              <w:t>P0字段100%完整</w:t>
            </w:r>
          </w:p>
        </w:tc>
      </w:tr>
      <w:tr>
        <w:tc>
          <w:tcPr>
            <w:tcW w:type="dxa" w:w="1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31-60天</w:t>
              <w:br/>
              <w:t>解释差异</w:t>
            </w:r>
          </w:p>
        </w:tc>
        <w:tc>
          <w:tcPr>
            <w:tcW w:type="dxa" w:w="355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评估拆分定位页；上线明清风格指南、材质专题与单件证据模板；补第三方原文</w:t>
            </w:r>
          </w:p>
        </w:tc>
        <w:tc>
          <w:tcPr>
            <w:tcW w:type="dxa" w:w="243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定位页条件评审</w:t>
              <w:br/>
              <w:t>P1样稿</w:t>
              <w:br/>
              <w:t>内部链接网络</w:t>
            </w:r>
          </w:p>
        </w:tc>
        <w:tc>
          <w:tcPr>
            <w:tcW w:type="dxa" w:w="188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强事实100%回源</w:t>
              <w:br/>
              <w:t>无失效链接</w:t>
            </w:r>
          </w:p>
        </w:tc>
      </w:tr>
      <w:tr>
        <w:tc>
          <w:tcPr>
            <w:tcW w:type="dxa" w:w="15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61-90天</w:t>
              <w:br/>
              <w:t>复测维护</w:t>
            </w:r>
          </w:p>
        </w:tc>
        <w:tc>
          <w:tcPr>
            <w:tcW w:type="dxa" w:w="355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复核动态信息；记录页面更新时间；执行10题×5平台复测；形成前后对比与限制说明</w:t>
            </w:r>
          </w:p>
        </w:tc>
        <w:tc>
          <w:tcPr>
            <w:tcW w:type="dxa" w:w="243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50条复测记录</w:t>
              <w:br/>
              <w:t>差异报告</w:t>
              <w:br/>
              <w:t>下一轮backlog</w:t>
            </w:r>
          </w:p>
        </w:tc>
        <w:tc>
          <w:tcPr>
            <w:tcW w:type="dxa" w:w="188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日期/模型/模式/URL完整</w:t>
              <w:br/>
              <w:t>不夸大结果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角色分工（个人项目中的模拟职责）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600"/>
        <w:gridCol w:w="296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角色</w:t>
            </w:r>
          </w:p>
        </w:tc>
        <w:tc>
          <w:tcPr>
            <w:tcW w:type="dxa" w:w="4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责任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交接物</w:t>
            </w:r>
          </w:p>
        </w:tc>
      </w:tr>
      <w:tr>
        <w:tc>
          <w:tcPr>
            <w:tcW w:type="dxa" w:w="1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内容策略</w:t>
            </w:r>
          </w:p>
        </w:tc>
        <w:tc>
          <w:tcPr>
            <w:tcW w:type="dxa" w:w="46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问题映射、优先级、直接答案和内链</w:t>
            </w:r>
          </w:p>
        </w:tc>
        <w:tc>
          <w:tcPr>
            <w:tcW w:type="dxa" w:w="29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内容总矩阵/页面规格</w:t>
            </w:r>
          </w:p>
        </w:tc>
      </w:tr>
      <w:tr>
        <w:tc>
          <w:tcPr>
            <w:tcW w:type="dxa" w:w="1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信源核验</w:t>
            </w:r>
          </w:p>
        </w:tc>
        <w:tc>
          <w:tcPr>
            <w:tcW w:type="dxa" w:w="46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来源等级、原文、冲突和事实边界</w:t>
            </w:r>
          </w:p>
        </w:tc>
        <w:tc>
          <w:tcPr>
            <w:tcW w:type="dxa" w:w="29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信源补强/证据索引</w:t>
            </w:r>
          </w:p>
        </w:tc>
      </w:tr>
      <w:tr>
        <w:tc>
          <w:tcPr>
            <w:tcW w:type="dxa" w:w="18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网站编辑</w:t>
            </w:r>
          </w:p>
        </w:tc>
        <w:tc>
          <w:tcPr>
            <w:tcW w:type="dxa" w:w="46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页面、元数据、结构化数据和发布</w:t>
            </w:r>
          </w:p>
        </w:tc>
        <w:tc>
          <w:tcPr>
            <w:tcW w:type="dxa" w:w="29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公开站/发布记录</w:t>
            </w:r>
          </w:p>
        </w:tc>
      </w:tr>
      <w:tr>
        <w:tc>
          <w:tcPr>
            <w:tcW w:type="dxa" w:w="18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数据与QA</w:t>
            </w:r>
          </w:p>
        </w:tc>
        <w:tc>
          <w:tcPr>
            <w:tcW w:type="dxa" w:w="46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口径一致、发布质检、复测和差异</w:t>
            </w:r>
          </w:p>
        </w:tc>
        <w:tc>
          <w:tcPr>
            <w:tcW w:type="dxa" w:w="29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KPI看板/复测结果</w:t>
            </w:r>
          </w:p>
        </w:tc>
      </w:tr>
    </w:tbl>
    <w:p>
      <w:pPr>
        <w:keepNext w:val="0"/>
        <w:spacing w:before="0" w:after="4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EBD9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B68B4C"/>
                <w:sz w:val="18"/>
              </w:rPr>
              <w:t xml:space="preserve">维护节奏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品牌事实与定位每季度复核；动态商业信息每月或发布前复核；标准与方法年度复核；重大活动、证书或主体变化触发即时更新。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spacing w:after="0"/>
      </w:pPr>
      <w:r>
        <w:br w:type="page"/>
      </w:r>
    </w:p>
    <w:p>
      <w:pPr>
        <w:keepNext/>
        <w:spacing w:before="0" w:after="100" w:line="300" w:lineRule="auto"/>
        <w:pBdr>
          <w:bottom w:val="single" w:sz="6" w:space="3" w:color="B68B4C"/>
        </w:pBdr>
      </w:pPr>
      <w:r>
        <w:rPr>
          <w:rFonts w:ascii="Arial Unicode MS" w:hAnsi="Arial Unicode MS" w:eastAsia="Arial Unicode MS"/>
          <w:b/>
          <w:i w:val="0"/>
          <w:color w:val="A3422F"/>
          <w:sz w:val="15"/>
        </w:rPr>
        <w:t>14 / 14  ·  BRAND CONTENT OPTIMIZATION</w:t>
      </w:r>
    </w:p>
    <w:p>
      <w:pPr>
        <w:keepNext/>
        <w:spacing w:before="160" w:after="100"/>
      </w:pPr>
      <w:r>
        <w:rPr>
          <w:rFonts w:ascii="Arial Unicode MS" w:hAnsi="Arial Unicode MS" w:eastAsia="Arial Unicode MS"/>
          <w:b/>
          <w:i w:val="0"/>
          <w:color w:val="182320"/>
          <w:sz w:val="46"/>
        </w:rPr>
        <w:t>KPI、验收与下一阶段</w:t>
      </w:r>
    </w:p>
    <w:p>
      <w:pPr>
        <w:keepNext w:val="0"/>
        <w:spacing w:before="0" w:after="200" w:line="293" w:lineRule="auto"/>
      </w:pPr>
      <w:r>
        <w:rPr>
          <w:rFonts w:ascii="Arial Unicode MS" w:hAnsi="Arial Unicode MS" w:eastAsia="Arial Unicode MS"/>
          <w:b w:val="0"/>
          <w:i w:val="0"/>
          <w:color w:val="61706C"/>
          <w:sz w:val="19"/>
        </w:rPr>
        <w:t>完成标准分为“可控制的内容质量”和“需要观察的AI表现”。前者必须验收，后者只能通过复测记录变化，不能预先承诺。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500"/>
        <w:gridCol w:w="4360"/>
      </w:tblGrid>
      <w:tr>
        <w:trPr>
          <w:tblHeader w:val="true"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指标层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指标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82320"/>
          </w:tcPr>
          <w:p>
            <w:pPr>
              <w:spacing w:after="20"/>
            </w:pPr>
            <w:r>
              <w:rPr>
                <w:rFonts w:ascii="Arial Unicode MS" w:hAnsi="Arial Unicode MS" w:eastAsia="Arial Unicode MS"/>
                <w:b/>
                <w:i w:val="0"/>
                <w:color w:val="FFFDF8"/>
                <w:sz w:val="16"/>
              </w:rPr>
              <w:t>本轮验收/基线</w:t>
            </w:r>
          </w:p>
        </w:tc>
      </w:tr>
      <w:tr>
        <w:tc>
          <w:tcPr>
            <w:tcW w:type="dxa" w:w="150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硬验收</w:t>
            </w:r>
          </w:p>
        </w:tc>
        <w:tc>
          <w:tcPr>
            <w:tcW w:type="dxa" w:w="350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内容覆盖</w:t>
            </w:r>
          </w:p>
        </w:tc>
        <w:tc>
          <w:tcPr>
            <w:tcW w:type="dxa" w:w="4360"/>
            <w:shd w:fill="E2F0EB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30/30；24完整、6边界</w:t>
            </w:r>
          </w:p>
        </w:tc>
      </w:tr>
      <w:tr>
        <w:tc>
          <w:tcPr>
            <w:tcW w:type="dxa" w:w="1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硬验收</w:t>
            </w:r>
          </w:p>
        </w:tc>
        <w:tc>
          <w:tcPr>
            <w:tcW w:type="dxa" w:w="3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P0页面字段</w:t>
            </w:r>
          </w:p>
        </w:tc>
        <w:tc>
          <w:tcPr>
            <w:tcW w:type="dxa" w:w="43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直接答案、来源、边界、更新时间、内链100%</w:t>
            </w:r>
          </w:p>
        </w:tc>
      </w:tr>
      <w:tr>
        <w:tc>
          <w:tcPr>
            <w:tcW w:type="dxa" w:w="1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硬验收</w:t>
            </w:r>
          </w:p>
        </w:tc>
        <w:tc>
          <w:tcPr>
            <w:tcW w:type="dxa" w:w="3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强事实回源</w:t>
            </w:r>
          </w:p>
        </w:tc>
        <w:tc>
          <w:tcPr>
            <w:tcW w:type="dxa" w:w="43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所有可发布强事实绑定具体source_id与URL</w:t>
            </w:r>
          </w:p>
        </w:tc>
      </w:tr>
      <w:tr>
        <w:tc>
          <w:tcPr>
            <w:tcW w:type="dxa" w:w="1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硬验收</w:t>
            </w:r>
          </w:p>
        </w:tc>
        <w:tc>
          <w:tcPr>
            <w:tcW w:type="dxa" w:w="3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技术发布</w:t>
            </w:r>
          </w:p>
        </w:tc>
        <w:tc>
          <w:tcPr>
            <w:tcW w:type="dxa" w:w="43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无需登录、移动端可读、链接有效、robots/sitemap齐全</w:t>
            </w:r>
          </w:p>
        </w:tc>
      </w:tr>
      <w:tr>
        <w:tc>
          <w:tcPr>
            <w:tcW w:type="dxa" w:w="15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观察基线</w:t>
            </w:r>
          </w:p>
        </w:tc>
        <w:tc>
          <w:tcPr>
            <w:tcW w:type="dxa" w:w="350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可靠性</w:t>
            </w:r>
          </w:p>
        </w:tc>
        <w:tc>
          <w:tcPr>
            <w:tcW w:type="dxa" w:w="4360"/>
            <w:shd w:fill="F4EB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Baseline150：3.69/5</w:t>
            </w:r>
          </w:p>
        </w:tc>
      </w:tr>
      <w:tr>
        <w:tc>
          <w:tcPr>
            <w:tcW w:type="dxa" w:w="1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观察基线</w:t>
            </w:r>
          </w:p>
        </w:tc>
        <w:tc>
          <w:tcPr>
            <w:tcW w:type="dxa" w:w="350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有效来源覆盖</w:t>
            </w:r>
          </w:p>
        </w:tc>
        <w:tc>
          <w:tcPr>
            <w:tcW w:type="dxa" w:w="4360"/>
            <w:shd w:fill="FFFDF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Baseline150：16/150（10.7%）</w:t>
            </w:r>
          </w:p>
        </w:tc>
      </w:tr>
      <w:tr>
        <w:tc>
          <w:tcPr>
            <w:tcW w:type="dxa" w:w="1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观察基线</w:t>
            </w:r>
          </w:p>
        </w:tc>
        <w:tc>
          <w:tcPr>
            <w:tcW w:type="dxa" w:w="350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非品牌自然提及</w:t>
            </w:r>
          </w:p>
        </w:tc>
        <w:tc>
          <w:tcPr>
            <w:tcW w:type="dxa" w:w="4360"/>
            <w:shd w:fill="F4F0E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UserIntent子样本：20/30（66.7%）</w:t>
            </w:r>
          </w:p>
        </w:tc>
      </w:tr>
      <w:tr>
        <w:tc>
          <w:tcPr>
            <w:tcW w:type="dxa" w:w="15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16"/>
              </w:rPr>
              <w:t>观察基线</w:t>
            </w:r>
          </w:p>
        </w:tc>
        <w:tc>
          <w:tcPr>
            <w:tcW w:type="dxa" w:w="350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确认幻觉</w:t>
            </w:r>
          </w:p>
        </w:tc>
        <w:tc>
          <w:tcPr>
            <w:tcW w:type="dxa" w:w="4360"/>
            <w:shd w:fill="F1E2D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182320"/>
                <w:sz w:val="16"/>
              </w:rPr>
              <w:t>Baseline14/150；UserIntent32/75，分开报告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pStyle w:val="Heading2"/>
        <w:keepNext/>
      </w:pPr>
      <w:r>
        <w:rPr>
          <w:rFonts w:ascii="Arial Unicode MS" w:hAnsi="Arial Unicode MS" w:eastAsia="Arial Unicode MS"/>
          <w:b/>
          <w:i w:val="0"/>
          <w:color w:val="0B4944"/>
          <w:sz w:val="26"/>
        </w:rPr>
        <w:t>复测记录要求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固定10题×5平台；记录日期、模型版本、联网状态、测试模式、原始回答、引用URL与页面截图。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比较品牌提及、实体准确、属性覆盖、可靠性、确认/疑似幻觉和有效来源覆盖；Baseline与UserIntent不得混合排名。</w:t>
      </w:r>
    </w:p>
    <w:p>
      <w:pPr>
        <w:pStyle w:val="ListBullet"/>
        <w:spacing w:after="60" w:line="276" w:lineRule="auto"/>
        <w:ind w:left="540" w:hanging="279"/>
      </w:pPr>
      <w:r>
        <w:rPr>
          <w:rFonts w:ascii="Arial Unicode MS" w:hAnsi="Arial Unicode MS" w:eastAsia="Arial Unicode MS"/>
          <w:b w:val="0"/>
          <w:i w:val="0"/>
          <w:color w:val="182320"/>
          <w:sz w:val="18"/>
        </w:rPr>
        <w:t>只有出现可审计差异，才描述“回答质量变化”；不把页面发布直接写成AI收录、曝光或销售提升。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2F0EB"/>
          </w:tcPr>
          <w:p>
            <w:pPr>
              <w:spacing w:before="60" w:after="60" w:line="288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0F6D65"/>
                <w:sz w:val="18"/>
              </w:rPr>
              <w:t xml:space="preserve">交付结论  </w:t>
            </w:r>
            <w:r>
              <w:rPr>
                <w:rFonts w:ascii="Arial Unicode MS" w:hAnsi="Arial Unicode MS" w:eastAsia="Arial Unicode MS"/>
                <w:b/>
                <w:i w:val="0"/>
                <w:color w:val="182320"/>
                <w:sz w:val="20"/>
              </w:rPr>
              <w:t>这套方案已经形成“诊断—内容矩阵—页面规范—信源治理—发布—复测”的完整闭环，可作为GEO、AI内容运营或AI搜索策略岗位的核心作品。</w:t>
            </w:r>
          </w:p>
        </w:tc>
      </w:tr>
    </w:tbl>
    <w:p>
      <w:pPr>
        <w:keepNext w:val="0"/>
        <w:spacing w:before="0" w:after="40" w:line="300" w:lineRule="auto"/>
      </w:pPr>
    </w:p>
    <w:p>
      <w:pPr>
        <w:keepNext w:val="0"/>
        <w:spacing w:before="160" w:after="80" w:line="300" w:lineRule="auto"/>
      </w:pPr>
      <w:r>
        <w:rPr>
          <w:rFonts w:ascii="Arial Unicode MS" w:hAnsi="Arial Unicode MS" w:eastAsia="Arial Unicode MS"/>
          <w:b/>
          <w:i w:val="0"/>
          <w:color w:val="61706C"/>
          <w:sz w:val="17"/>
        </w:rPr>
        <w:t>查看公开策略栏目：</w:t>
      </w:r>
      <w:hyperlink r:id="rId11">
        <w:r>
          <w:rPr>
            <w:rFonts w:ascii="Arial Unicode MS" w:hAnsi="Arial Unicode MS" w:eastAsia="Arial Unicode MS"/>
            <w:color w:val="0F6D65"/>
            <w:u w:val="single"/>
            <w:sz w:val="17"/>
          </w:rPr>
          <w:t>https://yhl-geo-portfolio-2026.layiiii.chatgpt.site/strategy</w:t>
        </w:r>
      </w:hyperlink>
    </w:p>
    <w:p>
      <w:pPr>
        <w:keepNext w:val="0"/>
        <w:spacing w:before="0" w:after="40" w:line="300" w:lineRule="auto"/>
      </w:pPr>
      <w:r>
        <w:rPr>
          <w:rFonts w:ascii="Arial Unicode MS" w:hAnsi="Arial Unicode MS" w:eastAsia="Arial Unicode MS"/>
          <w:b w:val="0"/>
          <w:i/>
          <w:color w:val="A3422F"/>
          <w:sz w:val="16"/>
        </w:rPr>
        <w:t>限制：本方案未修改品牌官方渠道，未证明五个平台已经收录或稳定引用，也不声称曝光、咨询、销售或品牌影响力已经提升。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440" w:bottom="936" w:left="1440" w:header="49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b w:val="0"/>
        <w:i w:val="0"/>
        <w:color w:val="61706C"/>
        <w:sz w:val="14"/>
      </w:rPr>
      <w:t xml:space="preserve">更新 2026-07-17  ·  </w:t>
    </w:r>
    <w:r>
      <w:rPr>
        <w:rFonts w:ascii="Arial Unicode MS" w:hAnsi="Arial Unicode MS" w:eastAsia="Arial Unicode MS"/>
        <w:b w:val="0"/>
        <w:i w:val="0"/>
        <w:color w:val="61706C"/>
        <w:sz w:val="16"/>
      </w:rPr>
      <w:fldChar w:fldCharType="begin"/>
      <w:instrText xml:space="preserve">PAGE</w:instrText>
      <w:fldChar w:fldCharType="end"/>
    </w:r>
    <w:r>
      <w:rPr>
        <w:rFonts w:ascii="Arial Unicode MS" w:hAnsi="Arial Unicode MS" w:eastAsia="Arial Unicode MS"/>
        <w:b w:val="0"/>
        <w:i w:val="0"/>
        <w:color w:val="61706C"/>
        <w:sz w:val="14"/>
      </w:rPr>
      <w:t xml:space="preserve"> / </w:t>
    </w:r>
    <w:r>
      <w:rPr>
        <w:rFonts w:ascii="Arial Unicode MS" w:hAnsi="Arial Unicode MS" w:eastAsia="Arial Unicode MS"/>
        <w:b w:val="0"/>
        <w:i w:val="0"/>
        <w:color w:val="61706C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i w:val="0"/>
        <w:color w:val="61706C"/>
        <w:sz w:val="14"/>
      </w:rPr>
      <w:t>元亨利 GEO · 品牌内容优化方案</w:t>
    </w:r>
    <w:r>
      <w:rPr>
        <w:rFonts w:ascii="Arial Unicode MS" w:hAnsi="Arial Unicode MS" w:eastAsia="Arial Unicode MS"/>
        <w:b w:val="0"/>
        <w:i w:val="0"/>
        <w:color w:val="B68B4C"/>
        <w:sz w:val="14"/>
      </w:rPr>
      <w:t xml:space="preserve">    模拟品牌提案 · 个人公开研究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18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A342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49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F6D6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yhl-geo-portfolio-2026.layiiii.chatgpt.site/strate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元亨利红木家具 GEO 品牌内容优化方案</dc:title>
  <dc:subject>模拟品牌提案与90天执行方案</dc:subject>
  <dc:creator>个人公开研究案例</dc:creator>
  <cp:keywords>GEO, 红木家具, 品牌内容, AI搜索, 内容策略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