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Detailed Cohort Inclusion/Exclusion Flowchart</w:t>
      </w:r>
    </w:p>
    <w:p>
      <w:r>
        <w:t>A total of 235,629 tuberculosis notifications were recorded in TBWeb, São Paulo, Brazil, between 2013 and 2023, representing 219,282 individuals with a first tuberculosis episode.</w:t>
      </w:r>
    </w:p>
    <w:p>
      <w:pPr>
        <w:pStyle w:val="Heading1"/>
      </w:pPr>
      <w:r>
        <w:t>Step-by-Step Attrition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Selection Criteria</w:t>
            </w:r>
          </w:p>
        </w:tc>
        <w:tc>
          <w:tcPr>
            <w:tcW w:type="dxa" w:w="2880"/>
          </w:tcPr>
          <w:p>
            <w:r>
              <w:t>N Excluded</w:t>
            </w:r>
          </w:p>
        </w:tc>
        <w:tc>
          <w:tcPr>
            <w:tcW w:type="dxa" w:w="2880"/>
          </w:tcPr>
          <w:p>
            <w:r>
              <w:t>N Remaining</w:t>
            </w:r>
          </w:p>
        </w:tc>
      </w:tr>
      <w:tr>
        <w:tc>
          <w:tcPr>
            <w:tcW w:type="dxa" w:w="2880"/>
          </w:tcPr>
          <w:p>
            <w:r>
              <w:t>Total tuberculosis notifications (2013–2023)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235,629</w:t>
            </w:r>
          </w:p>
        </w:tc>
      </w:tr>
      <w:tr>
        <w:tc>
          <w:tcPr>
            <w:tcW w:type="dxa" w:w="2880"/>
          </w:tcPr>
          <w:p>
            <w:r>
              <w:t>Restriction to individuals with first tuberculosis episode</w:t>
            </w:r>
          </w:p>
        </w:tc>
        <w:tc>
          <w:tcPr>
            <w:tcW w:type="dxa" w:w="2880"/>
          </w:tcPr>
          <w:p>
            <w:r>
              <w:t>16,347</w:t>
            </w:r>
          </w:p>
        </w:tc>
        <w:tc>
          <w:tcPr>
            <w:tcW w:type="dxa" w:w="2880"/>
          </w:tcPr>
          <w:p>
            <w:r>
              <w:t>219,282</w:t>
            </w:r>
          </w:p>
        </w:tc>
      </w:tr>
      <w:tr>
        <w:tc>
          <w:tcPr>
            <w:tcW w:type="dxa" w:w="2880"/>
          </w:tcPr>
          <w:p>
            <w:r>
              <w:t>Excluded due to a change of diagnosis</w:t>
            </w:r>
          </w:p>
        </w:tc>
        <w:tc>
          <w:tcPr>
            <w:tcW w:type="dxa" w:w="2880"/>
          </w:tcPr>
          <w:p>
            <w:r>
              <w:t>6,552</w:t>
            </w:r>
          </w:p>
        </w:tc>
        <w:tc>
          <w:tcPr>
            <w:tcW w:type="dxa" w:w="2880"/>
          </w:tcPr>
          <w:p>
            <w:r>
              <w:t>212,730</w:t>
            </w:r>
          </w:p>
        </w:tc>
      </w:tr>
      <w:tr>
        <w:tc>
          <w:tcPr>
            <w:tcW w:type="dxa" w:w="2880"/>
          </w:tcPr>
          <w:p>
            <w:r>
              <w:t>Excluded due to missing or incomplete outcome information</w:t>
            </w:r>
          </w:p>
        </w:tc>
        <w:tc>
          <w:tcPr>
            <w:tcW w:type="dxa" w:w="2880"/>
          </w:tcPr>
          <w:p>
            <w:r>
              <w:t>12,430</w:t>
            </w:r>
          </w:p>
        </w:tc>
        <w:tc>
          <w:tcPr>
            <w:tcW w:type="dxa" w:w="2880"/>
          </w:tcPr>
          <w:p>
            <w:r>
              <w:t>200,300</w:t>
            </w:r>
          </w:p>
        </w:tc>
      </w:tr>
      <w:tr>
        <w:tc>
          <w:tcPr>
            <w:tcW w:type="dxa" w:w="2880"/>
          </w:tcPr>
          <w:p>
            <w:r>
              <w:t>Excluded due to transfer during treatment to another state or country</w:t>
            </w:r>
          </w:p>
        </w:tc>
        <w:tc>
          <w:tcPr>
            <w:tcW w:type="dxa" w:w="2880"/>
          </w:tcPr>
          <w:p>
            <w:r>
              <w:t>1,801</w:t>
            </w:r>
          </w:p>
        </w:tc>
        <w:tc>
          <w:tcPr>
            <w:tcW w:type="dxa" w:w="2880"/>
          </w:tcPr>
          <w:p>
            <w:r>
              <w:t>198,499</w:t>
            </w:r>
          </w:p>
        </w:tc>
      </w:tr>
      <w:tr>
        <w:tc>
          <w:tcPr>
            <w:tcW w:type="dxa" w:w="2880"/>
          </w:tcPr>
          <w:p>
            <w:r>
              <w:t>Excluded individuals aged &lt;15 years</w:t>
            </w:r>
          </w:p>
        </w:tc>
        <w:tc>
          <w:tcPr>
            <w:tcW w:type="dxa" w:w="2880"/>
          </w:tcPr>
          <w:p>
            <w:r>
              <w:t>6,238</w:t>
            </w:r>
          </w:p>
        </w:tc>
        <w:tc>
          <w:tcPr>
            <w:tcW w:type="dxa" w:w="2880"/>
          </w:tcPr>
          <w:p>
            <w:r>
              <w:t>192,261</w:t>
            </w:r>
          </w:p>
        </w:tc>
      </w:tr>
      <w:tr>
        <w:tc>
          <w:tcPr>
            <w:tcW w:type="dxa" w:w="2880"/>
          </w:tcPr>
          <w:p>
            <w:r>
              <w:t>Excluded cases with information inconsistencies</w:t>
            </w:r>
          </w:p>
        </w:tc>
        <w:tc>
          <w:tcPr>
            <w:tcW w:type="dxa" w:w="2880"/>
          </w:tcPr>
          <w:p>
            <w:r>
              <w:t>111</w:t>
            </w:r>
          </w:p>
        </w:tc>
        <w:tc>
          <w:tcPr>
            <w:tcW w:type="dxa" w:w="2880"/>
          </w:tcPr>
          <w:p>
            <w:r>
              <w:t>192,150</w:t>
            </w:r>
          </w:p>
        </w:tc>
      </w:tr>
      <w:tr>
        <w:tc>
          <w:tcPr>
            <w:tcW w:type="dxa" w:w="2880"/>
          </w:tcPr>
          <w:p>
            <w:r>
              <w:t>Excluded deaths recorded on or before treatment initiation</w:t>
            </w:r>
          </w:p>
        </w:tc>
        <w:tc>
          <w:tcPr>
            <w:tcW w:type="dxa" w:w="2880"/>
          </w:tcPr>
          <w:p>
            <w:r>
              <w:t>2,063</w:t>
            </w:r>
          </w:p>
        </w:tc>
        <w:tc>
          <w:tcPr>
            <w:tcW w:type="dxa" w:w="2880"/>
          </w:tcPr>
          <w:p>
            <w:r>
              <w:t>190,087</w:t>
            </w:r>
          </w:p>
        </w:tc>
      </w:tr>
      <w:tr>
        <w:tc>
          <w:tcPr>
            <w:tcW w:type="dxa" w:w="2880"/>
          </w:tcPr>
          <w:p>
            <w:r>
              <w:t>Excluded episodes with end dates outside the study period (2013–2023)</w:t>
            </w:r>
          </w:p>
        </w:tc>
        <w:tc>
          <w:tcPr>
            <w:tcW w:type="dxa" w:w="2880"/>
          </w:tcPr>
          <w:p>
            <w:r>
              <w:t>17,624</w:t>
            </w:r>
          </w:p>
        </w:tc>
        <w:tc>
          <w:tcPr>
            <w:tcW w:type="dxa" w:w="2880"/>
          </w:tcPr>
          <w:p>
            <w:r>
              <w:t>172,463</w:t>
            </w:r>
          </w:p>
        </w:tc>
      </w:tr>
    </w:tbl>
    <w:p>
      <w:pPr>
        <w:pStyle w:val="Heading1"/>
      </w:pPr>
      <w:r>
        <w:t>Final Cohort Outcomes Breakdown</w:t>
      </w:r>
    </w:p>
    <w:p>
      <w:r>
        <w:t>The final cohort comprised 172,463 individuals. The outcome distribution is as follows: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Primary Group</w:t>
            </w:r>
          </w:p>
        </w:tc>
        <w:tc>
          <w:tcPr>
            <w:tcW w:type="dxa" w:w="4320"/>
          </w:tcPr>
          <w:p>
            <w:r>
              <w:t>N (%)</w:t>
            </w:r>
          </w:p>
        </w:tc>
      </w:tr>
      <w:tr>
        <w:tc>
          <w:tcPr>
            <w:tcW w:type="dxa" w:w="4320"/>
          </w:tcPr>
          <w:p>
            <w:r>
              <w:t>Lost to follow-up (LTFU)</w:t>
            </w:r>
          </w:p>
        </w:tc>
        <w:tc>
          <w:tcPr>
            <w:tcW w:type="dxa" w:w="4320"/>
          </w:tcPr>
          <w:p>
            <w:r>
              <w:t>21,619 (12.5%)</w:t>
            </w:r>
          </w:p>
        </w:tc>
      </w:tr>
      <w:tr>
        <w:tc>
          <w:tcPr>
            <w:tcW w:type="dxa" w:w="4320"/>
          </w:tcPr>
          <w:p>
            <w:r>
              <w:t>Other recorded outcomes</w:t>
            </w:r>
          </w:p>
        </w:tc>
        <w:tc>
          <w:tcPr>
            <w:tcW w:type="dxa" w:w="4320"/>
          </w:tcPr>
          <w:p>
            <w:r>
              <w:t>150,844 (87.5%)</w:t>
            </w:r>
          </w:p>
        </w:tc>
      </w:tr>
    </w:tbl>
    <w:p>
      <w:pPr>
        <w:pStyle w:val="Heading2"/>
      </w:pPr>
      <w:r>
        <w:t>Breakdown of "Other recorded outcomes" (N=150,844)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Clinical Outcome</w:t>
            </w:r>
          </w:p>
        </w:tc>
        <w:tc>
          <w:tcPr>
            <w:tcW w:type="dxa" w:w="4320"/>
          </w:tcPr>
          <w:p>
            <w:r>
              <w:t>N (%) based on total 150,844</w:t>
            </w:r>
          </w:p>
        </w:tc>
      </w:tr>
      <w:tr>
        <w:tc>
          <w:tcPr>
            <w:tcW w:type="dxa" w:w="4320"/>
          </w:tcPr>
          <w:p>
            <w:r>
              <w:t>Cure</w:t>
            </w:r>
          </w:p>
        </w:tc>
        <w:tc>
          <w:tcPr>
            <w:tcW w:type="dxa" w:w="4320"/>
          </w:tcPr>
          <w:p>
            <w:r>
              <w:t>135,699 (90.0%)</w:t>
            </w:r>
          </w:p>
        </w:tc>
      </w:tr>
      <w:tr>
        <w:tc>
          <w:tcPr>
            <w:tcW w:type="dxa" w:w="4320"/>
          </w:tcPr>
          <w:p>
            <w:r>
              <w:t>Deaths (Tuberculosis-related)</w:t>
            </w:r>
          </w:p>
        </w:tc>
        <w:tc>
          <w:tcPr>
            <w:tcW w:type="dxa" w:w="4320"/>
          </w:tcPr>
          <w:p>
            <w:r>
              <w:t>5,887 (3.9%)</w:t>
            </w:r>
          </w:p>
        </w:tc>
      </w:tr>
      <w:tr>
        <w:tc>
          <w:tcPr>
            <w:tcW w:type="dxa" w:w="4320"/>
          </w:tcPr>
          <w:p>
            <w:r>
              <w:t>Deaths (Non-tuberculosis-related)</w:t>
            </w:r>
          </w:p>
        </w:tc>
        <w:tc>
          <w:tcPr>
            <w:tcW w:type="dxa" w:w="4320"/>
          </w:tcPr>
          <w:p>
            <w:r>
              <w:t>7,075 (4.7%)</w:t>
            </w:r>
          </w:p>
        </w:tc>
      </w:tr>
      <w:tr>
        <w:tc>
          <w:tcPr>
            <w:tcW w:type="dxa" w:w="4320"/>
          </w:tcPr>
          <w:p>
            <w:r>
              <w:t>Total Deaths (Combined)</w:t>
            </w:r>
          </w:p>
        </w:tc>
        <w:tc>
          <w:tcPr>
            <w:tcW w:type="dxa" w:w="4320"/>
          </w:tcPr>
          <w:p>
            <w:r>
              <w:t>12,962 (8.6%)</w:t>
            </w:r>
          </w:p>
        </w:tc>
      </w:tr>
      <w:tr>
        <w:tc>
          <w:tcPr>
            <w:tcW w:type="dxa" w:w="4320"/>
          </w:tcPr>
          <w:p>
            <w:r>
              <w:t>Treatment failure</w:t>
            </w:r>
          </w:p>
        </w:tc>
        <w:tc>
          <w:tcPr>
            <w:tcW w:type="dxa" w:w="4320"/>
          </w:tcPr>
          <w:p>
            <w:r>
              <w:t>1,044 (0.7%)</w:t>
            </w:r>
          </w:p>
        </w:tc>
      </w:tr>
      <w:tr>
        <w:tc>
          <w:tcPr>
            <w:tcW w:type="dxa" w:w="4320"/>
          </w:tcPr>
          <w:p>
            <w:r>
              <w:t>Other outcomes (including regimen changes due to toxicity)</w:t>
            </w:r>
          </w:p>
        </w:tc>
        <w:tc>
          <w:tcPr>
            <w:tcW w:type="dxa" w:w="4320"/>
          </w:tcPr>
          <w:p>
            <w:r>
              <w:t>1,139 (0.7%)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