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Cumulative Incidence Analysis — LTFU Cohort (N = 21,619)</w:t>
      </w:r>
    </w:p>
    <w:p>
      <w:r>
        <w:t>Follow-up measured from date of treatment abandonment to event or censoring (December 31, 2024). All individuals experienced loss to follow-up (Abandono, Abandono Primário, or Faltoso) as the outcome of their first tuberculosis episode, 2013–2023. Maximum follow-up: 11.98 years.</w:t>
      </w:r>
    </w:p>
    <w:p>
      <w:pPr>
        <w:pStyle w:val="Heading1"/>
      </w:pPr>
      <w:r>
        <w:t>1. Retreatment after LTFU — Competing Risks CIF (death as competing event)</w:t>
      </w:r>
    </w:p>
    <w:p>
      <w:r>
        <w:t>Method: Gray's competing risks estimator. Event of interest: first retreatment. Competing event: all-cause death without prior retreatment.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Incidence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 Lower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 Upper (%)</w:t>
            </w:r>
          </w:p>
        </w:tc>
      </w:tr>
      <w:tr>
        <w:tc>
          <w:tcPr>
            <w:tcW w:type="dxa" w:w="2160"/>
          </w:tcPr>
          <w:p>
            <w:r>
              <w:t>1 year</w:t>
            </w:r>
          </w:p>
        </w:tc>
        <w:tc>
          <w:tcPr>
            <w:tcW w:type="dxa" w:w="2160"/>
          </w:tcPr>
          <w:p>
            <w:r>
              <w:t>34.35%</w:t>
            </w:r>
          </w:p>
        </w:tc>
        <w:tc>
          <w:tcPr>
            <w:tcW w:type="dxa" w:w="2160"/>
          </w:tcPr>
          <w:p>
            <w:r>
              <w:t>33.72%</w:t>
            </w:r>
          </w:p>
        </w:tc>
        <w:tc>
          <w:tcPr>
            <w:tcW w:type="dxa" w:w="2160"/>
          </w:tcPr>
          <w:p>
            <w:r>
              <w:t>34.98%</w:t>
            </w:r>
          </w:p>
        </w:tc>
      </w:tr>
      <w:tr>
        <w:tc>
          <w:tcPr>
            <w:tcW w:type="dxa" w:w="2160"/>
          </w:tcPr>
          <w:p>
            <w:r>
              <w:t>2 years</w:t>
            </w:r>
          </w:p>
        </w:tc>
        <w:tc>
          <w:tcPr>
            <w:tcW w:type="dxa" w:w="2160"/>
          </w:tcPr>
          <w:p>
            <w:r>
              <w:t>39.11%</w:t>
            </w:r>
          </w:p>
        </w:tc>
        <w:tc>
          <w:tcPr>
            <w:tcW w:type="dxa" w:w="2160"/>
          </w:tcPr>
          <w:p>
            <w:r>
              <w:t>38.46%</w:t>
            </w:r>
          </w:p>
        </w:tc>
        <w:tc>
          <w:tcPr>
            <w:tcW w:type="dxa" w:w="2160"/>
          </w:tcPr>
          <w:p>
            <w:r>
              <w:t>39.77%</w:t>
            </w:r>
          </w:p>
        </w:tc>
      </w:tr>
      <w:tr>
        <w:tc>
          <w:tcPr>
            <w:tcW w:type="dxa" w:w="2160"/>
          </w:tcPr>
          <w:p>
            <w:r>
              <w:t>5 years</w:t>
            </w:r>
          </w:p>
        </w:tc>
        <w:tc>
          <w:tcPr>
            <w:tcW w:type="dxa" w:w="2160"/>
          </w:tcPr>
          <w:p>
            <w:r>
              <w:t>44.15%</w:t>
            </w:r>
          </w:p>
        </w:tc>
        <w:tc>
          <w:tcPr>
            <w:tcW w:type="dxa" w:w="2160"/>
          </w:tcPr>
          <w:p>
            <w:r>
              <w:t>43.46%</w:t>
            </w:r>
          </w:p>
        </w:tc>
        <w:tc>
          <w:tcPr>
            <w:tcW w:type="dxa" w:w="2160"/>
          </w:tcPr>
          <w:p>
            <w:r>
              <w:t>44.84%</w:t>
            </w:r>
          </w:p>
        </w:tc>
      </w:tr>
      <w:tr>
        <w:tc>
          <w:tcPr>
            <w:tcW w:type="dxa" w:w="2160"/>
          </w:tcPr>
          <w:p>
            <w:r>
              <w:t>10 years</w:t>
            </w:r>
          </w:p>
        </w:tc>
        <w:tc>
          <w:tcPr>
            <w:tcW w:type="dxa" w:w="2160"/>
          </w:tcPr>
          <w:p>
            <w:r>
              <w:t>47.77%</w:t>
            </w:r>
          </w:p>
        </w:tc>
        <w:tc>
          <w:tcPr>
            <w:tcW w:type="dxa" w:w="2160"/>
          </w:tcPr>
          <w:p>
            <w:r>
              <w:t>46.98%</w:t>
            </w:r>
          </w:p>
        </w:tc>
        <w:tc>
          <w:tcPr>
            <w:tcW w:type="dxa" w:w="2160"/>
          </w:tcPr>
          <w:p>
            <w:r>
              <w:t>48.56%</w:t>
            </w:r>
          </w:p>
        </w:tc>
      </w:tr>
      <w:tr>
        <w:tc>
          <w:tcPr>
            <w:tcW w:type="dxa" w:w="2160"/>
          </w:tcPr>
          <w:p>
            <w:r>
              <w:t>End of study (~12 years)</w:t>
            </w:r>
          </w:p>
        </w:tc>
        <w:tc>
          <w:tcPr>
            <w:tcW w:type="dxa" w:w="2160"/>
          </w:tcPr>
          <w:p>
            <w:r>
              <w:t>48.19%</w:t>
            </w:r>
          </w:p>
        </w:tc>
        <w:tc>
          <w:tcPr>
            <w:tcW w:type="dxa" w:w="2160"/>
          </w:tcPr>
          <w:p>
            <w:r>
              <w:t>47.36%</w:t>
            </w:r>
          </w:p>
        </w:tc>
        <w:tc>
          <w:tcPr>
            <w:tcW w:type="dxa" w:w="2160"/>
          </w:tcPr>
          <w:p>
            <w:r>
              <w:t>49.03%</w:t>
            </w:r>
          </w:p>
        </w:tc>
      </w:tr>
    </w:tbl>
    <w:p/>
    <w:p>
      <w:pPr>
        <w:pStyle w:val="Heading1"/>
      </w:pPr>
      <w:r>
        <w:t>2. All-Cause Mortality after LTFU — 1 − Kaplan-Meier</w:t>
      </w:r>
    </w:p>
    <w:p>
      <w:r>
        <w:t>Method: Direct cumulative incidence (1-KM). Event: all-cause death. Retreated patients remained at risk for death.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Incidence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 Lower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95% CI Upper (%)</w:t>
            </w:r>
          </w:p>
        </w:tc>
      </w:tr>
      <w:tr>
        <w:tc>
          <w:tcPr>
            <w:tcW w:type="dxa" w:w="2160"/>
          </w:tcPr>
          <w:p>
            <w:r>
              <w:t>1 year</w:t>
            </w:r>
          </w:p>
        </w:tc>
        <w:tc>
          <w:tcPr>
            <w:tcW w:type="dxa" w:w="2160"/>
          </w:tcPr>
          <w:p>
            <w:r>
              <w:t>3.06%</w:t>
            </w:r>
          </w:p>
        </w:tc>
        <w:tc>
          <w:tcPr>
            <w:tcW w:type="dxa" w:w="2160"/>
          </w:tcPr>
          <w:p>
            <w:r>
              <w:t>2.83%</w:t>
            </w:r>
          </w:p>
        </w:tc>
        <w:tc>
          <w:tcPr>
            <w:tcW w:type="dxa" w:w="2160"/>
          </w:tcPr>
          <w:p>
            <w:r>
              <w:t>3.29%</w:t>
            </w:r>
          </w:p>
        </w:tc>
      </w:tr>
      <w:tr>
        <w:tc>
          <w:tcPr>
            <w:tcW w:type="dxa" w:w="2160"/>
          </w:tcPr>
          <w:p>
            <w:r>
              <w:t>5 years</w:t>
            </w:r>
          </w:p>
        </w:tc>
        <w:tc>
          <w:tcPr>
            <w:tcW w:type="dxa" w:w="2160"/>
          </w:tcPr>
          <w:p>
            <w:r>
              <w:t>7.79%</w:t>
            </w:r>
          </w:p>
        </w:tc>
        <w:tc>
          <w:tcPr>
            <w:tcW w:type="dxa" w:w="2160"/>
          </w:tcPr>
          <w:p>
            <w:r>
              <w:t>7.40%</w:t>
            </w:r>
          </w:p>
        </w:tc>
        <w:tc>
          <w:tcPr>
            <w:tcW w:type="dxa" w:w="2160"/>
          </w:tcPr>
          <w:p>
            <w:r>
              <w:t>8.18%</w:t>
            </w:r>
          </w:p>
        </w:tc>
      </w:tr>
      <w:tr>
        <w:tc>
          <w:tcPr>
            <w:tcW w:type="dxa" w:w="2160"/>
          </w:tcPr>
          <w:p>
            <w:r>
              <w:t>10 years</w:t>
            </w:r>
          </w:p>
        </w:tc>
        <w:tc>
          <w:tcPr>
            <w:tcW w:type="dxa" w:w="2160"/>
          </w:tcPr>
          <w:p>
            <w:r>
              <w:t>10.79%</w:t>
            </w:r>
          </w:p>
        </w:tc>
        <w:tc>
          <w:tcPr>
            <w:tcW w:type="dxa" w:w="2160"/>
          </w:tcPr>
          <w:p>
            <w:r>
              <w:t>10.21%</w:t>
            </w:r>
          </w:p>
        </w:tc>
        <w:tc>
          <w:tcPr>
            <w:tcW w:type="dxa" w:w="2160"/>
          </w:tcPr>
          <w:p>
            <w:r>
              <w:t>11.36%</w:t>
            </w:r>
          </w:p>
        </w:tc>
      </w:tr>
      <w:tr>
        <w:tc>
          <w:tcPr>
            <w:tcW w:type="dxa" w:w="2160"/>
          </w:tcPr>
          <w:p>
            <w:r>
              <w:t>End of study (~12 yr)</w:t>
            </w:r>
          </w:p>
        </w:tc>
        <w:tc>
          <w:tcPr>
            <w:tcW w:type="dxa" w:w="2160"/>
          </w:tcPr>
          <w:p>
            <w:r>
              <w:t>11.40%</w:t>
            </w:r>
          </w:p>
        </w:tc>
        <w:tc>
          <w:tcPr>
            <w:tcW w:type="dxa" w:w="2160"/>
          </w:tcPr>
          <w:p>
            <w:r>
              <w:t>10.70%</w:t>
            </w:r>
          </w:p>
        </w:tc>
        <w:tc>
          <w:tcPr>
            <w:tcW w:type="dxa" w:w="2160"/>
          </w:tcPr>
          <w:p>
            <w:r>
              <w:t>12.09%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