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Descriptive Follow-up and Outcome Statistics — LTFU Cohort</w:t>
      </w:r>
    </w:p>
    <w:p>
      <w:r>
        <w:t>Study population: N = 21,619 individuals with first-episode Loss to Follow-up (LTFU), 2013–2023. Follow-up time was measured from the date of treatment abandonment to death or administrative censoring on December 31, 2024. Retreated patients remained at risk for mortality after retreatment.</w:t>
      </w:r>
    </w:p>
    <w:p>
      <w:pPr>
        <w:pStyle w:val="Heading1"/>
      </w:pPr>
      <w:r>
        <w:t>1. Overall Follow-up (entire LTFU cohort)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21,619</w:t>
            </w:r>
          </w:p>
        </w:tc>
      </w:tr>
      <w:tr>
        <w:tc>
          <w:tcPr>
            <w:tcW w:type="dxa" w:w="4320"/>
          </w:tcPr>
          <w:p>
            <w:r>
              <w:t>Total person-years accumulated</w:t>
            </w:r>
          </w:p>
        </w:tc>
        <w:tc>
          <w:tcPr>
            <w:tcW w:type="dxa" w:w="4320"/>
          </w:tcPr>
          <w:p>
            <w:r>
              <w:t>115,365.5 PY</w:t>
            </w:r>
          </w:p>
        </w:tc>
      </w:tr>
      <w:tr>
        <w:tc>
          <w:tcPr>
            <w:tcW w:type="dxa" w:w="4320"/>
          </w:tcPr>
          <w:p>
            <w:r>
              <w:t>Mean follow-up</w:t>
            </w:r>
          </w:p>
        </w:tc>
        <w:tc>
          <w:tcPr>
            <w:tcW w:type="dxa" w:w="4320"/>
          </w:tcPr>
          <w:p>
            <w:r>
              <w:t>5.34 years</w:t>
            </w:r>
          </w:p>
        </w:tc>
      </w:tr>
      <w:tr>
        <w:tc>
          <w:tcPr>
            <w:tcW w:type="dxa" w:w="4320"/>
          </w:tcPr>
          <w:p>
            <w:r>
              <w:t>Median follow-up</w:t>
            </w:r>
          </w:p>
        </w:tc>
        <w:tc>
          <w:tcPr>
            <w:tcW w:type="dxa" w:w="4320"/>
          </w:tcPr>
          <w:p>
            <w:r>
              <w:t>4.97 years / 59.6 months</w:t>
            </w:r>
          </w:p>
        </w:tc>
      </w:tr>
      <w:tr>
        <w:tc>
          <w:tcPr>
            <w:tcW w:type="dxa" w:w="4320"/>
          </w:tcPr>
          <w:p>
            <w:r>
              <w:t>IQR follow-up</w:t>
            </w:r>
          </w:p>
        </w:tc>
        <w:tc>
          <w:tcPr>
            <w:tcW w:type="dxa" w:w="4320"/>
          </w:tcPr>
          <w:p>
            <w:r>
              <w:t>2.48–7.93 years / 29.7–95.1 months</w:t>
            </w:r>
          </w:p>
        </w:tc>
      </w:tr>
    </w:tbl>
    <w:p>
      <w:r>
        <w:t>Note: Follow-up uses time_d (time to death or censoring). Retreated patients remain in the risk set for mortality.</w:t>
      </w:r>
    </w:p>
    <w:p>
      <w:pPr>
        <w:pStyle w:val="Heading1"/>
      </w:pPr>
      <w:r>
        <w:t>2. Retreatment after LTFU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N retreated</w:t>
            </w:r>
          </w:p>
        </w:tc>
        <w:tc>
          <w:tcPr>
            <w:tcW w:type="dxa" w:w="4320"/>
          </w:tcPr>
          <w:p>
            <w:r>
              <w:t>9,460</w:t>
            </w:r>
          </w:p>
        </w:tc>
      </w:tr>
      <w:tr>
        <w:tc>
          <w:tcPr>
            <w:tcW w:type="dxa" w:w="4320"/>
          </w:tcPr>
          <w:p>
            <w:r>
              <w:t>Percentage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Person-years at risk for retreatment</w:t>
            </w:r>
          </w:p>
        </w:tc>
        <w:tc>
          <w:tcPr>
            <w:tcW w:type="dxa" w:w="4320"/>
          </w:tcPr>
          <w:p>
            <w:r>
              <w:t>72,996.0 PY</w:t>
            </w:r>
          </w:p>
        </w:tc>
      </w:tr>
      <w:tr>
        <w:tc>
          <w:tcPr>
            <w:tcW w:type="dxa" w:w="4320"/>
          </w:tcPr>
          <w:p>
            <w:r>
              <w:t>Incidence rate (per 100,000 PY)</w:t>
            </w:r>
          </w:p>
        </w:tc>
        <w:tc>
          <w:tcPr>
            <w:tcW w:type="dxa" w:w="4320"/>
          </w:tcPr>
          <w:p>
            <w:r>
              <w:t>12,959.6</w:t>
            </w:r>
          </w:p>
        </w:tc>
      </w:tr>
      <w:tr>
        <w:tc>
          <w:tcPr>
            <w:tcW w:type="dxa" w:w="4320"/>
          </w:tcPr>
          <w:p>
            <w:r>
              <w:t>Median time to retreatment</w:t>
            </w:r>
          </w:p>
        </w:tc>
        <w:tc>
          <w:tcPr>
            <w:tcW w:type="dxa" w:w="4320"/>
          </w:tcPr>
          <w:p>
            <w:r>
              <w:t>0.36 years / 4.3 months</w:t>
            </w:r>
          </w:p>
        </w:tc>
      </w:tr>
      <w:tr>
        <w:tc>
          <w:tcPr>
            <w:tcW w:type="dxa" w:w="4320"/>
          </w:tcPr>
          <w:p>
            <w:r>
              <w:t>IQR time to retreatment</w:t>
            </w:r>
          </w:p>
        </w:tc>
        <w:tc>
          <w:tcPr>
            <w:tcW w:type="dxa" w:w="4320"/>
          </w:tcPr>
          <w:p>
            <w:r>
              <w:t>0.16–0.85 years / 1.9–10.2 months</w:t>
            </w:r>
          </w:p>
        </w:tc>
      </w:tr>
    </w:tbl>
    <w:p>
      <w:pPr>
        <w:pStyle w:val="Heading1"/>
      </w:pPr>
      <w:r>
        <w:t>3. Mortality after LTFU (any cause)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N deaths (any cause)</w:t>
            </w:r>
          </w:p>
        </w:tc>
        <w:tc>
          <w:tcPr>
            <w:tcW w:type="dxa" w:w="4320"/>
          </w:tcPr>
          <w:p>
            <w:r>
              <w:t>1,698</w:t>
            </w:r>
          </w:p>
        </w:tc>
      </w:tr>
      <w:tr>
        <w:tc>
          <w:tcPr>
            <w:tcW w:type="dxa" w:w="4320"/>
          </w:tcPr>
          <w:p>
            <w:r>
              <w:t>Percentage</w:t>
            </w:r>
          </w:p>
        </w:tc>
        <w:tc>
          <w:tcPr>
            <w:tcW w:type="dxa" w:w="4320"/>
          </w:tcPr>
          <w:p>
            <w:r>
              <w:t>7.9%</w:t>
            </w:r>
          </w:p>
        </w:tc>
      </w:tr>
      <w:tr>
        <w:tc>
          <w:tcPr>
            <w:tcW w:type="dxa" w:w="4320"/>
          </w:tcPr>
          <w:p>
            <w:r>
              <w:t>Person-years at risk for mortality</w:t>
            </w:r>
          </w:p>
        </w:tc>
        <w:tc>
          <w:tcPr>
            <w:tcW w:type="dxa" w:w="4320"/>
          </w:tcPr>
          <w:p>
            <w:r>
              <w:t>115,365.5 PY</w:t>
            </w:r>
          </w:p>
        </w:tc>
      </w:tr>
      <w:tr>
        <w:tc>
          <w:tcPr>
            <w:tcW w:type="dxa" w:w="4320"/>
          </w:tcPr>
          <w:p>
            <w:r>
              <w:t>Incidence rate (per 100,000 PY)</w:t>
            </w:r>
          </w:p>
        </w:tc>
        <w:tc>
          <w:tcPr>
            <w:tcW w:type="dxa" w:w="4320"/>
          </w:tcPr>
          <w:p>
            <w:r>
              <w:t>1,471.8</w:t>
            </w:r>
          </w:p>
        </w:tc>
      </w:tr>
      <w:tr>
        <w:tc>
          <w:tcPr>
            <w:tcW w:type="dxa" w:w="4320"/>
          </w:tcPr>
          <w:p>
            <w:r>
              <w:t>Median time to death</w:t>
            </w:r>
          </w:p>
        </w:tc>
        <w:tc>
          <w:tcPr>
            <w:tcW w:type="dxa" w:w="4320"/>
          </w:tcPr>
          <w:p>
            <w:r>
              <w:t>1.45 years / 17.4 months</w:t>
            </w:r>
          </w:p>
        </w:tc>
      </w:tr>
      <w:tr>
        <w:tc>
          <w:tcPr>
            <w:tcW w:type="dxa" w:w="4320"/>
          </w:tcPr>
          <w:p>
            <w:r>
              <w:t>IQR time to death</w:t>
            </w:r>
          </w:p>
        </w:tc>
        <w:tc>
          <w:tcPr>
            <w:tcW w:type="dxa" w:w="4320"/>
          </w:tcPr>
          <w:p>
            <w:r>
              <w:t>0.56–3.22 years / 6.7–38.6 months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