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Table. Cumulative Incidence of Retreatment and All-Cause Mortality after Loss to Follow-up</w:t>
      </w:r>
    </w:p>
    <w:p>
      <w:r>
        <w:t>LTFU cohort: N = 21,619 individuals with first-episode loss to follow-up, São Paulo, Brazil, 2013–2023. Follow-up from date of abandonment to event or censoring (December 31, 2024; max 11.98 years).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Time point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Retreatment</w:t>
              <w:br/>
              <w:t>CIF* (%)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95% CI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All-Cause Mortality</w:t>
              <w:br/>
              <w:t>1-KM† (%)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95% CI</w:t>
            </w:r>
          </w:p>
        </w:tc>
      </w:tr>
      <w:tr>
        <w:tc>
          <w:tcPr>
            <w:tcW w:type="dxa" w:w="1728"/>
          </w:tcPr>
          <w:p>
            <w:r>
              <w:t>1 year</w:t>
            </w:r>
          </w:p>
        </w:tc>
        <w:tc>
          <w:tcPr>
            <w:tcW w:type="dxa" w:w="1728"/>
          </w:tcPr>
          <w:p>
            <w:r>
              <w:t>34.35</w:t>
            </w:r>
          </w:p>
        </w:tc>
        <w:tc>
          <w:tcPr>
            <w:tcW w:type="dxa" w:w="1728"/>
          </w:tcPr>
          <w:p>
            <w:r>
              <w:t>33.72–34.98</w:t>
            </w:r>
          </w:p>
        </w:tc>
        <w:tc>
          <w:tcPr>
            <w:tcW w:type="dxa" w:w="1728"/>
          </w:tcPr>
          <w:p>
            <w:r>
              <w:t>3.06</w:t>
            </w:r>
          </w:p>
        </w:tc>
        <w:tc>
          <w:tcPr>
            <w:tcW w:type="dxa" w:w="1728"/>
          </w:tcPr>
          <w:p>
            <w:r>
              <w:t>2.83–3.29</w:t>
            </w:r>
          </w:p>
        </w:tc>
      </w:tr>
      <w:tr>
        <w:tc>
          <w:tcPr>
            <w:tcW w:type="dxa" w:w="1728"/>
          </w:tcPr>
          <w:p>
            <w:r>
              <w:t>2 years</w:t>
            </w:r>
          </w:p>
        </w:tc>
        <w:tc>
          <w:tcPr>
            <w:tcW w:type="dxa" w:w="1728"/>
          </w:tcPr>
          <w:p>
            <w:r>
              <w:t>39.11</w:t>
            </w:r>
          </w:p>
        </w:tc>
        <w:tc>
          <w:tcPr>
            <w:tcW w:type="dxa" w:w="1728"/>
          </w:tcPr>
          <w:p>
            <w:r>
              <w:t>38.46–39.77</w:t>
            </w:r>
          </w:p>
        </w:tc>
        <w:tc>
          <w:tcPr>
            <w:tcW w:type="dxa" w:w="1728"/>
          </w:tcPr>
          <w:p>
            <w:r>
              <w:t>4.84</w:t>
            </w:r>
          </w:p>
        </w:tc>
        <w:tc>
          <w:tcPr>
            <w:tcW w:type="dxa" w:w="1728"/>
          </w:tcPr>
          <w:p>
            <w:r>
              <w:t>4.55–5.13</w:t>
            </w:r>
          </w:p>
        </w:tc>
      </w:tr>
      <w:tr>
        <w:tc>
          <w:tcPr>
            <w:tcW w:type="dxa" w:w="1728"/>
          </w:tcPr>
          <w:p>
            <w:r>
              <w:t>5 years</w:t>
            </w:r>
          </w:p>
        </w:tc>
        <w:tc>
          <w:tcPr>
            <w:tcW w:type="dxa" w:w="1728"/>
          </w:tcPr>
          <w:p>
            <w:r>
              <w:t>44.15</w:t>
            </w:r>
          </w:p>
        </w:tc>
        <w:tc>
          <w:tcPr>
            <w:tcW w:type="dxa" w:w="1728"/>
          </w:tcPr>
          <w:p>
            <w:r>
              <w:t>43.46–44.84</w:t>
            </w:r>
          </w:p>
        </w:tc>
        <w:tc>
          <w:tcPr>
            <w:tcW w:type="dxa" w:w="1728"/>
          </w:tcPr>
          <w:p>
            <w:r>
              <w:t>7.79</w:t>
            </w:r>
          </w:p>
        </w:tc>
        <w:tc>
          <w:tcPr>
            <w:tcW w:type="dxa" w:w="1728"/>
          </w:tcPr>
          <w:p>
            <w:r>
              <w:t>7.40–8.18</w:t>
            </w:r>
          </w:p>
        </w:tc>
      </w:tr>
      <w:tr>
        <w:tc>
          <w:tcPr>
            <w:tcW w:type="dxa" w:w="1728"/>
          </w:tcPr>
          <w:p>
            <w:r>
              <w:t>10 years</w:t>
            </w:r>
          </w:p>
        </w:tc>
        <w:tc>
          <w:tcPr>
            <w:tcW w:type="dxa" w:w="1728"/>
          </w:tcPr>
          <w:p>
            <w:r>
              <w:t>47.77</w:t>
            </w:r>
          </w:p>
        </w:tc>
        <w:tc>
          <w:tcPr>
            <w:tcW w:type="dxa" w:w="1728"/>
          </w:tcPr>
          <w:p>
            <w:r>
              <w:t>46.98–48.56</w:t>
            </w:r>
          </w:p>
        </w:tc>
        <w:tc>
          <w:tcPr>
            <w:tcW w:type="dxa" w:w="1728"/>
          </w:tcPr>
          <w:p>
            <w:r>
              <w:t>10.79</w:t>
            </w:r>
          </w:p>
        </w:tc>
        <w:tc>
          <w:tcPr>
            <w:tcW w:type="dxa" w:w="1728"/>
          </w:tcPr>
          <w:p>
            <w:r>
              <w:t>10.21–11.36</w:t>
            </w:r>
          </w:p>
        </w:tc>
      </w:tr>
      <w:tr>
        <w:tc>
          <w:tcPr>
            <w:tcW w:type="dxa" w:w="1728"/>
          </w:tcPr>
          <w:p>
            <w:r>
              <w:t>End of study (~12 yr)</w:t>
            </w:r>
          </w:p>
        </w:tc>
        <w:tc>
          <w:tcPr>
            <w:tcW w:type="dxa" w:w="1728"/>
          </w:tcPr>
          <w:p>
            <w:r>
              <w:t>48.19</w:t>
            </w:r>
          </w:p>
        </w:tc>
        <w:tc>
          <w:tcPr>
            <w:tcW w:type="dxa" w:w="1728"/>
          </w:tcPr>
          <w:p>
            <w:r>
              <w:t>47.36–49.03</w:t>
            </w:r>
          </w:p>
        </w:tc>
        <w:tc>
          <w:tcPr>
            <w:tcW w:type="dxa" w:w="1728"/>
          </w:tcPr>
          <w:p>
            <w:r>
              <w:t>11.40</w:t>
            </w:r>
          </w:p>
        </w:tc>
        <w:tc>
          <w:tcPr>
            <w:tcW w:type="dxa" w:w="1728"/>
          </w:tcPr>
          <w:p>
            <w:r>
              <w:t>10.70–12.09</w:t>
            </w:r>
          </w:p>
        </w:tc>
      </w:tr>
    </w:tbl>
    <w:p/>
    <w:p>
      <w:r>
        <w:t>* CIF: Cumulative Incidence Function estimated using Gray's competing risks method; all-cause death treated as a competing event.</w:t>
      </w:r>
    </w:p>
    <w:p>
      <w:r>
        <w:t>† 1-KM: Direct cumulative incidence (1 minus Kaplan-Meier). Retreated individuals remained in the risk set for mortality.</w:t>
      </w:r>
    </w:p>
    <w:p>
      <w:r>
        <w:t>CI: 95% confidence interval.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