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Consolidated G-Methods &amp; Causal Triangulation Report</w:t>
      </w:r>
    </w:p>
    <w:p>
      <w:r>
        <w:t>This analysis starts follow-up at the beginning of treatment (Time 0).</w:t>
      </w:r>
    </w:p>
    <w:p>
      <w:pPr>
        <w:pStyle w:val="Heading1"/>
      </w:pPr>
      <w:r>
        <w:t>Strategy 1: Full Treatment Cohort (Time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CI_Non_LTFU</w:t>
            </w:r>
          </w:p>
        </w:tc>
        <w:tc>
          <w:tcPr>
            <w:tcW w:type="dxa" w:w="1440"/>
          </w:tcPr>
          <w:p>
            <w:r>
              <w:t>CI_LTFU</w:t>
            </w:r>
          </w:p>
        </w:tc>
        <w:tc>
          <w:tcPr>
            <w:tcW w:type="dxa" w:w="1440"/>
          </w:tcPr>
          <w:p>
            <w:r>
              <w:t>Risk_Diff</w:t>
            </w:r>
          </w:p>
        </w:tc>
        <w:tc>
          <w:tcPr>
            <w:tcW w:type="dxa" w:w="1440"/>
          </w:tcPr>
          <w:p>
            <w:r>
              <w:t>Risk_Ratio</w:t>
            </w:r>
          </w:p>
        </w:tc>
      </w:tr>
      <w:tr>
        <w:tc>
          <w:tcPr>
            <w:tcW w:type="dxa" w:w="1440"/>
          </w:tcPr>
          <w:p>
            <w:r>
              <w:t>1 Year</w:t>
            </w:r>
          </w:p>
        </w:tc>
        <w:tc>
          <w:tcPr>
            <w:tcW w:type="dxa" w:w="1440"/>
          </w:tcPr>
          <w:p>
            <w:r>
              <w:t>12.0000</w:t>
            </w:r>
          </w:p>
        </w:tc>
        <w:tc>
          <w:tcPr>
            <w:tcW w:type="dxa" w:w="1440"/>
          </w:tcPr>
          <w:p>
            <w:r>
              <w:t>0.0592</w:t>
            </w:r>
          </w:p>
        </w:tc>
        <w:tc>
          <w:tcPr>
            <w:tcW w:type="dxa" w:w="1440"/>
          </w:tcPr>
          <w:p>
            <w:r>
              <w:t>0.0173</w:t>
            </w:r>
          </w:p>
        </w:tc>
        <w:tc>
          <w:tcPr>
            <w:tcW w:type="dxa" w:w="1440"/>
          </w:tcPr>
          <w:p>
            <w:r>
              <w:t>-0.0419</w:t>
            </w:r>
          </w:p>
        </w:tc>
        <w:tc>
          <w:tcPr>
            <w:tcW w:type="dxa" w:w="1440"/>
          </w:tcPr>
          <w:p>
            <w:r>
              <w:t>0.2924</w:t>
            </w:r>
          </w:p>
        </w:tc>
      </w:tr>
      <w:tr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60.0000</w:t>
            </w:r>
          </w:p>
        </w:tc>
        <w:tc>
          <w:tcPr>
            <w:tcW w:type="dxa" w:w="1440"/>
          </w:tcPr>
          <w:p>
            <w:r>
              <w:t>0.0670</w:t>
            </w:r>
          </w:p>
        </w:tc>
        <w:tc>
          <w:tcPr>
            <w:tcW w:type="dxa" w:w="1440"/>
          </w:tcPr>
          <w:p>
            <w:r>
              <w:t>0.0537</w:t>
            </w:r>
          </w:p>
        </w:tc>
        <w:tc>
          <w:tcPr>
            <w:tcW w:type="dxa" w:w="1440"/>
          </w:tcPr>
          <w:p>
            <w:r>
              <w:t>-0.0134</w:t>
            </w:r>
          </w:p>
        </w:tc>
        <w:tc>
          <w:tcPr>
            <w:tcW w:type="dxa" w:w="1440"/>
          </w:tcPr>
          <w:p>
            <w:r>
              <w:t>0.8007</w:t>
            </w:r>
          </w:p>
        </w:tc>
      </w:tr>
      <w:tr>
        <w:tc>
          <w:tcPr>
            <w:tcW w:type="dxa" w:w="1440"/>
          </w:tcPr>
          <w:p>
            <w:r>
              <w:t>10 Years</w:t>
            </w:r>
          </w:p>
        </w:tc>
        <w:tc>
          <w:tcPr>
            <w:tcW w:type="dxa" w:w="1440"/>
          </w:tcPr>
          <w:p>
            <w:r>
              <w:t>120.0000</w:t>
            </w:r>
          </w:p>
        </w:tc>
        <w:tc>
          <w:tcPr>
            <w:tcW w:type="dxa" w:w="1440"/>
          </w:tcPr>
          <w:p>
            <w:r>
              <w:t>0.0815</w:t>
            </w:r>
          </w:p>
        </w:tc>
        <w:tc>
          <w:tcPr>
            <w:tcW w:type="dxa" w:w="1440"/>
          </w:tcPr>
          <w:p>
            <w:r>
              <w:t>0.0718</w:t>
            </w:r>
          </w:p>
        </w:tc>
        <w:tc>
          <w:tcPr>
            <w:tcW w:type="dxa" w:w="1440"/>
          </w:tcPr>
          <w:p>
            <w:r>
              <w:t>-0.0096</w:t>
            </w:r>
          </w:p>
        </w:tc>
        <w:tc>
          <w:tcPr>
            <w:tcW w:type="dxa" w:w="1440"/>
          </w:tcPr>
          <w:p>
            <w:r>
              <w:t>0.8817</w:t>
            </w:r>
          </w:p>
        </w:tc>
      </w:tr>
      <w:tr>
        <w:tc>
          <w:tcPr>
            <w:tcW w:type="dxa" w:w="1440"/>
          </w:tcPr>
          <w:p>
            <w:r>
              <w:t>12 Years</w:t>
            </w:r>
          </w:p>
        </w:tc>
        <w:tc>
          <w:tcPr>
            <w:tcW w:type="dxa" w:w="1440"/>
          </w:tcPr>
          <w:p>
            <w:r>
              <w:t>144.0000</w:t>
            </w:r>
          </w:p>
        </w:tc>
        <w:tc>
          <w:tcPr>
            <w:tcW w:type="dxa" w:w="1440"/>
          </w:tcPr>
          <w:p>
            <w:r>
              <w:t>0.0819</w:t>
            </w:r>
          </w:p>
        </w:tc>
        <w:tc>
          <w:tcPr>
            <w:tcW w:type="dxa" w:w="1440"/>
          </w:tcPr>
          <w:p>
            <w:r>
              <w:t>0.0776</w:t>
            </w:r>
          </w:p>
        </w:tc>
        <w:tc>
          <w:tcPr>
            <w:tcW w:type="dxa" w:w="1440"/>
          </w:tcPr>
          <w:p>
            <w:r>
              <w:t>-0.0043</w:t>
            </w:r>
          </w:p>
        </w:tc>
        <w:tc>
          <w:tcPr>
            <w:tcW w:type="dxa" w:w="1440"/>
          </w:tcPr>
          <w:p>
            <w:r>
              <w:t>0.9474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formula_mortality_12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This analysis starts follow-up after 180 days of treatment to isolate long-term effects.</w:t>
      </w:r>
    </w:p>
    <w:p>
      <w:pPr>
        <w:pStyle w:val="Heading1"/>
      </w:pPr>
      <w:r>
        <w:t>Strategy 2: 180-Day Landmark (Intensive Phase Survivors)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CI_Non_LTFU</w:t>
            </w:r>
          </w:p>
        </w:tc>
        <w:tc>
          <w:tcPr>
            <w:tcW w:type="dxa" w:w="1440"/>
          </w:tcPr>
          <w:p>
            <w:r>
              <w:t>CI_LTFU</w:t>
            </w:r>
          </w:p>
        </w:tc>
        <w:tc>
          <w:tcPr>
            <w:tcW w:type="dxa" w:w="1440"/>
          </w:tcPr>
          <w:p>
            <w:r>
              <w:t>Risk_Diff</w:t>
            </w:r>
          </w:p>
        </w:tc>
        <w:tc>
          <w:tcPr>
            <w:tcW w:type="dxa" w:w="1440"/>
          </w:tcPr>
          <w:p>
            <w:r>
              <w:t>Risk_Ratio</w:t>
            </w:r>
          </w:p>
        </w:tc>
      </w:tr>
      <w:tr>
        <w:tc>
          <w:tcPr>
            <w:tcW w:type="dxa" w:w="1440"/>
          </w:tcPr>
          <w:p>
            <w:r>
              <w:t>1 Year</w:t>
            </w:r>
          </w:p>
        </w:tc>
        <w:tc>
          <w:tcPr>
            <w:tcW w:type="dxa" w:w="1440"/>
          </w:tcPr>
          <w:p>
            <w:r>
              <w:t>12.0000</w:t>
            </w:r>
          </w:p>
        </w:tc>
        <w:tc>
          <w:tcPr>
            <w:tcW w:type="dxa" w:w="1440"/>
          </w:tcPr>
          <w:p>
            <w:r>
              <w:t>0.0064</w:t>
            </w:r>
          </w:p>
        </w:tc>
        <w:tc>
          <w:tcPr>
            <w:tcW w:type="dxa" w:w="1440"/>
          </w:tcPr>
          <w:p>
            <w:r>
              <w:t>0.0210</w:t>
            </w:r>
          </w:p>
        </w:tc>
        <w:tc>
          <w:tcPr>
            <w:tcW w:type="dxa" w:w="1440"/>
          </w:tcPr>
          <w:p>
            <w:r>
              <w:t>0.0146</w:t>
            </w:r>
          </w:p>
        </w:tc>
        <w:tc>
          <w:tcPr>
            <w:tcW w:type="dxa" w:w="1440"/>
          </w:tcPr>
          <w:p>
            <w:r>
              <w:t>3.2852</w:t>
            </w:r>
          </w:p>
        </w:tc>
      </w:tr>
      <w:tr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60.0000</w:t>
            </w:r>
          </w:p>
        </w:tc>
        <w:tc>
          <w:tcPr>
            <w:tcW w:type="dxa" w:w="1440"/>
          </w:tcPr>
          <w:p>
            <w:r>
              <w:t>0.0201</w:t>
            </w:r>
          </w:p>
        </w:tc>
        <w:tc>
          <w:tcPr>
            <w:tcW w:type="dxa" w:w="1440"/>
          </w:tcPr>
          <w:p>
            <w:r>
              <w:t>0.0520</w:t>
            </w:r>
          </w:p>
        </w:tc>
        <w:tc>
          <w:tcPr>
            <w:tcW w:type="dxa" w:w="1440"/>
          </w:tcPr>
          <w:p>
            <w:r>
              <w:t>0.0319</w:t>
            </w:r>
          </w:p>
        </w:tc>
        <w:tc>
          <w:tcPr>
            <w:tcW w:type="dxa" w:w="1440"/>
          </w:tcPr>
          <w:p>
            <w:r>
              <w:t>2.5905</w:t>
            </w:r>
          </w:p>
        </w:tc>
      </w:tr>
      <w:tr>
        <w:tc>
          <w:tcPr>
            <w:tcW w:type="dxa" w:w="1440"/>
          </w:tcPr>
          <w:p>
            <w:r>
              <w:t>10 Years</w:t>
            </w:r>
          </w:p>
        </w:tc>
        <w:tc>
          <w:tcPr>
            <w:tcW w:type="dxa" w:w="1440"/>
          </w:tcPr>
          <w:p>
            <w:r>
              <w:t>120.0000</w:t>
            </w:r>
          </w:p>
        </w:tc>
        <w:tc>
          <w:tcPr>
            <w:tcW w:type="dxa" w:w="1440"/>
          </w:tcPr>
          <w:p>
            <w:r>
              <w:t>0.0325</w:t>
            </w:r>
          </w:p>
        </w:tc>
        <w:tc>
          <w:tcPr>
            <w:tcW w:type="dxa" w:w="1440"/>
          </w:tcPr>
          <w:p>
            <w:r>
              <w:t>0.0706</w:t>
            </w:r>
          </w:p>
        </w:tc>
        <w:tc>
          <w:tcPr>
            <w:tcW w:type="dxa" w:w="1440"/>
          </w:tcPr>
          <w:p>
            <w:r>
              <w:t>0.0381</w:t>
            </w:r>
          </w:p>
        </w:tc>
        <w:tc>
          <w:tcPr>
            <w:tcW w:type="dxa" w:w="1440"/>
          </w:tcPr>
          <w:p>
            <w:r>
              <w:t>2.1745</w:t>
            </w:r>
          </w:p>
        </w:tc>
      </w:tr>
      <w:tr>
        <w:tc>
          <w:tcPr>
            <w:tcW w:type="dxa" w:w="1440"/>
          </w:tcPr>
          <w:p>
            <w:r>
              <w:t>12 Years</w:t>
            </w:r>
          </w:p>
        </w:tc>
        <w:tc>
          <w:tcPr>
            <w:tcW w:type="dxa" w:w="1440"/>
          </w:tcPr>
          <w:p>
            <w:r>
              <w:t>144.0000</w:t>
            </w:r>
          </w:p>
        </w:tc>
        <w:tc>
          <w:tcPr>
            <w:tcW w:type="dxa" w:w="1440"/>
          </w:tcPr>
          <w:p>
            <w:r>
              <w:t>0.0349</w:t>
            </w:r>
          </w:p>
        </w:tc>
        <w:tc>
          <w:tcPr>
            <w:tcW w:type="dxa" w:w="1440"/>
          </w:tcPr>
          <w:p>
            <w:r>
              <w:t>0.0751</w:t>
            </w:r>
          </w:p>
        </w:tc>
        <w:tc>
          <w:tcPr>
            <w:tcW w:type="dxa" w:w="1440"/>
          </w:tcPr>
          <w:p>
            <w:r>
              <w:t>0.0402</w:t>
            </w:r>
          </w:p>
        </w:tc>
        <w:tc>
          <w:tcPr>
            <w:tcW w:type="dxa" w:w="1440"/>
          </w:tcPr>
          <w:p>
            <w:r>
              <w:t>2.1510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formula_mortality_land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This analysis starts follow-up exactly at the day treatment ends (abandonment or completion).</w:t>
      </w:r>
    </w:p>
    <w:p>
      <w:pPr>
        <w:pStyle w:val="Heading1"/>
      </w:pPr>
      <w:r>
        <w:t>Strategy 3: Landmark at End of Treatment / Outcome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Year_Post_Start</w:t>
            </w:r>
          </w:p>
        </w:tc>
        <w:tc>
          <w:tcPr>
            <w:tcW w:type="dxa" w:w="1440"/>
          </w:tcPr>
          <w:p>
            <w:r>
              <w:t>Month_Post_Landmark</w:t>
            </w:r>
          </w:p>
        </w:tc>
        <w:tc>
          <w:tcPr>
            <w:tcW w:type="dxa" w:w="1440"/>
          </w:tcPr>
          <w:p>
            <w:r>
              <w:t>Risk_Non_LTFU</w:t>
            </w:r>
          </w:p>
        </w:tc>
        <w:tc>
          <w:tcPr>
            <w:tcW w:type="dxa" w:w="1440"/>
          </w:tcPr>
          <w:p>
            <w:r>
              <w:t>Risk_LTFU</w:t>
            </w:r>
          </w:p>
        </w:tc>
        <w:tc>
          <w:tcPr>
            <w:tcW w:type="dxa" w:w="1440"/>
          </w:tcPr>
          <w:p>
            <w:r>
              <w:t>RD</w:t>
            </w:r>
          </w:p>
        </w:tc>
        <w:tc>
          <w:tcPr>
            <w:tcW w:type="dxa" w:w="1440"/>
          </w:tcPr>
          <w:p>
            <w:r>
              <w:t>RR</w:t>
            </w:r>
          </w:p>
        </w:tc>
      </w:tr>
      <w:tr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6.0000</w:t>
            </w:r>
          </w:p>
        </w:tc>
        <w:tc>
          <w:tcPr>
            <w:tcW w:type="dxa" w:w="1440"/>
          </w:tcPr>
          <w:p>
            <w:r>
              <w:t>0.0039</w:t>
            </w:r>
          </w:p>
        </w:tc>
        <w:tc>
          <w:tcPr>
            <w:tcW w:type="dxa" w:w="1440"/>
          </w:tcPr>
          <w:p>
            <w:r>
              <w:t>0.0111</w:t>
            </w:r>
          </w:p>
        </w:tc>
        <w:tc>
          <w:tcPr>
            <w:tcW w:type="dxa" w:w="1440"/>
          </w:tcPr>
          <w:p>
            <w:r>
              <w:t>0.0072</w:t>
            </w:r>
          </w:p>
        </w:tc>
        <w:tc>
          <w:tcPr>
            <w:tcW w:type="dxa" w:w="1440"/>
          </w:tcPr>
          <w:p>
            <w:r>
              <w:t>2.8217</w:t>
            </w:r>
          </w:p>
        </w:tc>
      </w:tr>
      <w:tr>
        <w:tc>
          <w:tcPr>
            <w:tcW w:type="dxa" w:w="1440"/>
          </w:tcPr>
          <w:p>
            <w:r>
              <w:t>5.0000</w:t>
            </w:r>
          </w:p>
        </w:tc>
        <w:tc>
          <w:tcPr>
            <w:tcW w:type="dxa" w:w="1440"/>
          </w:tcPr>
          <w:p>
            <w:r>
              <w:t>54.0000</w:t>
            </w:r>
          </w:p>
        </w:tc>
        <w:tc>
          <w:tcPr>
            <w:tcW w:type="dxa" w:w="1440"/>
          </w:tcPr>
          <w:p>
            <w:r>
              <w:t>0.0192</w:t>
            </w:r>
          </w:p>
        </w:tc>
        <w:tc>
          <w:tcPr>
            <w:tcW w:type="dxa" w:w="1440"/>
          </w:tcPr>
          <w:p>
            <w:r>
              <w:t>0.0462</w:t>
            </w:r>
          </w:p>
        </w:tc>
        <w:tc>
          <w:tcPr>
            <w:tcW w:type="dxa" w:w="1440"/>
          </w:tcPr>
          <w:p>
            <w:r>
              <w:t>0.0270</w:t>
            </w:r>
          </w:p>
        </w:tc>
        <w:tc>
          <w:tcPr>
            <w:tcW w:type="dxa" w:w="1440"/>
          </w:tcPr>
          <w:p>
            <w:r>
              <w:t>2.4039</w:t>
            </w:r>
          </w:p>
        </w:tc>
      </w:tr>
      <w:tr>
        <w:tc>
          <w:tcPr>
            <w:tcW w:type="dxa" w:w="1440"/>
          </w:tcPr>
          <w:p>
            <w:r>
              <w:t>10.0000</w:t>
            </w:r>
          </w:p>
        </w:tc>
        <w:tc>
          <w:tcPr>
            <w:tcW w:type="dxa" w:w="1440"/>
          </w:tcPr>
          <w:p>
            <w:r>
              <w:t>114.0000</w:t>
            </w:r>
          </w:p>
        </w:tc>
        <w:tc>
          <w:tcPr>
            <w:tcW w:type="dxa" w:w="1440"/>
          </w:tcPr>
          <w:p>
            <w:r>
              <w:t>0.0324</w:t>
            </w:r>
          </w:p>
        </w:tc>
        <w:tc>
          <w:tcPr>
            <w:tcW w:type="dxa" w:w="1440"/>
          </w:tcPr>
          <w:p>
            <w:r>
              <w:t>0.0667</w:t>
            </w:r>
          </w:p>
        </w:tc>
        <w:tc>
          <w:tcPr>
            <w:tcW w:type="dxa" w:w="1440"/>
          </w:tcPr>
          <w:p>
            <w:r>
              <w:t>0.0343</w:t>
            </w:r>
          </w:p>
        </w:tc>
        <w:tc>
          <w:tcPr>
            <w:tcW w:type="dxa" w:w="1440"/>
          </w:tcPr>
          <w:p>
            <w:r>
              <w:t>2.0565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_180d_mortalidade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Evidence-Based Triangulation: QBA &amp; E-Value</w:t>
      </w:r>
    </w:p>
    <w:p>
      <w:r>
        <w:t>This section addresses the 'Two-Way Bias' (Sick-to-Stay vs Healthy-to-Quit) to reconcile the differences between Time 0 and Landmark results.</w:t>
      </w:r>
    </w:p>
    <w:p>
      <w:pPr>
        <w:pStyle w:val="Heading2"/>
      </w:pPr>
      <w:r>
        <w:t>1. Quantitative Bias Analysis (QBA) - Correcting Time 0</w:t>
      </w:r>
    </w:p>
    <w:p>
      <w:r>
        <w:t>To correct the 'Sick-to-Stay' bias at Time 0 (where the observed RR was 0.947), we adjusted for an unmeasured severity factor (U) with the following priors: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RR_UY (Effect of U on Death)</w:t>
            </w:r>
          </w:p>
        </w:tc>
        <w:tc>
          <w:tcPr>
            <w:tcW w:type="dxa" w:w="4320"/>
          </w:tcPr>
          <w:p>
            <w:r>
              <w:t>4.50</w:t>
            </w:r>
          </w:p>
        </w:tc>
      </w:tr>
      <w:tr>
        <w:tc>
          <w:tcPr>
            <w:tcW w:type="dxa" w:w="4320"/>
          </w:tcPr>
          <w:p>
            <w:r>
              <w:t>P(U|A=1) (Prevalence in Abandoners)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P(U|A=0) (Prevalence in Completers)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Adjusted Risk Ratio (Corrected Effect)</w:t>
            </w:r>
          </w:p>
        </w:tc>
        <w:tc>
          <w:tcPr>
            <w:tcW w:type="dxa" w:w="4320"/>
          </w:tcPr>
          <w:p>
            <w:r>
              <w:t>1.65</w:t>
            </w:r>
          </w:p>
        </w:tc>
      </w:tr>
    </w:tbl>
    <w:p>
      <w:r>
        <w:br/>
        <w:t>Result: The 'protective' effect at Time 0 disappears, revealing a 65% increased risk.</w:t>
      </w:r>
    </w:p>
    <w:p>
      <w:pPr>
        <w:pStyle w:val="Heading2"/>
      </w:pPr>
      <w:r>
        <w:t>2. E-Value - Robustness of 180-day Landmark</w:t>
      </w:r>
    </w:p>
    <w:p>
      <w:r>
        <w:t>For our primary causal estimate (180-day Landmark, RR=2.15), we calculated the E-value:</w:t>
      </w:r>
    </w:p>
    <w:p>
      <w:r>
        <w:t>E-Value: 3.72 (Lower Bound: 3.31)</w:t>
      </w:r>
    </w:p>
    <w:p>
      <w:r>
        <w:t>This indicates a high degree of robustness to unmeasured confounding.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