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Landmark 180-Day Analysis Results (Harmonized Filters)</w:t>
      </w:r>
    </w:p>
    <w:p>
      <w:r>
        <w:t>This analysis compares 10-year mortality between Loss to follow-up (LTFU) and Control, restricted to patients who survived at least 180 days after starting treatment.</w:t>
      </w:r>
    </w:p>
    <w:p>
      <w:r>
        <w:t>Variables adjusted: Age, Sex, Race (clean), Education (clean), HIV, Diabetes, Alcohol, Drug Use, Incarceration, Homelessness, Hospitalization, Clinical Form, and DOT.</w:t>
      </w:r>
    </w:p>
    <w:p>
      <w:pPr>
        <w:pStyle w:val="Heading1"/>
      </w:pPr>
      <w:r>
        <w:t>Adjusted Hazard Ratio (Cox Model)</w:t>
      </w:r>
    </w:p>
    <w:p>
      <w:r>
        <w:t>The adjusted Hazard Ratio for Loss to follow-up was 2.32 (95% CI: 2.14 – 2.52).</w:t>
      </w:r>
    </w:p>
    <w:p>
      <w:pPr>
        <w:pStyle w:val="Heading1"/>
      </w:pPr>
      <w:r>
        <w:t>G-Formula Absolute Risk Estimates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Year Post-Start</w:t>
            </w:r>
          </w:p>
        </w:tc>
        <w:tc>
          <w:tcPr>
            <w:tcW w:type="dxa" w:w="1728"/>
          </w:tcPr>
          <w:p>
            <w:r>
              <w:t>Non-LTFU (%)</w:t>
            </w:r>
          </w:p>
        </w:tc>
        <w:tc>
          <w:tcPr>
            <w:tcW w:type="dxa" w:w="1728"/>
          </w:tcPr>
          <w:p>
            <w:r>
              <w:t>Loss to follow-up (%)</w:t>
            </w:r>
          </w:p>
        </w:tc>
        <w:tc>
          <w:tcPr>
            <w:tcW w:type="dxa" w:w="1728"/>
          </w:tcPr>
          <w:p>
            <w:r>
              <w:t>Risk Ratio (RR)</w:t>
            </w:r>
          </w:p>
        </w:tc>
        <w:tc>
          <w:tcPr>
            <w:tcW w:type="dxa" w:w="1728"/>
          </w:tcPr>
          <w:p>
            <w:r>
              <w:t>Risk Difference (RD %)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0.39%</w:t>
            </w:r>
          </w:p>
        </w:tc>
        <w:tc>
          <w:tcPr>
            <w:tcW w:type="dxa" w:w="1728"/>
          </w:tcPr>
          <w:p>
            <w:r>
              <w:t>1.11%</w:t>
            </w:r>
          </w:p>
        </w:tc>
        <w:tc>
          <w:tcPr>
            <w:tcW w:type="dxa" w:w="1728"/>
          </w:tcPr>
          <w:p>
            <w:r>
              <w:t>2.82</w:t>
            </w:r>
          </w:p>
        </w:tc>
        <w:tc>
          <w:tcPr>
            <w:tcW w:type="dxa" w:w="1728"/>
          </w:tcPr>
          <w:p>
            <w:r>
              <w:t>+0.72%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1.92%</w:t>
            </w:r>
          </w:p>
        </w:tc>
        <w:tc>
          <w:tcPr>
            <w:tcW w:type="dxa" w:w="1728"/>
          </w:tcPr>
          <w:p>
            <w:r>
              <w:t>4.62%</w:t>
            </w:r>
          </w:p>
        </w:tc>
        <w:tc>
          <w:tcPr>
            <w:tcW w:type="dxa" w:w="1728"/>
          </w:tcPr>
          <w:p>
            <w:r>
              <w:t>2.40</w:t>
            </w:r>
          </w:p>
        </w:tc>
        <w:tc>
          <w:tcPr>
            <w:tcW w:type="dxa" w:w="1728"/>
          </w:tcPr>
          <w:p>
            <w:r>
              <w:t>+2.70%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3.24%</w:t>
            </w:r>
          </w:p>
        </w:tc>
        <w:tc>
          <w:tcPr>
            <w:tcW w:type="dxa" w:w="1728"/>
          </w:tcPr>
          <w:p>
            <w:r>
              <w:t>6.67%</w:t>
            </w:r>
          </w:p>
        </w:tc>
        <w:tc>
          <w:tcPr>
            <w:tcW w:type="dxa" w:w="1728"/>
          </w:tcPr>
          <w:p>
            <w:r>
              <w:t>2.06</w:t>
            </w:r>
          </w:p>
        </w:tc>
        <w:tc>
          <w:tcPr>
            <w:tcW w:type="dxa" w:w="1728"/>
          </w:tcPr>
          <w:p>
            <w:r>
              <w:t>+3.43%</w:t>
            </w:r>
          </w:p>
        </w:tc>
      </w:tr>
    </w:tbl>
    <w:p>
      <w:pPr>
        <w:pStyle w:val="Heading1"/>
      </w:pPr>
      <w:r>
        <w:t>Causal Survival Curves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mark_180d_mortalidade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