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2: Multivariable Results (ITT Cohort)</w:t>
      </w:r>
    </w:p>
    <w:p>
      <w:pPr>
        <w:pStyle w:val="Heading1"/>
      </w:pPr>
      <w:r>
        <w:t>Table 2a: Multiple Imputation (N=21,619 Loss to follow-up)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t>Characteristics</w:t>
            </w:r>
          </w:p>
        </w:tc>
        <w:tc>
          <w:tcPr>
            <w:tcW w:type="dxa" w:w="3456"/>
            <w:gridSpan w:val="2"/>
          </w:tcPr>
          <w:p>
            <w:pPr>
              <w:spacing w:after="0"/>
            </w:pPr>
            <w:r>
              <w:t>Retreatment (SHR)</w:t>
            </w:r>
          </w:p>
        </w:tc>
        <w:tc>
          <w:tcPr>
            <w:tcW w:type="dxa" w:w="3456"/>
            <w:gridSpan w:val="2"/>
          </w:tcPr>
          <w:p>
            <w:pPr>
              <w:spacing w:after="0"/>
            </w:pPr>
            <w:r>
              <w:t>Mortality (HR)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  <w:r>
              <w:t>Unadjusted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Adjusted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Unadjusted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Adjusted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Socio-demographic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Age Group (ref: 15–24 years)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25–44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1.14 (1.08-1.19)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1.03 (0.98-1.08)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1.77 (1.52-2.05)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1.23 (1.06-1.43)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45–64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1.02 (0.95-1.09)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0.87 (0.82-0.94)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3.02 (2.57-3.54)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1.86 (1.57-2.20)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≥65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0.65 (0.56-0.76)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0.59 (0.50-0.69)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3.63 (2.83-4.65)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2.72 (2.10-3.53)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Male Sex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0.98 (0.93-1.03)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0.98 (0.93-1.03)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0.87 (0.78-0.97)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0.96 (0.85-1.07)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Race (ref: White)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Black or Mixed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1.08 (1.03-1.13)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1.02 (0.98-1.07)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1.05 (0.95-1.16)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1.06 (0.95-1.18)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Other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0.73 (0.54-0.99)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0.77 (0.56-1.06)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1.11 (0.65-1.90)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1.25 (0.75-2.07)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Education Level (ref: ≥12 years)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8–11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1.23 (1.09-1.39)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1.17 (1.02-1.33)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1.33 (1.01-1.75)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1.34 (1.00-1.79)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≤7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1.39 (1.23-1.56)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1.26 (1.11-1.44)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1.96 (1.54-2.48)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1.74 (1.35-2.24)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No education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1.31 (1.10-1.55)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1.14 (0.95-1.36)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2.73 (1.86-4.01)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1.90 (1.29-2.79)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Clinical Comorbidities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HIV/AIDS status (ref: Negative)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Positive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1.61 (1.52-1.70)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1.37 (1.29-1.45)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3.27 (2.94-3.63)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2.29 (2.04-2.57)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Diabetes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0.93 (0.84-1.04)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0.98 (0.88-1.10)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1.45 (1.17-1.80)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1.10 (0.88-1.37)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Behavioral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Alcohol Use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1.28 (1.23-1.34)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1.07 (1.02-1.12)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1.71 (1.55-1.88)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1.35 (1.21-1.51)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Drug Use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1.41 (1.35-1.47)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1.18 (1.13-1.24)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1.31 (1.18-1.44)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0.98 (0.88-1.09)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Social Vulnerabilities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Incarcerated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0.80 (0.73-0.87)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0.85 (0.78-0.93)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0.24 (0.17-0.34)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0.45 (0.31-0.64)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Homelessness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1.16 (1.09-1.23)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0.87 (0.82-0.92)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1.88 (1.67-2.12)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1.10 (0.97-1.25)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Disease and Treatment-Related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Hospital Admission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1.87 (1.79-1.94)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1.74 (1.66-1.82)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5.97 (5.36-6.65)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4.45 (3.97-4.99)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Clinical form (ref: Pulmonary)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Extrapulmonary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0.68 (0.63-0.73)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0.60 (0.55-0.65)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1.04 (0.88-1.22)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0.72 (0.61-0.85)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Mixed/Disseminated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1.07 (0.95-1.21)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0.78 (0.69-0.87)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2.17 (1.77-2.66)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0.96 (0.78-1.18)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Direct Observed Therapy (DOT)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1.03 (0.98-1.08)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1.10 (1.04-1.15)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0.72 (0.65-0.80)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0.95 (0.85-1.07)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Loss to follow-up duration (ref: &lt;1 month)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1 to &lt;2 months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1.49 (1.37-1.63)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1.54 (1.41-1.69)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0.90 (0.75-1.07)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1.11 (0.93-1.32)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2 to &lt;4 months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1.16 (1.07-1.26)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1.23 (1.13-1.34)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0.62 (0.52-0.72)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0.92 (0.78-1.08)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≥ 4 months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0.59 (0.54-0.64)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0.65 (0.59-0.70)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0.42 (0.36-0.50)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0.75 (0.63-0.88)</w:t>
            </w:r>
          </w:p>
        </w:tc>
      </w:tr>
    </w:tbl>
    <w:p>
      <w:r>
        <w:br/>
      </w:r>
    </w:p>
    <w:p>
      <w:pPr>
        <w:pStyle w:val="Heading1"/>
      </w:pPr>
      <w:r>
        <w:t>Table 2b: Complete Case Analysis (N=11,864 Loss to follow-up)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t>Characteristics</w:t>
            </w:r>
          </w:p>
        </w:tc>
        <w:tc>
          <w:tcPr>
            <w:tcW w:type="dxa" w:w="3456"/>
            <w:gridSpan w:val="2"/>
          </w:tcPr>
          <w:p>
            <w:pPr>
              <w:spacing w:after="0"/>
            </w:pPr>
            <w:r>
              <w:t>Retreatment (SHR)</w:t>
            </w:r>
          </w:p>
        </w:tc>
        <w:tc>
          <w:tcPr>
            <w:tcW w:type="dxa" w:w="3456"/>
            <w:gridSpan w:val="2"/>
          </w:tcPr>
          <w:p>
            <w:pPr>
              <w:spacing w:after="0"/>
            </w:pPr>
            <w:r>
              <w:t>Mortality (HR)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  <w:r>
              <w:t>Unadjusted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Adjusted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Unadjusted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Adjusted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Socio-demographic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Age Group (ref: 15–24 years)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25–44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1.14 (1.08-1.19)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1.06 (0.99-1.14)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1.77 (1.52-2.05)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1.49 (1.21-1.84)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45–64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1.02 (0.95-1.09)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0.92 (0.84-1.02)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3.02 (2.57-3.54)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2.29 (1.81-2.88)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≥65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0.65 (0.56-0.76)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0.61 (0.48-0.77)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3.63 (2.83-4.65)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3.12 (2.13-4.57)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Male Sex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0.98 (0.93-1.03)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1.00 (0.93-1.07)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0.87 (0.78-0.97)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0.95 (0.82-1.11)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Race (ref: White)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Black or Mixed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1.08 (1.03-1.13)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0.99 (0.94-1.05)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1.05 (0.95-1.16)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1.00 (0.88-1.15)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Other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0.73 (0.54-0.99)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0.80 (0.57-1.13)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1.11 (0.65-1.90)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1.25 (0.62-2.52)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Education Level (ref: ≥12 years)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8–11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1.23 (1.09-1.39)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1.27 (1.13-1.43)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1.33 (1.01-1.75)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1.65 (1.20-2.29)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≤7 years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1.39 (1.23-1.56)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1.35 (1.20-1.52)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1.96 (1.54-2.48)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2.14 (1.55-2.94)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No education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1.31 (1.10-1.55)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1.20 (0.95-1.52)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2.73 (1.86-4.01)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2.56 (1.62-4.06)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Clinical Comorbidities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HIV/AIDS status (ref: Negative)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Positive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1.61 (1.52-1.70)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1.35 (1.25-1.47)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3.27 (2.94-3.63)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2.39 (2.06-2.78)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Diabetes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0.93 (0.84-1.04)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1.02 (0.88-1.18)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1.45 (1.17-1.80)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1.06 (0.79-1.42)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Behavioral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Alcohol Use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1.28 (1.23-1.34)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0.98 (0.92-1.05)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1.71 (1.55-1.88)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1.38 (1.20-1.59)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Drug Use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1.41 (1.35-1.47)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1.15 (1.08-1.23)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1.31 (1.18-1.44)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0.90 (0.78-1.04)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Social Vulnerabilities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Incarcerated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0.80 (0.73-0.87)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0.86 (0.76-0.97)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0.24 (0.17-0.34)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0.58 (0.38-0.89)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Homelessness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1.16 (1.09-1.23)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1.00 (0.91-1.09)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1.88 (1.67-2.12)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1.26 (1.06-1.50)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i/>
              </w:rPr>
              <w:t>Disease and Treatment-Related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Hospital Admission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1.87 (1.79-1.94)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1.88 (1.77-2.00)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5.97 (5.36-6.65)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5.03 (4.33-5.85)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Clinical form (ref: Pulmonary)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Extrapulmonary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0.68 (0.63-0.73)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0.61 (0.54-0.68)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1.04 (0.88-1.22)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0.63 (0.50-0.79)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Mixed/Disseminated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1.07 (0.95-1.21)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0.77 (0.65-0.91)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2.17 (1.77-2.66)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0.94 (0.72-1.24)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Direct Observed Therapy (DOT)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1.03 (0.98-1.08)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1.04 (0.97-1.11)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0.72 (0.65-0.80)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0.94 (0.81-1.08)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Loss to follow-up duration (ref: &lt;1 month)</w:t>
            </w: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  <w:tc>
          <w:tcPr>
            <w:tcW w:type="dxa" w:w="1728"/>
          </w:tcPr>
          <w:p>
            <w:pPr>
              <w:spacing w:after="0"/>
            </w:pP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1 to &lt;2 months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1.49 (1.37-1.63)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1.26 (1.11-1.43)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0.90 (0.75-1.07)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1.16 (0.89-1.50)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2 to &lt;4 months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1.16 (1.07-1.26)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1.04 (0.92-1.17)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0.62 (0.52-0.72)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1.06 (0.83-1.36)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 xml:space="preserve">    ≥ 4 months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0.59 (0.54-0.64)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0.54 (0.48-0.61)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0.42 (0.36-0.50)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0.80 (0.62-1.02)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