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Stratified Mortality Analysis (Kaplan-Meier)</w:t>
      </w:r>
    </w:p>
    <w:p>
      <w:pPr>
        <w:pStyle w:val="Heading1"/>
      </w:pPr>
      <w:r>
        <w:t>1. Stratified by HIV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12 Years</w:t>
            </w:r>
          </w:p>
        </w:tc>
      </w:tr>
      <w:tr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1.86%</w:t>
            </w:r>
          </w:p>
        </w:tc>
        <w:tc>
          <w:tcPr>
            <w:tcW w:type="dxa" w:w="1728"/>
          </w:tcPr>
          <w:p>
            <w:r>
              <w:t>6.03%</w:t>
            </w:r>
          </w:p>
        </w:tc>
        <w:tc>
          <w:tcPr>
            <w:tcW w:type="dxa" w:w="1728"/>
          </w:tcPr>
          <w:p>
            <w:r>
              <w:t>8.61%</w:t>
            </w:r>
          </w:p>
        </w:tc>
        <w:tc>
          <w:tcPr>
            <w:tcW w:type="dxa" w:w="1728"/>
          </w:tcPr>
          <w:p>
            <w:r>
              <w:t>9.54%</w:t>
            </w:r>
          </w:p>
        </w:tc>
      </w:tr>
      <w:tr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7.00%</w:t>
            </w:r>
          </w:p>
        </w:tc>
        <w:tc>
          <w:tcPr>
            <w:tcW w:type="dxa" w:w="1728"/>
          </w:tcPr>
          <w:p>
            <w:r>
              <w:t>18.92%</w:t>
            </w:r>
          </w:p>
        </w:tc>
        <w:tc>
          <w:tcPr>
            <w:tcW w:type="dxa" w:w="1728"/>
          </w:tcPr>
          <w:p>
            <w:r>
              <w:t>24.64%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ality_KM_12y_by_H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Stratified by Homelessness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11.9 Years</w:t>
            </w:r>
          </w:p>
        </w:tc>
      </w:tr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2.18%</w:t>
            </w:r>
          </w:p>
        </w:tc>
        <w:tc>
          <w:tcPr>
            <w:tcW w:type="dxa" w:w="1728"/>
          </w:tcPr>
          <w:p>
            <w:r>
              <w:t>6.81%</w:t>
            </w:r>
          </w:p>
        </w:tc>
        <w:tc>
          <w:tcPr>
            <w:tcW w:type="dxa" w:w="1728"/>
          </w:tcPr>
          <w:p>
            <w:r>
              <w:t>9.56%</w:t>
            </w:r>
          </w:p>
        </w:tc>
        <w:tc>
          <w:tcPr>
            <w:tcW w:type="dxa" w:w="1728"/>
          </w:tcPr>
          <w:p>
            <w:r>
              <w:t>10.31%</w:t>
            </w:r>
          </w:p>
        </w:tc>
      </w:tr>
      <w:tr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4.27%</w:t>
            </w:r>
          </w:p>
        </w:tc>
        <w:tc>
          <w:tcPr>
            <w:tcW w:type="dxa" w:w="1728"/>
          </w:tcPr>
          <w:p>
            <w:r>
              <w:t>12.59%</w:t>
            </w:r>
          </w:p>
        </w:tc>
        <w:tc>
          <w:tcPr>
            <w:tcW w:type="dxa" w:w="1728"/>
          </w:tcPr>
          <w:p>
            <w:r>
              <w:t>17.47%</w:t>
            </w:r>
          </w:p>
        </w:tc>
        <w:tc>
          <w:tcPr>
            <w:tcW w:type="dxa" w:w="1728"/>
          </w:tcPr>
          <w:p>
            <w:r>
              <w:t>18.97%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ality_KM_12y_by_Homeless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Stratified by Timing of Loss to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11.9 Years</w:t>
            </w:r>
          </w:p>
        </w:tc>
      </w:tr>
      <w:tr>
        <w:tc>
          <w:tcPr>
            <w:tcW w:type="dxa" w:w="1728"/>
          </w:tcPr>
          <w:p>
            <w:r>
              <w:t>1 to &lt;2 months</w:t>
            </w:r>
          </w:p>
        </w:tc>
        <w:tc>
          <w:tcPr>
            <w:tcW w:type="dxa" w:w="1728"/>
          </w:tcPr>
          <w:p>
            <w:r>
              <w:t>5.30%</w:t>
            </w:r>
          </w:p>
        </w:tc>
        <w:tc>
          <w:tcPr>
            <w:tcW w:type="dxa" w:w="1728"/>
          </w:tcPr>
          <w:p>
            <w:r>
              <w:t>11.88%</w:t>
            </w:r>
          </w:p>
        </w:tc>
        <w:tc>
          <w:tcPr>
            <w:tcW w:type="dxa" w:w="1728"/>
          </w:tcPr>
          <w:p>
            <w:r>
              <w:t>14.57%</w:t>
            </w:r>
          </w:p>
        </w:tc>
        <w:tc>
          <w:tcPr>
            <w:tcW w:type="dxa" w:w="1728"/>
          </w:tcPr>
          <w:p>
            <w:r>
              <w:t>15.61%</w:t>
            </w:r>
          </w:p>
        </w:tc>
      </w:tr>
      <w:tr>
        <w:tc>
          <w:tcPr>
            <w:tcW w:type="dxa" w:w="1728"/>
          </w:tcPr>
          <w:p>
            <w:r>
              <w:t>2 to &lt;4 months</w:t>
            </w:r>
          </w:p>
        </w:tc>
        <w:tc>
          <w:tcPr>
            <w:tcW w:type="dxa" w:w="1728"/>
          </w:tcPr>
          <w:p>
            <w:r>
              <w:t>2.60%</w:t>
            </w:r>
          </w:p>
        </w:tc>
        <w:tc>
          <w:tcPr>
            <w:tcW w:type="dxa" w:w="1728"/>
          </w:tcPr>
          <w:p>
            <w:r>
              <w:t>8.12%</w:t>
            </w:r>
          </w:p>
        </w:tc>
        <w:tc>
          <w:tcPr>
            <w:tcW w:type="dxa" w:w="1728"/>
          </w:tcPr>
          <w:p>
            <w:r>
              <w:t>11.31%</w:t>
            </w:r>
          </w:p>
        </w:tc>
        <w:tc>
          <w:tcPr>
            <w:tcW w:type="dxa" w:w="1728"/>
          </w:tcPr>
          <w:p>
            <w:r>
              <w:t>11.57%</w:t>
            </w:r>
          </w:p>
        </w:tc>
      </w:tr>
      <w:tr>
        <w:tc>
          <w:tcPr>
            <w:tcW w:type="dxa" w:w="1728"/>
          </w:tcPr>
          <w:p>
            <w:r>
              <w:t>&lt; 1 month</w:t>
            </w:r>
          </w:p>
        </w:tc>
        <w:tc>
          <w:tcPr>
            <w:tcW w:type="dxa" w:w="1728"/>
          </w:tcPr>
          <w:p>
            <w:r>
              <w:t>6.60%</w:t>
            </w:r>
          </w:p>
        </w:tc>
        <w:tc>
          <w:tcPr>
            <w:tcW w:type="dxa" w:w="1728"/>
          </w:tcPr>
          <w:p>
            <w:r>
              <w:t>12.91%</w:t>
            </w:r>
          </w:p>
        </w:tc>
        <w:tc>
          <w:tcPr>
            <w:tcW w:type="dxa" w:w="1728"/>
          </w:tcPr>
          <w:p>
            <w:r>
              <w:t>16.40%</w:t>
            </w:r>
          </w:p>
        </w:tc>
        <w:tc>
          <w:tcPr>
            <w:tcW w:type="dxa" w:w="1728"/>
          </w:tcPr>
          <w:p>
            <w:r>
              <w:t>16.94%</w:t>
            </w:r>
          </w:p>
        </w:tc>
      </w:tr>
      <w:tr>
        <w:tc>
          <w:tcPr>
            <w:tcW w:type="dxa" w:w="1728"/>
          </w:tcPr>
          <w:p>
            <w:r>
              <w:t>≥ 4 months</w:t>
            </w:r>
          </w:p>
        </w:tc>
        <w:tc>
          <w:tcPr>
            <w:tcW w:type="dxa" w:w="1728"/>
          </w:tcPr>
          <w:p>
            <w:r>
              <w:t>0.95%</w:t>
            </w:r>
          </w:p>
        </w:tc>
        <w:tc>
          <w:tcPr>
            <w:tcW w:type="dxa" w:w="1728"/>
          </w:tcPr>
          <w:p>
            <w:r>
              <w:t>5.18%</w:t>
            </w:r>
          </w:p>
        </w:tc>
        <w:tc>
          <w:tcPr>
            <w:tcW w:type="dxa" w:w="1728"/>
          </w:tcPr>
          <w:p>
            <w:r>
              <w:t>8.07%</w:t>
            </w:r>
          </w:p>
        </w:tc>
        <w:tc>
          <w:tcPr>
            <w:tcW w:type="dxa" w:w="1728"/>
          </w:tcPr>
          <w:p>
            <w:r>
              <w:t>9.24%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ality_KM_12y_by_TimingLT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