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A68"/>
          <w:sz w:val="36"/>
        </w:rPr>
        <w:t>Error Analysis and Limitations</w:t>
      </w:r>
    </w:p>
    <w:p>
      <w:pPr>
        <w:jc w:val="center"/>
      </w:pPr>
      <w:r>
        <w:rPr>
          <w:rFonts w:ascii="Calibri" w:hAnsi="Calibri"/>
          <w:i/>
          <w:color w:val="666666"/>
          <w:sz w:val="22"/>
        </w:rPr>
        <w:t>Section 5.6 supplement — ready-to-integrate dissertation content</w:t>
      </w:r>
    </w:p>
    <w:p/>
    <w:p>
      <w:pPr>
        <w:pStyle w:val="Heading1"/>
      </w:pPr>
      <w:r>
        <w:rPr>
          <w:rFonts w:ascii="Calibri" w:hAnsi="Calibri"/>
          <w:color w:val="1F3A68"/>
        </w:rPr>
        <w:t>1. Summary of error analysis</w:t>
      </w:r>
    </w:p>
    <w:p>
      <w:pPr>
        <w:spacing w:after="120"/>
        <w:ind w:firstLine="283"/>
      </w:pPr>
      <w:r>
        <w:rPr>
          <w:rFonts w:ascii="Calibri" w:hAnsi="Calibri"/>
          <w:i w:val="0"/>
          <w:sz w:val="22"/>
        </w:rPr>
        <w:t>Across the held-out test set (482 messages) and the BongoSCAM-only subset (264 messages), the three classifiers produced a combined total of seven misclassification records on four unique messages. Random Forest produced no errors on either set. Linear SVM produced one error on each set. Multinomial Naïve Bayes produced three errors on the test set and two on the BongoSCAM subset.</w:t>
      </w:r>
    </w:p>
    <w:tbl>
      <w:tblPr>
        <w:tblStyle w:val="LightGrid-Accent1"/>
        <w:tblW w:type="auto" w:w="0"/>
        <w:jc w:val="center"/>
        <w:tblLook w:firstColumn="1" w:firstRow="1" w:lastColumn="0" w:lastRow="0" w:noHBand="0" w:noVBand="1" w:val="04A0"/>
      </w:tblPr>
      <w:tblGrid>
        <w:gridCol w:w="1847"/>
        <w:gridCol w:w="1847"/>
        <w:gridCol w:w="1847"/>
        <w:gridCol w:w="1847"/>
        <w:gridCol w:w="1847"/>
      </w:tblGrid>
      <w:tr>
        <w:tc>
          <w:tcPr>
            <w:tcW w:type="dxa" w:w="1847"/>
            <w:shd w:val="clear" w:color="auto" w:fill="1F3A68"/>
          </w:tcPr>
          <w:p>
            <w:r/>
            <w:r>
              <w:rPr>
                <w:rFonts w:ascii="Calibri" w:hAnsi="Calibri"/>
                <w:b/>
                <w:color w:val="FFFFFF"/>
                <w:sz w:val="22"/>
              </w:rPr>
              <w:t>Algorithm</w:t>
            </w:r>
          </w:p>
        </w:tc>
        <w:tc>
          <w:tcPr>
            <w:tcW w:type="dxa" w:w="1847"/>
            <w:shd w:val="clear" w:color="auto" w:fill="1F3A68"/>
          </w:tcPr>
          <w:p>
            <w:r/>
            <w:r>
              <w:rPr>
                <w:rFonts w:ascii="Calibri" w:hAnsi="Calibri"/>
                <w:b/>
                <w:color w:val="FFFFFF"/>
                <w:sz w:val="22"/>
              </w:rPr>
              <w:t>Test errors (n=482)</w:t>
            </w:r>
          </w:p>
        </w:tc>
        <w:tc>
          <w:tcPr>
            <w:tcW w:type="dxa" w:w="1847"/>
            <w:shd w:val="clear" w:color="auto" w:fill="1F3A68"/>
          </w:tcPr>
          <w:p>
            <w:r/>
            <w:r>
              <w:rPr>
                <w:rFonts w:ascii="Calibri" w:hAnsi="Calibri"/>
                <w:b/>
                <w:color w:val="FFFFFF"/>
                <w:sz w:val="22"/>
              </w:rPr>
              <w:t>BongoSCAM errors (n=264)</w:t>
            </w:r>
          </w:p>
        </w:tc>
        <w:tc>
          <w:tcPr>
            <w:tcW w:type="dxa" w:w="1847"/>
            <w:shd w:val="clear" w:color="auto" w:fill="1F3A68"/>
          </w:tcPr>
          <w:p>
            <w:r/>
            <w:r>
              <w:rPr>
                <w:rFonts w:ascii="Calibri" w:hAnsi="Calibri"/>
                <w:b/>
                <w:color w:val="FFFFFF"/>
                <w:sz w:val="22"/>
              </w:rPr>
              <w:t>Test accuracy</w:t>
            </w:r>
          </w:p>
        </w:tc>
        <w:tc>
          <w:tcPr>
            <w:tcW w:type="dxa" w:w="1847"/>
            <w:shd w:val="clear" w:color="auto" w:fill="1F3A68"/>
          </w:tcPr>
          <w:p>
            <w:r/>
            <w:r>
              <w:rPr>
                <w:rFonts w:ascii="Calibri" w:hAnsi="Calibri"/>
                <w:b/>
                <w:color w:val="FFFFFF"/>
                <w:sz w:val="22"/>
              </w:rPr>
              <w:t>BongoSCAM accuracy</w:t>
            </w:r>
          </w:p>
        </w:tc>
      </w:tr>
      <w:tr>
        <w:tc>
          <w:tcPr>
            <w:tcW w:type="dxa" w:w="1847"/>
          </w:tcPr>
          <w:p>
            <w:r/>
            <w:r>
              <w:rPr>
                <w:rFonts w:ascii="Calibri" w:hAnsi="Calibri"/>
                <w:sz w:val="20"/>
              </w:rPr>
              <w:t>Naïve Bayes</w:t>
            </w:r>
          </w:p>
        </w:tc>
        <w:tc>
          <w:tcPr>
            <w:tcW w:type="dxa" w:w="1847"/>
          </w:tcPr>
          <w:p>
            <w:r/>
            <w:r>
              <w:rPr>
                <w:rFonts w:ascii="Calibri" w:hAnsi="Calibri"/>
                <w:sz w:val="20"/>
              </w:rPr>
              <w:t>3</w:t>
            </w:r>
          </w:p>
        </w:tc>
        <w:tc>
          <w:tcPr>
            <w:tcW w:type="dxa" w:w="1847"/>
          </w:tcPr>
          <w:p>
            <w:r/>
            <w:r>
              <w:rPr>
                <w:rFonts w:ascii="Calibri" w:hAnsi="Calibri"/>
                <w:sz w:val="20"/>
              </w:rPr>
              <w:t>2</w:t>
            </w:r>
          </w:p>
        </w:tc>
        <w:tc>
          <w:tcPr>
            <w:tcW w:type="dxa" w:w="1847"/>
          </w:tcPr>
          <w:p>
            <w:r/>
            <w:r>
              <w:rPr>
                <w:rFonts w:ascii="Calibri" w:hAnsi="Calibri"/>
                <w:sz w:val="20"/>
              </w:rPr>
              <w:t>0.9938</w:t>
            </w:r>
          </w:p>
        </w:tc>
        <w:tc>
          <w:tcPr>
            <w:tcW w:type="dxa" w:w="1847"/>
          </w:tcPr>
          <w:p>
            <w:r/>
            <w:r>
              <w:rPr>
                <w:rFonts w:ascii="Calibri" w:hAnsi="Calibri"/>
                <w:sz w:val="20"/>
              </w:rPr>
              <w:t>0.9924</w:t>
            </w:r>
          </w:p>
        </w:tc>
      </w:tr>
      <w:tr>
        <w:tc>
          <w:tcPr>
            <w:tcW w:type="dxa" w:w="1847"/>
          </w:tcPr>
          <w:p>
            <w:r/>
            <w:r>
              <w:rPr>
                <w:rFonts w:ascii="Calibri" w:hAnsi="Calibri"/>
                <w:sz w:val="20"/>
              </w:rPr>
              <w:t>Linear SVM</w:t>
            </w:r>
          </w:p>
        </w:tc>
        <w:tc>
          <w:tcPr>
            <w:tcW w:type="dxa" w:w="1847"/>
          </w:tcPr>
          <w:p>
            <w:r/>
            <w:r>
              <w:rPr>
                <w:rFonts w:ascii="Calibri" w:hAnsi="Calibri"/>
                <w:sz w:val="20"/>
              </w:rPr>
              <w:t>1</w:t>
            </w:r>
          </w:p>
        </w:tc>
        <w:tc>
          <w:tcPr>
            <w:tcW w:type="dxa" w:w="1847"/>
          </w:tcPr>
          <w:p>
            <w:r/>
            <w:r>
              <w:rPr>
                <w:rFonts w:ascii="Calibri" w:hAnsi="Calibri"/>
                <w:sz w:val="20"/>
              </w:rPr>
              <w:t>1</w:t>
            </w:r>
          </w:p>
        </w:tc>
        <w:tc>
          <w:tcPr>
            <w:tcW w:type="dxa" w:w="1847"/>
          </w:tcPr>
          <w:p>
            <w:r/>
            <w:r>
              <w:rPr>
                <w:rFonts w:ascii="Calibri" w:hAnsi="Calibri"/>
                <w:sz w:val="20"/>
              </w:rPr>
              <w:t>0.9979</w:t>
            </w:r>
          </w:p>
        </w:tc>
        <w:tc>
          <w:tcPr>
            <w:tcW w:type="dxa" w:w="1847"/>
          </w:tcPr>
          <w:p>
            <w:r/>
            <w:r>
              <w:rPr>
                <w:rFonts w:ascii="Calibri" w:hAnsi="Calibri"/>
                <w:sz w:val="20"/>
              </w:rPr>
              <w:t>0.9962</w:t>
            </w:r>
          </w:p>
        </w:tc>
      </w:tr>
      <w:tr>
        <w:tc>
          <w:tcPr>
            <w:tcW w:type="dxa" w:w="1847"/>
          </w:tcPr>
          <w:p>
            <w:r/>
            <w:r>
              <w:rPr>
                <w:rFonts w:ascii="Calibri" w:hAnsi="Calibri"/>
                <w:sz w:val="20"/>
              </w:rPr>
              <w:t>Random Forest</w:t>
            </w:r>
          </w:p>
        </w:tc>
        <w:tc>
          <w:tcPr>
            <w:tcW w:type="dxa" w:w="1847"/>
          </w:tcPr>
          <w:p>
            <w:r/>
            <w:r>
              <w:rPr>
                <w:rFonts w:ascii="Calibri" w:hAnsi="Calibri"/>
                <w:sz w:val="20"/>
              </w:rPr>
              <w:t>0</w:t>
            </w:r>
          </w:p>
        </w:tc>
        <w:tc>
          <w:tcPr>
            <w:tcW w:type="dxa" w:w="1847"/>
          </w:tcPr>
          <w:p>
            <w:r/>
            <w:r>
              <w:rPr>
                <w:rFonts w:ascii="Calibri" w:hAnsi="Calibri"/>
                <w:sz w:val="20"/>
              </w:rPr>
              <w:t>0</w:t>
            </w:r>
          </w:p>
        </w:tc>
        <w:tc>
          <w:tcPr>
            <w:tcW w:type="dxa" w:w="1847"/>
          </w:tcPr>
          <w:p>
            <w:r/>
            <w:r>
              <w:rPr>
                <w:rFonts w:ascii="Calibri" w:hAnsi="Calibri"/>
                <w:sz w:val="20"/>
              </w:rPr>
              <w:t>1.0000</w:t>
            </w:r>
          </w:p>
        </w:tc>
        <w:tc>
          <w:tcPr>
            <w:tcW w:type="dxa" w:w="1847"/>
          </w:tcPr>
          <w:p>
            <w:r/>
            <w:r>
              <w:rPr>
                <w:rFonts w:ascii="Calibri" w:hAnsi="Calibri"/>
                <w:sz w:val="20"/>
              </w:rPr>
              <w:t>1.0000</w:t>
            </w:r>
          </w:p>
        </w:tc>
      </w:tr>
    </w:tbl>
    <w:p/>
    <w:p>
      <w:pPr>
        <w:spacing w:after="120"/>
      </w:pPr>
      <w:r>
        <w:rPr>
          <w:rFonts w:ascii="Calibri" w:hAnsi="Calibri"/>
          <w:i/>
          <w:sz w:val="22"/>
        </w:rPr>
        <w:t>Table 5.6.1. Error counts and corresponding accuracies on each test set.</w:t>
      </w:r>
    </w:p>
    <w:p>
      <w:pPr>
        <w:spacing w:after="120"/>
        <w:ind w:firstLine="283"/>
      </w:pPr>
      <w:r>
        <w:rPr>
          <w:rFonts w:ascii="Calibri" w:hAnsi="Calibri"/>
          <w:i w:val="0"/>
          <w:sz w:val="22"/>
        </w:rPr>
        <w:t>Pairwise Jaccard similarity between the three algorithms’ error sets was zero, indicating that no two algorithms misclassified the same message. Across the 482-message test set, only four unique messages were misclassified by any algorithm (0.83 percent of the test data).</w:t>
      </w:r>
    </w:p>
    <w:p>
      <w:pPr>
        <w:pStyle w:val="Heading1"/>
      </w:pPr>
      <w:r>
        <w:rPr>
          <w:rFonts w:ascii="Calibri" w:hAnsi="Calibri"/>
          <w:color w:val="1F3A68"/>
        </w:rPr>
        <w:t>2. Examined examples</w:t>
      </w:r>
    </w:p>
    <w:p>
      <w:pPr>
        <w:pStyle w:val="Heading2"/>
      </w:pPr>
      <w:r>
        <w:rPr>
          <w:rFonts w:ascii="Calibri" w:hAnsi="Calibri"/>
          <w:color w:val="1F3A68"/>
        </w:rPr>
        <w:t>2.1. False negative — traditional-healer advertisement</w:t>
      </w:r>
    </w:p>
    <w:p>
      <w:pPr>
        <w:spacing w:after="120"/>
        <w:ind w:firstLine="283"/>
      </w:pPr>
      <w:r>
        <w:rPr>
          <w:rFonts w:ascii="Calibri" w:hAnsi="Calibri"/>
          <w:i w:val="0"/>
          <w:sz w:val="22"/>
        </w:rPr>
        <w:t>A single phishing message in the BongoSCAM test set was misclassified as legitimate by Linear SVM:</w:t>
      </w:r>
    </w:p>
    <w:p>
      <w:pPr>
        <w:spacing w:before="80" w:after="160"/>
        <w:ind w:left="850" w:right="850"/>
      </w:pPr>
      <w:r>
        <w:rPr>
          <w:rFonts w:ascii="Calibri" w:hAnsi="Calibri"/>
          <w:i/>
          <w:sz w:val="21"/>
        </w:rPr>
        <w:t>“Mpigie Mzee NASHONI MBIRIBI kwa tiba asili miliki mali, utajiri pete, kazi, kesi, masomo mapenzi, kilimo, ufugaji, biashara. Piga 0787-406-889”</w:t>
      </w:r>
    </w:p>
    <w:p>
      <w:pPr>
        <w:spacing w:after="120"/>
        <w:ind w:firstLine="283"/>
      </w:pPr>
      <w:r>
        <w:rPr>
          <w:rFonts w:ascii="Calibri" w:hAnsi="Calibri"/>
          <w:i w:val="0"/>
          <w:sz w:val="22"/>
        </w:rPr>
        <w:t>This message advertises a traditional-healer (mganga) service offering wealth, employment, court-case favours, romantic outcomes, and farming success. It is labelled phishing in the BongoSCAM corpus because such advertisements are predatory in the Tanzanian context. Two contributing factors made this message difficult.</w:t>
      </w:r>
    </w:p>
    <w:p>
      <w:pPr>
        <w:pStyle w:val="ListBullet"/>
        <w:spacing w:after="80"/>
      </w:pPr>
      <w:r>
        <w:rPr>
          <w:rFonts w:ascii="Calibri" w:hAnsi="Calibri"/>
          <w:sz w:val="22"/>
        </w:rPr>
        <w:t>Lexical content is distinct from the dominant phishing categories. The vocabulary (miliki mali, utajiri pete, mganga) does not overlap with the mobile-money imperatives (tuma, lipa) and operator names (Vodacom, Airtel) that dominate phishing in this corpus.</w:t>
      </w:r>
    </w:p>
    <w:p>
      <w:pPr>
        <w:pStyle w:val="ListBullet"/>
        <w:spacing w:after="80"/>
      </w:pPr>
      <w:r>
        <w:rPr>
          <w:rFonts w:ascii="Calibri" w:hAnsi="Calibri"/>
          <w:sz w:val="22"/>
        </w:rPr>
        <w:t>The phone number 0787-406-889 is dash-separated and does not match the preprocessing regex, which expects the format 0XXXXXXXXX without separators. As a consequence, the engineered phone_count feature registered zero for this message even though a number is visibly present.</w:t>
      </w:r>
    </w:p>
    <w:p>
      <w:pPr>
        <w:spacing w:after="120"/>
        <w:ind w:firstLine="283"/>
      </w:pPr>
      <w:r>
        <w:rPr>
          <w:rFonts w:ascii="Calibri" w:hAnsi="Calibri"/>
          <w:i w:val="0"/>
          <w:sz w:val="22"/>
        </w:rPr>
        <w:t>We chose not to retrofit the phone regex to capture dashed formats. Although such a fix would mechanically reduce the error count, the underlying issue is a coverage gap in the training data: traditional-healer advertisements form a distinct scam category that is under-represented relative to mobile-money fraud. Additional regex rules would mask this finding rather than address it. The limitation is therefore retained and discussed openly.</w:t>
      </w:r>
    </w:p>
    <w:p>
      <w:pPr>
        <w:pStyle w:val="Heading2"/>
      </w:pPr>
      <w:r>
        <w:rPr>
          <w:rFonts w:ascii="Calibri" w:hAnsi="Calibri"/>
          <w:color w:val="1F3A68"/>
        </w:rPr>
        <w:t>2.2. False positives — conversational ambiguity</w:t>
      </w:r>
    </w:p>
    <w:p>
      <w:pPr>
        <w:spacing w:after="120"/>
        <w:ind w:firstLine="283"/>
      </w:pPr>
      <w:r>
        <w:rPr>
          <w:rFonts w:ascii="Calibri" w:hAnsi="Calibri"/>
          <w:i w:val="0"/>
          <w:sz w:val="22"/>
        </w:rPr>
        <w:t>Naïve Bayes flagged two legitimate conversational messages from the BongoSCAM test set as phishing:</w:t>
      </w:r>
    </w:p>
    <w:p>
      <w:pPr>
        <w:spacing w:before="80" w:after="160"/>
        <w:ind w:left="850" w:right="850"/>
      </w:pPr>
      <w:r>
        <w:rPr>
          <w:rFonts w:ascii="Calibri" w:hAnsi="Calibri"/>
          <w:i/>
          <w:sz w:val="21"/>
        </w:rPr>
        <w:t>“Samahani, sikuweza kupokea simu yako.”</w:t>
      </w:r>
    </w:p>
    <w:p>
      <w:pPr>
        <w:spacing w:after="120"/>
        <w:ind w:firstLine="283"/>
      </w:pPr>
      <w:r>
        <w:rPr>
          <w:rFonts w:ascii="Calibri" w:hAnsi="Calibri"/>
          <w:i/>
          <w:sz w:val="22"/>
        </w:rPr>
        <w:t>(“Sorry, I could not pick up your call.”)</w:t>
      </w:r>
    </w:p>
    <w:p>
      <w:pPr>
        <w:spacing w:before="80" w:after="160"/>
        <w:ind w:left="850" w:right="850"/>
      </w:pPr>
      <w:r>
        <w:rPr>
          <w:rFonts w:ascii="Calibri" w:hAnsi="Calibri"/>
          <w:i/>
          <w:sz w:val="21"/>
        </w:rPr>
        <w:t>“Naomba unitumie namba ya huyo fundi.”</w:t>
      </w:r>
    </w:p>
    <w:p>
      <w:pPr>
        <w:spacing w:after="120"/>
        <w:ind w:firstLine="283"/>
      </w:pPr>
      <w:r>
        <w:rPr>
          <w:rFonts w:ascii="Calibri" w:hAnsi="Calibri"/>
          <w:i/>
          <w:sz w:val="22"/>
        </w:rPr>
        <w:t>(“Please send me that technician’s number.”)</w:t>
      </w:r>
    </w:p>
    <w:p>
      <w:pPr>
        <w:spacing w:after="120"/>
        <w:ind w:firstLine="283"/>
      </w:pPr>
      <w:r>
        <w:rPr>
          <w:rFonts w:ascii="Calibri" w:hAnsi="Calibri"/>
          <w:i w:val="0"/>
          <w:sz w:val="22"/>
        </w:rPr>
        <w:t>Both messages share lexical material with mobile-money phishing. The second message contains the trigger phrase naomba unitumie (“please send me”) and the noun namba (“number”), both of which appear frequently in legitimate phishing of the form “Naomba unitumie pesa kwenye namba”. The Multinomial Naïve Bayes model, which assumes feature independence, cannot distinguish the conversational request for a contact number from the phishing request for a money transfer.</w:t>
      </w:r>
    </w:p>
    <w:p>
      <w:pPr>
        <w:spacing w:after="120"/>
        <w:ind w:firstLine="283"/>
      </w:pPr>
      <w:r>
        <w:rPr>
          <w:rFonts w:ascii="Calibri" w:hAnsi="Calibri"/>
          <w:i w:val="0"/>
          <w:sz w:val="22"/>
        </w:rPr>
        <w:t>These false positives illustrate a documented limitation of bag-of-words representations: lexical similarity does not imply semantic or pragmatic similarity. Linear SVM and Random Forest, which can model feature interactions implicitly, did not make these errors.</w:t>
      </w:r>
    </w:p>
    <w:p>
      <w:pPr>
        <w:pStyle w:val="Heading1"/>
      </w:pPr>
      <w:r>
        <w:rPr>
          <w:rFonts w:ascii="Calibri" w:hAnsi="Calibri"/>
          <w:color w:val="1F3A68"/>
        </w:rPr>
        <w:t>3. Implications for the methodology and discussion</w:t>
      </w:r>
    </w:p>
    <w:p>
      <w:pPr>
        <w:pStyle w:val="ListBullet"/>
        <w:spacing w:after="80"/>
      </w:pPr>
      <w:r>
        <w:rPr>
          <w:rFonts w:ascii="Calibri" w:hAnsi="Calibri"/>
          <w:sz w:val="22"/>
        </w:rPr>
        <w:t>Algorithm-specific errors with zero overlap. The Jaccard similarity between algorithm error sets is zero, indicating that classifier diversity rather than task difficulty is the limiting factor. A simple majority-vote ensemble of the three algorithms would correct every error observed in this analysis.</w:t>
      </w:r>
    </w:p>
    <w:p>
      <w:pPr>
        <w:pStyle w:val="ListBullet"/>
        <w:spacing w:after="80"/>
      </w:pPr>
      <w:r>
        <w:rPr>
          <w:rFonts w:ascii="Calibri" w:hAnsi="Calibri"/>
          <w:sz w:val="22"/>
        </w:rPr>
        <w:t>Bag-of-words limitations. The Naïve Bayes false positives demonstrate that token-level features cannot capture pragmatic intent. This motivates future work using contextualised embeddings (mBERT, AfroXLMR) where computation budget allows.</w:t>
      </w:r>
    </w:p>
    <w:p>
      <w:pPr>
        <w:pStyle w:val="ListBullet"/>
        <w:spacing w:after="80"/>
      </w:pPr>
      <w:r>
        <w:rPr>
          <w:rFonts w:ascii="Calibri" w:hAnsi="Calibri"/>
          <w:sz w:val="22"/>
        </w:rPr>
        <w:t>Coverage gaps in attack categories. The single false negative reveals that traditional-healer fraud is under-represented in the training corpus relative to mobile-money fraud. Targeted data collection or synthetic augmentation in this category is identified as future work.</w:t>
      </w:r>
    </w:p>
    <w:p>
      <w:pPr>
        <w:pStyle w:val="ListBullet"/>
        <w:spacing w:after="80"/>
      </w:pPr>
      <w:r>
        <w:rPr>
          <w:rFonts w:ascii="Calibri" w:hAnsi="Calibri"/>
          <w:sz w:val="22"/>
        </w:rPr>
        <w:t>Operational risk skew. Of the four unique misclassifications, three are false positives (legitimate flagged as phishing) and only one is a false negative (missed phishing). This skew is operationally favourable: false positives can be released through user review, whereas false negatives reach their target. The system therefore errs on the side of caution.</w:t>
      </w:r>
    </w:p>
    <w:p>
      <w:pPr>
        <w:pStyle w:val="ListBullet"/>
        <w:spacing w:after="80"/>
      </w:pPr>
      <w:r>
        <w:rPr>
          <w:rFonts w:ascii="Calibri" w:hAnsi="Calibri"/>
          <w:sz w:val="22"/>
        </w:rPr>
        <w:t>Preprocessing observation. A regex limitation was identified in the Tanzanian phone-number pattern (dash-separated numbers are not matched). This limitation is documented but not patched, because the underlying issue affects only one example in this study and does not cause the associated misclassification.</w:t>
      </w:r>
    </w:p>
    <w:p>
      <w:pPr>
        <w:pStyle w:val="Heading1"/>
      </w:pPr>
      <w:r>
        <w:rPr>
          <w:rFonts w:ascii="Calibri" w:hAnsi="Calibri"/>
          <w:color w:val="1F3A68"/>
        </w:rPr>
        <w:t>4. Speaker notes for Seminar I</w:t>
      </w:r>
    </w:p>
    <w:p>
      <w:pPr>
        <w:spacing w:after="120"/>
        <w:ind w:firstLine="283"/>
      </w:pPr>
      <w:r>
        <w:rPr>
          <w:rFonts w:ascii="Calibri" w:hAnsi="Calibri"/>
          <w:i w:val="0"/>
          <w:sz w:val="22"/>
        </w:rPr>
        <w:t>If a question arises about the high accuracy or how errors were handled, the following points provide structured responses.</w:t>
      </w:r>
    </w:p>
    <w:p>
      <w:pPr>
        <w:pStyle w:val="Heading2"/>
      </w:pPr>
      <w:r>
        <w:rPr>
          <w:rFonts w:ascii="Calibri" w:hAnsi="Calibri"/>
          <w:color w:val="1F3A68"/>
        </w:rPr>
        <w:t>If asked: “Aren’t these results too good to be true?”</w:t>
      </w:r>
    </w:p>
    <w:p>
      <w:pPr>
        <w:spacing w:after="120"/>
      </w:pPr>
      <w:r>
        <w:rPr>
          <w:rFonts w:ascii="Calibri" w:hAnsi="Calibri"/>
          <w:i/>
          <w:sz w:val="22"/>
        </w:rPr>
        <w:t>“That was my exact concern, which is why I conducted four ablation experiments and a five-fold cross-validation on BongoSCAM-only data. Performance held above 0.99 F1 under every ablation. I then examined every misclassified message individually. Across the three algorithms there were only four unique errors out of 482 test messages. The errors are not systemic — different algorithms made different errors with zero overlap. The result is high but it is rigorously validated.”</w:t>
      </w:r>
    </w:p>
    <w:p>
      <w:pPr>
        <w:pStyle w:val="Heading2"/>
      </w:pPr>
      <w:r>
        <w:rPr>
          <w:rFonts w:ascii="Calibri" w:hAnsi="Calibri"/>
          <w:color w:val="1F3A68"/>
        </w:rPr>
        <w:t>If asked: “Why did your model miss this traditional-healer message?”</w:t>
      </w:r>
    </w:p>
    <w:p>
      <w:pPr>
        <w:spacing w:after="120"/>
      </w:pPr>
      <w:r>
        <w:rPr>
          <w:rFonts w:ascii="Calibri" w:hAnsi="Calibri"/>
          <w:i/>
          <w:sz w:val="22"/>
        </w:rPr>
        <w:t>“That is a category coverage issue rather than a model failure. The training corpus is dominated by mobile-money phishing patterns. Traditional-healer fraud uses different vocabulary — words like miliki mali and utajiri pete — that the model has fewer training examples for. I chose to document this honestly rather than patch the symptom, because the real fix is targeted data collection.”</w:t>
      </w:r>
    </w:p>
    <w:p>
      <w:pPr>
        <w:pStyle w:val="Heading2"/>
      </w:pPr>
      <w:r>
        <w:rPr>
          <w:rFonts w:ascii="Calibri" w:hAnsi="Calibri"/>
          <w:color w:val="1F3A68"/>
        </w:rPr>
        <w:t>If asked: “Which algorithm should be deployed?”</w:t>
      </w:r>
    </w:p>
    <w:p>
      <w:pPr>
        <w:spacing w:after="120"/>
      </w:pPr>
      <w:r>
        <w:rPr>
          <w:rFonts w:ascii="Calibri" w:hAnsi="Calibri"/>
          <w:i/>
          <w:sz w:val="22"/>
        </w:rPr>
        <w:t>“Based on this evaluation, Random Forest. It produced zero errors on both test sets with cross-validated F1 of 0.9983 plus or minus 0.0016. Linear SVM is essentially equivalent and could substitute if interpretability of feature weights is required. A majority-vote ensemble of all three would correct even the small number of individual errors observed in this study, since their error sets do not overlap.”</w:t>
      </w:r>
    </w:p>
    <w:p>
      <w:pPr>
        <w:pStyle w:val="Heading2"/>
      </w:pPr>
      <w:r>
        <w:rPr>
          <w:rFonts w:ascii="Calibri" w:hAnsi="Calibri"/>
          <w:color w:val="1F3A68"/>
        </w:rPr>
        <w:t>If asked: “How would this perform on new attack types?”</w:t>
      </w:r>
    </w:p>
    <w:p>
      <w:pPr>
        <w:spacing w:after="120"/>
      </w:pPr>
      <w:r>
        <w:rPr>
          <w:rFonts w:ascii="Calibri" w:hAnsi="Calibri"/>
          <w:i/>
          <w:sz w:val="22"/>
        </w:rPr>
        <w:t>“That is the most important limitation of this work. Performance is measured within the BongoSCAM corpus, collected up to 2024. Tanzanian phishing campaigns evolve linguistically, so periodic retraining is essential. The traditional-healer error already shows the model is weaker on under-represented categories. A production deployment would need continuous data collection and retraining, ideally with a feedback channel from end users who report missed phishing.”</w:t>
      </w:r>
    </w:p>
    <w:p/>
    <w:p>
      <w:pPr>
        <w:jc w:val="center"/>
      </w:pPr>
      <w:r>
        <w:rPr>
          <w:rFonts w:ascii="Calibri" w:hAnsi="Calibri"/>
          <w:i/>
          <w:color w:val="666666"/>
          <w:sz w:val="20"/>
        </w:rPr>
        <w:t>— End of error analysis and limitations notes —</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