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67194" w14:textId="77777777" w:rsidR="00A809FF" w:rsidRPr="00721642" w:rsidRDefault="00A809FF" w:rsidP="00A809FF">
      <w:pPr>
        <w:pStyle w:val="Heading3"/>
        <w:spacing w:before="308" w:after="154"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0" w:name="_GoBack"/>
      <w:bookmarkEnd w:id="0"/>
      <w:r w:rsidRPr="00721642">
        <w:rPr>
          <w:rFonts w:ascii="Times New Roman" w:eastAsia="Times New Roman" w:hAnsi="Times New Roman" w:cs="Times New Roman"/>
          <w:b/>
          <w:color w:val="000000" w:themeColor="text1"/>
        </w:rPr>
        <w:t>METHOD</w:t>
      </w:r>
      <w:r w:rsidR="005D33C1">
        <w:rPr>
          <w:rFonts w:ascii="Times New Roman" w:eastAsia="Times New Roman" w:hAnsi="Times New Roman" w:cs="Times New Roman"/>
          <w:b/>
          <w:color w:val="000000" w:themeColor="text1"/>
        </w:rPr>
        <w:t>S</w:t>
      </w:r>
    </w:p>
    <w:p w14:paraId="03A025FE" w14:textId="77777777" w:rsidR="00A809FF" w:rsidRPr="00CC2A76" w:rsidRDefault="00A809FF" w:rsidP="00A809FF">
      <w:pPr>
        <w:pStyle w:val="Heading3"/>
        <w:spacing w:before="308" w:after="154" w:line="48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CC2A76">
        <w:rPr>
          <w:rFonts w:ascii="Times New Roman" w:eastAsia="Times New Roman" w:hAnsi="Times New Roman" w:cs="Times New Roman"/>
          <w:b/>
          <w:color w:val="000000" w:themeColor="text1"/>
        </w:rPr>
        <w:t>Sample Collection and DNA extraction</w:t>
      </w:r>
    </w:p>
    <w:p w14:paraId="31DE31FA" w14:textId="77777777" w:rsidR="00A809FF" w:rsidRPr="00CC2A76" w:rsidRDefault="00A809FF" w:rsidP="00A809FF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</w:rPr>
      </w:pPr>
      <w:r w:rsidRPr="00721642">
        <w:rPr>
          <w:color w:val="000000" w:themeColor="text1"/>
        </w:rPr>
        <w:t xml:space="preserve">Samples were collected between the year 2015 and 2016 by Mr. </w:t>
      </w:r>
      <w:proofErr w:type="spellStart"/>
      <w:r w:rsidRPr="00721642">
        <w:rPr>
          <w:color w:val="000000" w:themeColor="text1"/>
        </w:rPr>
        <w:t>Najih</w:t>
      </w:r>
      <w:proofErr w:type="spellEnd"/>
      <w:r w:rsidRPr="00721642">
        <w:rPr>
          <w:color w:val="000000" w:themeColor="text1"/>
        </w:rPr>
        <w:t xml:space="preserve"> Lazar, the fisheries advisor on the USAID-Sustainable Fisheries Management Project (SFMP) in Ghana. A total of fifty (50) specimens </w:t>
      </w:r>
      <w:r w:rsidR="0094534A">
        <w:rPr>
          <w:color w:val="000000" w:themeColor="text1"/>
        </w:rPr>
        <w:t xml:space="preserve">of </w:t>
      </w:r>
      <w:r w:rsidRPr="00721642">
        <w:rPr>
          <w:color w:val="000000" w:themeColor="text1"/>
        </w:rPr>
        <w:t xml:space="preserve">round sardinella were obtained from landing sites in selected countries </w:t>
      </w:r>
      <w:r>
        <w:rPr>
          <w:color w:val="000000" w:themeColor="text1"/>
        </w:rPr>
        <w:t>(Table1</w:t>
      </w:r>
      <w:r w:rsidRPr="00721642">
        <w:rPr>
          <w:color w:val="000000" w:themeColor="text1"/>
        </w:rPr>
        <w:t xml:space="preserve">). </w:t>
      </w:r>
      <w:r>
        <w:rPr>
          <w:color w:val="000000" w:themeColor="text1"/>
        </w:rPr>
        <w:t>T</w:t>
      </w:r>
      <w:r w:rsidRPr="00721642">
        <w:rPr>
          <w:color w:val="000000" w:themeColor="text1"/>
        </w:rPr>
        <w:t xml:space="preserve">he dorsal fin from the base </w:t>
      </w:r>
      <w:r>
        <w:rPr>
          <w:color w:val="000000" w:themeColor="text1"/>
        </w:rPr>
        <w:t xml:space="preserve">was </w:t>
      </w:r>
      <w:r w:rsidRPr="00721642">
        <w:rPr>
          <w:color w:val="000000" w:themeColor="text1"/>
        </w:rPr>
        <w:t xml:space="preserve">cut and placed in a 1.5-2 ml polypropylene vials/tube. The fin tissue was then preserved in 95% ethanol and </w:t>
      </w:r>
      <w:proofErr w:type="gramStart"/>
      <w:r w:rsidRPr="00721642">
        <w:rPr>
          <w:color w:val="000000" w:themeColor="text1"/>
        </w:rPr>
        <w:t>stored  in</w:t>
      </w:r>
      <w:proofErr w:type="gramEnd"/>
      <w:r w:rsidRPr="00721642">
        <w:rPr>
          <w:color w:val="000000" w:themeColor="text1"/>
        </w:rPr>
        <w:t xml:space="preserve"> -20</w:t>
      </w:r>
      <w:r w:rsidRPr="00721642">
        <w:rPr>
          <w:color w:val="000000" w:themeColor="text1"/>
          <w:vertAlign w:val="superscript"/>
        </w:rPr>
        <w:t>0</w:t>
      </w:r>
      <w:r w:rsidRPr="00721642">
        <w:rPr>
          <w:color w:val="000000" w:themeColor="text1"/>
        </w:rPr>
        <w:t>C until it is ready to be shipped.</w:t>
      </w:r>
      <w:r>
        <w:rPr>
          <w:color w:val="000000" w:themeColor="text1"/>
        </w:rPr>
        <w:t xml:space="preserve"> </w:t>
      </w:r>
      <w:r w:rsidRPr="00721642">
        <w:rPr>
          <w:color w:val="000000" w:themeColor="text1"/>
        </w:rPr>
        <w:t xml:space="preserve">Genomic DNA from fin clips were extracted using Qiagen </w:t>
      </w:r>
      <w:proofErr w:type="spellStart"/>
      <w:r w:rsidRPr="00721642">
        <w:rPr>
          <w:color w:val="000000" w:themeColor="text1"/>
        </w:rPr>
        <w:t>DNeasy</w:t>
      </w:r>
      <w:proofErr w:type="spellEnd"/>
      <w:r w:rsidRPr="00721642">
        <w:rPr>
          <w:color w:val="000000" w:themeColor="text1"/>
        </w:rPr>
        <w:t xml:space="preserve"> kit (Qiagen, Valencia, CA) following the manufacturer’s protocol. Genomic DNA quality and concentration were checked using Nanodrop 2000 and Qubit 2.0 fluorometer instruments. </w:t>
      </w:r>
    </w:p>
    <w:p w14:paraId="34302035" w14:textId="77777777" w:rsidR="00A809FF" w:rsidRPr="00721642" w:rsidRDefault="00A809FF" w:rsidP="00A809FF">
      <w:pPr>
        <w:spacing w:line="480" w:lineRule="auto"/>
      </w:pPr>
    </w:p>
    <w:p w14:paraId="355069AC" w14:textId="77777777" w:rsidR="00A809FF" w:rsidRPr="00721642" w:rsidRDefault="00A809FF" w:rsidP="00A809FF">
      <w:pPr>
        <w:rPr>
          <w:rFonts w:eastAsia="Times New Roman"/>
          <w:color w:val="333333"/>
          <w:shd w:val="clear" w:color="auto" w:fill="FFFFFF"/>
        </w:rPr>
      </w:pPr>
      <w:r w:rsidRPr="00721642">
        <w:rPr>
          <w:rFonts w:eastAsia="Times New Roman"/>
          <w:b/>
          <w:bCs/>
          <w:color w:val="333333"/>
          <w:bdr w:val="none" w:sz="0" w:space="0" w:color="auto" w:frame="1"/>
        </w:rPr>
        <w:t>Table 1. </w:t>
      </w:r>
      <w:r w:rsidRPr="00721642">
        <w:rPr>
          <w:rFonts w:eastAsia="Times New Roman"/>
          <w:color w:val="333333"/>
          <w:shd w:val="clear" w:color="auto" w:fill="FFFFFF"/>
        </w:rPr>
        <w:t>Details on sampling fo</w:t>
      </w:r>
      <w:r>
        <w:rPr>
          <w:rFonts w:eastAsia="Times New Roman"/>
          <w:color w:val="333333"/>
          <w:shd w:val="clear" w:color="auto" w:fill="FFFFFF"/>
        </w:rPr>
        <w:t xml:space="preserve">r RAD sequencing from </w:t>
      </w:r>
      <w:proofErr w:type="gramStart"/>
      <w:r>
        <w:rPr>
          <w:rFonts w:eastAsia="Times New Roman"/>
          <w:color w:val="333333"/>
          <w:shd w:val="clear" w:color="auto" w:fill="FFFFFF"/>
        </w:rPr>
        <w:t>seven(</w:t>
      </w:r>
      <w:proofErr w:type="gramEnd"/>
      <w:r>
        <w:rPr>
          <w:rFonts w:eastAsia="Times New Roman"/>
          <w:color w:val="333333"/>
          <w:shd w:val="clear" w:color="auto" w:fill="FFFFFF"/>
        </w:rPr>
        <w:t>7</w:t>
      </w:r>
      <w:r w:rsidRPr="00721642">
        <w:rPr>
          <w:rFonts w:eastAsia="Times New Roman"/>
          <w:color w:val="333333"/>
          <w:shd w:val="clear" w:color="auto" w:fill="FFFFFF"/>
        </w:rPr>
        <w:t xml:space="preserve">) sampling sites. </w:t>
      </w:r>
      <w:r>
        <w:rPr>
          <w:rFonts w:eastAsia="Times New Roman"/>
          <w:color w:val="333333"/>
          <w:shd w:val="clear" w:color="auto" w:fill="FFFFFF"/>
        </w:rPr>
        <w:t xml:space="preserve"> </w:t>
      </w:r>
      <w:r w:rsidRPr="00721642">
        <w:rPr>
          <w:rFonts w:eastAsia="Times New Roman"/>
          <w:color w:val="333333"/>
          <w:shd w:val="clear" w:color="auto" w:fill="FFFFFF"/>
        </w:rPr>
        <w:t>The numbers of samples (</w:t>
      </w:r>
      <w:r w:rsidRPr="00721642">
        <w:rPr>
          <w:rFonts w:eastAsia="Times New Roman"/>
          <w:i/>
          <w:iCs/>
          <w:color w:val="333333"/>
          <w:bdr w:val="none" w:sz="0" w:space="0" w:color="auto" w:frame="1"/>
        </w:rPr>
        <w:t>n</w:t>
      </w:r>
      <w:r w:rsidRPr="00721642">
        <w:rPr>
          <w:rFonts w:eastAsia="Times New Roman"/>
          <w:color w:val="333333"/>
          <w:shd w:val="clear" w:color="auto" w:fill="FFFFFF"/>
        </w:rPr>
        <w:t xml:space="preserve">) 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1502"/>
        <w:gridCol w:w="2430"/>
        <w:gridCol w:w="1890"/>
        <w:gridCol w:w="2160"/>
      </w:tblGrid>
      <w:tr w:rsidR="00A809FF" w:rsidRPr="00721642" w14:paraId="4A2DC300" w14:textId="77777777" w:rsidTr="00916F9A">
        <w:tc>
          <w:tcPr>
            <w:tcW w:w="1502" w:type="dxa"/>
          </w:tcPr>
          <w:p w14:paraId="68F2ABD8" w14:textId="77777777" w:rsidR="00A809FF" w:rsidRPr="00721642" w:rsidRDefault="00A809FF" w:rsidP="00916F9A">
            <w:pPr>
              <w:spacing w:line="27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Pr="00721642">
              <w:rPr>
                <w:rFonts w:eastAsia="Times New Roman"/>
              </w:rPr>
              <w:t>ountry</w:t>
            </w:r>
          </w:p>
        </w:tc>
        <w:tc>
          <w:tcPr>
            <w:tcW w:w="2430" w:type="dxa"/>
          </w:tcPr>
          <w:p w14:paraId="40B77ECC" w14:textId="77777777" w:rsidR="00A809FF" w:rsidRPr="00721642" w:rsidRDefault="00A809FF" w:rsidP="00916F9A">
            <w:pPr>
              <w:spacing w:line="276" w:lineRule="auto"/>
              <w:jc w:val="center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Region coordinates</w:t>
            </w:r>
          </w:p>
        </w:tc>
        <w:tc>
          <w:tcPr>
            <w:tcW w:w="1890" w:type="dxa"/>
          </w:tcPr>
          <w:p w14:paraId="5A881F37" w14:textId="77777777" w:rsidR="00A809FF" w:rsidRPr="00721642" w:rsidRDefault="00A809FF" w:rsidP="00916F9A">
            <w:pPr>
              <w:spacing w:line="276" w:lineRule="auto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 xml:space="preserve">Collection date </w:t>
            </w:r>
          </w:p>
        </w:tc>
        <w:tc>
          <w:tcPr>
            <w:tcW w:w="2160" w:type="dxa"/>
          </w:tcPr>
          <w:p w14:paraId="33226948" w14:textId="77777777" w:rsidR="00A809FF" w:rsidRPr="00721642" w:rsidRDefault="00A809FF" w:rsidP="00916F9A">
            <w:pPr>
              <w:spacing w:line="276" w:lineRule="auto"/>
              <w:jc w:val="center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N</w:t>
            </w:r>
            <w:r>
              <w:rPr>
                <w:rFonts w:eastAsia="Times New Roman"/>
              </w:rPr>
              <w:t>umber of samples</w:t>
            </w:r>
          </w:p>
        </w:tc>
      </w:tr>
      <w:tr w:rsidR="00A809FF" w:rsidRPr="00721642" w14:paraId="65B76490" w14:textId="77777777" w:rsidTr="00916F9A">
        <w:tc>
          <w:tcPr>
            <w:tcW w:w="1502" w:type="dxa"/>
          </w:tcPr>
          <w:p w14:paraId="589EBAA7" w14:textId="77777777" w:rsidR="00A809FF" w:rsidRPr="00721642" w:rsidRDefault="00A809FF" w:rsidP="00916F9A">
            <w:pPr>
              <w:spacing w:line="276" w:lineRule="auto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Mauritania</w:t>
            </w:r>
          </w:p>
        </w:tc>
        <w:tc>
          <w:tcPr>
            <w:tcW w:w="2430" w:type="dxa"/>
          </w:tcPr>
          <w:p w14:paraId="5C6B88D6" w14:textId="77777777" w:rsidR="00A809FF" w:rsidRPr="00721642" w:rsidRDefault="00A809FF" w:rsidP="00916F9A">
            <w:pPr>
              <w:spacing w:line="276" w:lineRule="auto"/>
              <w:jc w:val="center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3.11</w:t>
            </w:r>
          </w:p>
        </w:tc>
        <w:tc>
          <w:tcPr>
            <w:tcW w:w="1890" w:type="dxa"/>
          </w:tcPr>
          <w:p w14:paraId="246D505C" w14:textId="77777777" w:rsidR="00A809FF" w:rsidRPr="00721642" w:rsidRDefault="00A809FF" w:rsidP="00916F9A">
            <w:pPr>
              <w:spacing w:line="276" w:lineRule="auto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August 2016</w:t>
            </w:r>
          </w:p>
        </w:tc>
        <w:tc>
          <w:tcPr>
            <w:tcW w:w="2160" w:type="dxa"/>
          </w:tcPr>
          <w:p w14:paraId="10B0B25D" w14:textId="77777777" w:rsidR="00A809FF" w:rsidRPr="00721642" w:rsidRDefault="00A809FF" w:rsidP="00916F9A">
            <w:pPr>
              <w:spacing w:line="276" w:lineRule="auto"/>
              <w:jc w:val="center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50</w:t>
            </w:r>
          </w:p>
        </w:tc>
      </w:tr>
      <w:tr w:rsidR="00A809FF" w:rsidRPr="00721642" w14:paraId="1F93D7CF" w14:textId="77777777" w:rsidTr="00916F9A">
        <w:tc>
          <w:tcPr>
            <w:tcW w:w="1502" w:type="dxa"/>
          </w:tcPr>
          <w:p w14:paraId="4799CCCB" w14:textId="77777777" w:rsidR="00A809FF" w:rsidRPr="00721642" w:rsidRDefault="00A809FF" w:rsidP="00916F9A">
            <w:pPr>
              <w:spacing w:line="276" w:lineRule="auto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Senegal</w:t>
            </w:r>
          </w:p>
        </w:tc>
        <w:tc>
          <w:tcPr>
            <w:tcW w:w="2430" w:type="dxa"/>
          </w:tcPr>
          <w:p w14:paraId="72525179" w14:textId="77777777" w:rsidR="00A809FF" w:rsidRPr="00721642" w:rsidRDefault="00A809FF" w:rsidP="00916F9A">
            <w:pPr>
              <w:spacing w:line="276" w:lineRule="auto"/>
              <w:jc w:val="center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3.12</w:t>
            </w:r>
          </w:p>
        </w:tc>
        <w:tc>
          <w:tcPr>
            <w:tcW w:w="1890" w:type="dxa"/>
          </w:tcPr>
          <w:p w14:paraId="5B0C84F8" w14:textId="77777777" w:rsidR="00A809FF" w:rsidRPr="00721642" w:rsidRDefault="00A809FF" w:rsidP="00916F9A">
            <w:pPr>
              <w:spacing w:line="276" w:lineRule="auto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December 2016</w:t>
            </w:r>
          </w:p>
        </w:tc>
        <w:tc>
          <w:tcPr>
            <w:tcW w:w="2160" w:type="dxa"/>
          </w:tcPr>
          <w:p w14:paraId="0A55FB3C" w14:textId="77777777" w:rsidR="00A809FF" w:rsidRPr="00721642" w:rsidRDefault="00A809FF" w:rsidP="00916F9A">
            <w:pPr>
              <w:spacing w:line="276" w:lineRule="auto"/>
              <w:jc w:val="center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50</w:t>
            </w:r>
          </w:p>
        </w:tc>
      </w:tr>
      <w:tr w:rsidR="00A809FF" w:rsidRPr="00721642" w14:paraId="72667561" w14:textId="77777777" w:rsidTr="00916F9A">
        <w:tc>
          <w:tcPr>
            <w:tcW w:w="1502" w:type="dxa"/>
          </w:tcPr>
          <w:p w14:paraId="05CADDB8" w14:textId="77777777" w:rsidR="00A809FF" w:rsidRPr="00721642" w:rsidRDefault="00A809FF" w:rsidP="00916F9A">
            <w:pPr>
              <w:spacing w:line="276" w:lineRule="auto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Guinea</w:t>
            </w:r>
          </w:p>
        </w:tc>
        <w:tc>
          <w:tcPr>
            <w:tcW w:w="2430" w:type="dxa"/>
          </w:tcPr>
          <w:p w14:paraId="52A89430" w14:textId="77777777" w:rsidR="00A809FF" w:rsidRPr="00721642" w:rsidRDefault="00A809FF" w:rsidP="00916F9A">
            <w:pPr>
              <w:spacing w:line="276" w:lineRule="auto"/>
              <w:jc w:val="center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3.3</w:t>
            </w:r>
          </w:p>
        </w:tc>
        <w:tc>
          <w:tcPr>
            <w:tcW w:w="1890" w:type="dxa"/>
          </w:tcPr>
          <w:p w14:paraId="2849E60E" w14:textId="77777777" w:rsidR="00A809FF" w:rsidRPr="00721642" w:rsidRDefault="00A809FF" w:rsidP="00916F9A">
            <w:pPr>
              <w:spacing w:line="276" w:lineRule="auto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January 2017</w:t>
            </w:r>
          </w:p>
        </w:tc>
        <w:tc>
          <w:tcPr>
            <w:tcW w:w="2160" w:type="dxa"/>
          </w:tcPr>
          <w:p w14:paraId="360B8127" w14:textId="77777777" w:rsidR="00A809FF" w:rsidRPr="00721642" w:rsidRDefault="00A809FF" w:rsidP="00916F9A">
            <w:pPr>
              <w:spacing w:line="276" w:lineRule="auto"/>
              <w:jc w:val="center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50</w:t>
            </w:r>
          </w:p>
        </w:tc>
      </w:tr>
      <w:tr w:rsidR="00A809FF" w:rsidRPr="00721642" w14:paraId="14126FDB" w14:textId="77777777" w:rsidTr="00916F9A">
        <w:tc>
          <w:tcPr>
            <w:tcW w:w="1502" w:type="dxa"/>
          </w:tcPr>
          <w:p w14:paraId="5FB1FDA0" w14:textId="77777777" w:rsidR="00A809FF" w:rsidRPr="00721642" w:rsidRDefault="00A809FF" w:rsidP="00916F9A">
            <w:pPr>
              <w:spacing w:line="276" w:lineRule="auto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Ghana</w:t>
            </w:r>
          </w:p>
        </w:tc>
        <w:tc>
          <w:tcPr>
            <w:tcW w:w="2430" w:type="dxa"/>
          </w:tcPr>
          <w:p w14:paraId="4A5BD8D6" w14:textId="77777777" w:rsidR="00A809FF" w:rsidRPr="00721642" w:rsidRDefault="00A809FF" w:rsidP="00916F9A">
            <w:pPr>
              <w:spacing w:line="276" w:lineRule="auto"/>
              <w:jc w:val="center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3.4</w:t>
            </w:r>
          </w:p>
        </w:tc>
        <w:tc>
          <w:tcPr>
            <w:tcW w:w="1890" w:type="dxa"/>
          </w:tcPr>
          <w:p w14:paraId="409A714B" w14:textId="77777777" w:rsidR="00A809FF" w:rsidRPr="00721642" w:rsidRDefault="00A809FF" w:rsidP="00916F9A">
            <w:pPr>
              <w:spacing w:line="276" w:lineRule="auto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August 2017</w:t>
            </w:r>
          </w:p>
        </w:tc>
        <w:tc>
          <w:tcPr>
            <w:tcW w:w="2160" w:type="dxa"/>
          </w:tcPr>
          <w:p w14:paraId="7FF92521" w14:textId="77777777" w:rsidR="00A809FF" w:rsidRPr="00721642" w:rsidRDefault="00A809FF" w:rsidP="00916F9A">
            <w:pPr>
              <w:spacing w:line="276" w:lineRule="auto"/>
              <w:jc w:val="center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50</w:t>
            </w:r>
          </w:p>
        </w:tc>
      </w:tr>
      <w:tr w:rsidR="00A809FF" w:rsidRPr="00721642" w14:paraId="1B0CD06E" w14:textId="77777777" w:rsidTr="00916F9A">
        <w:tc>
          <w:tcPr>
            <w:tcW w:w="1502" w:type="dxa"/>
          </w:tcPr>
          <w:p w14:paraId="2259EA9E" w14:textId="77777777" w:rsidR="00A809FF" w:rsidRPr="00721642" w:rsidRDefault="00A809FF" w:rsidP="00916F9A">
            <w:pPr>
              <w:spacing w:line="276" w:lineRule="auto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Togo</w:t>
            </w:r>
          </w:p>
        </w:tc>
        <w:tc>
          <w:tcPr>
            <w:tcW w:w="2430" w:type="dxa"/>
          </w:tcPr>
          <w:p w14:paraId="6E8A82DE" w14:textId="77777777" w:rsidR="00A809FF" w:rsidRPr="00721642" w:rsidRDefault="00A809FF" w:rsidP="00916F9A">
            <w:pPr>
              <w:spacing w:line="276" w:lineRule="auto"/>
              <w:jc w:val="center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3.4</w:t>
            </w:r>
          </w:p>
        </w:tc>
        <w:tc>
          <w:tcPr>
            <w:tcW w:w="1890" w:type="dxa"/>
          </w:tcPr>
          <w:p w14:paraId="52CB65D3" w14:textId="77777777" w:rsidR="00A809FF" w:rsidRPr="00721642" w:rsidRDefault="00A809FF" w:rsidP="00916F9A">
            <w:pPr>
              <w:spacing w:line="276" w:lineRule="auto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November 2016</w:t>
            </w:r>
          </w:p>
        </w:tc>
        <w:tc>
          <w:tcPr>
            <w:tcW w:w="2160" w:type="dxa"/>
          </w:tcPr>
          <w:p w14:paraId="600E2E23" w14:textId="77777777" w:rsidR="00A809FF" w:rsidRPr="00721642" w:rsidRDefault="00A809FF" w:rsidP="00916F9A">
            <w:pPr>
              <w:spacing w:line="276" w:lineRule="auto"/>
              <w:jc w:val="center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50</w:t>
            </w:r>
          </w:p>
        </w:tc>
      </w:tr>
      <w:tr w:rsidR="00A809FF" w:rsidRPr="00721642" w14:paraId="5467FF20" w14:textId="77777777" w:rsidTr="00916F9A">
        <w:tc>
          <w:tcPr>
            <w:tcW w:w="1502" w:type="dxa"/>
          </w:tcPr>
          <w:p w14:paraId="55A4CC06" w14:textId="77777777" w:rsidR="00A809FF" w:rsidRPr="00721642" w:rsidRDefault="00A809FF" w:rsidP="00916F9A">
            <w:pPr>
              <w:spacing w:line="276" w:lineRule="auto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Benin</w:t>
            </w:r>
          </w:p>
        </w:tc>
        <w:tc>
          <w:tcPr>
            <w:tcW w:w="2430" w:type="dxa"/>
          </w:tcPr>
          <w:p w14:paraId="2E33E7A2" w14:textId="77777777" w:rsidR="00A809FF" w:rsidRPr="00721642" w:rsidRDefault="00A809FF" w:rsidP="00916F9A">
            <w:pPr>
              <w:spacing w:line="276" w:lineRule="auto"/>
              <w:jc w:val="center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3.4</w:t>
            </w:r>
          </w:p>
        </w:tc>
        <w:tc>
          <w:tcPr>
            <w:tcW w:w="1890" w:type="dxa"/>
          </w:tcPr>
          <w:p w14:paraId="184A0972" w14:textId="77777777" w:rsidR="00A809FF" w:rsidRPr="00721642" w:rsidRDefault="00A809FF" w:rsidP="00916F9A">
            <w:pPr>
              <w:spacing w:line="276" w:lineRule="auto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-</w:t>
            </w:r>
          </w:p>
        </w:tc>
        <w:tc>
          <w:tcPr>
            <w:tcW w:w="2160" w:type="dxa"/>
          </w:tcPr>
          <w:p w14:paraId="6B591ADA" w14:textId="77777777" w:rsidR="00A809FF" w:rsidRPr="00721642" w:rsidRDefault="00A809FF" w:rsidP="00916F9A">
            <w:pPr>
              <w:spacing w:line="276" w:lineRule="auto"/>
              <w:jc w:val="center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50</w:t>
            </w:r>
          </w:p>
        </w:tc>
      </w:tr>
      <w:tr w:rsidR="00A809FF" w:rsidRPr="00721642" w14:paraId="1DE9559B" w14:textId="77777777" w:rsidTr="00916F9A">
        <w:tc>
          <w:tcPr>
            <w:tcW w:w="1502" w:type="dxa"/>
          </w:tcPr>
          <w:p w14:paraId="34B3580D" w14:textId="77777777" w:rsidR="00A809FF" w:rsidRPr="00721642" w:rsidRDefault="00A809FF" w:rsidP="00916F9A">
            <w:pPr>
              <w:spacing w:line="276" w:lineRule="auto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Angola</w:t>
            </w:r>
          </w:p>
        </w:tc>
        <w:tc>
          <w:tcPr>
            <w:tcW w:w="2430" w:type="dxa"/>
          </w:tcPr>
          <w:p w14:paraId="5F45B400" w14:textId="77777777" w:rsidR="00A809FF" w:rsidRPr="00721642" w:rsidRDefault="00A809FF" w:rsidP="00916F9A">
            <w:pPr>
              <w:spacing w:line="276" w:lineRule="auto"/>
              <w:jc w:val="center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3.6</w:t>
            </w:r>
          </w:p>
        </w:tc>
        <w:tc>
          <w:tcPr>
            <w:tcW w:w="1890" w:type="dxa"/>
          </w:tcPr>
          <w:p w14:paraId="10175692" w14:textId="77777777" w:rsidR="00A809FF" w:rsidRPr="00721642" w:rsidRDefault="00A809FF" w:rsidP="00916F9A">
            <w:pPr>
              <w:spacing w:line="276" w:lineRule="auto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September 2016</w:t>
            </w:r>
          </w:p>
        </w:tc>
        <w:tc>
          <w:tcPr>
            <w:tcW w:w="2160" w:type="dxa"/>
          </w:tcPr>
          <w:p w14:paraId="6A60C819" w14:textId="77777777" w:rsidR="00A809FF" w:rsidRPr="00721642" w:rsidRDefault="00A809FF" w:rsidP="00916F9A">
            <w:pPr>
              <w:spacing w:line="276" w:lineRule="auto"/>
              <w:jc w:val="center"/>
              <w:rPr>
                <w:rFonts w:eastAsia="Times New Roman"/>
              </w:rPr>
            </w:pPr>
            <w:r w:rsidRPr="00721642">
              <w:rPr>
                <w:rFonts w:eastAsia="Times New Roman"/>
              </w:rPr>
              <w:t>50</w:t>
            </w:r>
          </w:p>
        </w:tc>
      </w:tr>
    </w:tbl>
    <w:p w14:paraId="1B85CBB7" w14:textId="77777777" w:rsidR="00A809FF" w:rsidRPr="00721642" w:rsidRDefault="00A809FF" w:rsidP="00A809FF">
      <w:pPr>
        <w:spacing w:line="480" w:lineRule="auto"/>
        <w:rPr>
          <w:rFonts w:eastAsia="Times New Roman"/>
        </w:rPr>
      </w:pPr>
    </w:p>
    <w:p w14:paraId="76E4EBFE" w14:textId="77777777" w:rsidR="00A809FF" w:rsidRPr="00721642" w:rsidRDefault="00A809FF" w:rsidP="00A809FF">
      <w:pPr>
        <w:spacing w:line="480" w:lineRule="auto"/>
      </w:pPr>
    </w:p>
    <w:p w14:paraId="473E582C" w14:textId="77777777" w:rsidR="00A809FF" w:rsidRPr="00721642" w:rsidRDefault="00A809FF" w:rsidP="00A809FF">
      <w:pPr>
        <w:pStyle w:val="NoSpacing"/>
        <w:ind w:left="0" w:firstLine="0"/>
        <w:jc w:val="left"/>
        <w:rPr>
          <w:color w:val="000000" w:themeColor="text1"/>
        </w:rPr>
      </w:pPr>
    </w:p>
    <w:p w14:paraId="3DC97537" w14:textId="77777777" w:rsidR="00A809FF" w:rsidRPr="00721642" w:rsidRDefault="00A809FF" w:rsidP="00A809FF">
      <w:pPr>
        <w:pStyle w:val="NoSpacing"/>
        <w:ind w:left="0" w:firstLine="0"/>
        <w:jc w:val="left"/>
        <w:rPr>
          <w:color w:val="000000" w:themeColor="text1"/>
        </w:rPr>
      </w:pPr>
    </w:p>
    <w:p w14:paraId="74A281AA" w14:textId="77777777" w:rsidR="00A809FF" w:rsidRPr="00721642" w:rsidRDefault="00A809FF" w:rsidP="00A809FF">
      <w:pPr>
        <w:pStyle w:val="NoSpacing"/>
        <w:ind w:left="0" w:firstLine="0"/>
        <w:jc w:val="left"/>
        <w:rPr>
          <w:color w:val="000000" w:themeColor="text1"/>
        </w:rPr>
      </w:pPr>
    </w:p>
    <w:p w14:paraId="195549ED" w14:textId="77777777" w:rsidR="00A809FF" w:rsidRPr="00721642" w:rsidRDefault="00A809FF" w:rsidP="00A809FF">
      <w:pPr>
        <w:pStyle w:val="NoSpacing"/>
        <w:ind w:left="0" w:firstLine="0"/>
        <w:jc w:val="left"/>
        <w:rPr>
          <w:color w:val="000000" w:themeColor="text1"/>
        </w:rPr>
      </w:pPr>
      <w:r w:rsidRPr="00721642">
        <w:rPr>
          <w:noProof/>
          <w:color w:val="000000" w:themeColor="text1"/>
        </w:rPr>
        <w:lastRenderedPageBreak/>
        <w:drawing>
          <wp:anchor distT="0" distB="0" distL="114300" distR="114300" simplePos="0" relativeHeight="251659264" behindDoc="1" locked="0" layoutInCell="1" allowOverlap="1" wp14:anchorId="547C2239" wp14:editId="3939D2A1">
            <wp:simplePos x="0" y="0"/>
            <wp:positionH relativeFrom="column">
              <wp:posOffset>548640</wp:posOffset>
            </wp:positionH>
            <wp:positionV relativeFrom="paragraph">
              <wp:posOffset>0</wp:posOffset>
            </wp:positionV>
            <wp:extent cx="3547110" cy="2863215"/>
            <wp:effectExtent l="0" t="0" r="8890" b="6985"/>
            <wp:wrapTight wrapText="bothSides">
              <wp:wrapPolygon edited="0">
                <wp:start x="0" y="0"/>
                <wp:lineTo x="0" y="21461"/>
                <wp:lineTo x="21499" y="21461"/>
                <wp:lineTo x="21499" y="0"/>
                <wp:lineTo x="0" y="0"/>
              </wp:wrapPolygon>
            </wp:wrapTight>
            <wp:docPr id="23" name="Picture 23" descr="Figure-H2.3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e-H2.34.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1C39D" w14:textId="77777777" w:rsidR="00A809FF" w:rsidRPr="00721642" w:rsidRDefault="00A809FF" w:rsidP="00A809FF">
      <w:pPr>
        <w:pStyle w:val="NoSpacing"/>
        <w:ind w:left="0" w:firstLine="0"/>
        <w:jc w:val="left"/>
        <w:rPr>
          <w:color w:val="000000" w:themeColor="text1"/>
        </w:rPr>
      </w:pPr>
    </w:p>
    <w:p w14:paraId="76BA58EA" w14:textId="77777777" w:rsidR="00A809FF" w:rsidRPr="00721642" w:rsidRDefault="00A809FF" w:rsidP="00A809FF">
      <w:pPr>
        <w:pStyle w:val="NoSpacing"/>
        <w:ind w:left="0" w:firstLine="0"/>
        <w:jc w:val="left"/>
        <w:rPr>
          <w:color w:val="000000" w:themeColor="text1"/>
        </w:rPr>
      </w:pPr>
    </w:p>
    <w:p w14:paraId="65F20503" w14:textId="77777777" w:rsidR="00A809FF" w:rsidRPr="00721642" w:rsidRDefault="00A809FF" w:rsidP="00A809FF">
      <w:pPr>
        <w:pStyle w:val="NoSpacing"/>
        <w:ind w:left="0" w:firstLine="0"/>
        <w:jc w:val="left"/>
        <w:rPr>
          <w:color w:val="000000" w:themeColor="text1"/>
        </w:rPr>
      </w:pPr>
    </w:p>
    <w:p w14:paraId="10B7359C" w14:textId="77777777" w:rsidR="00A809FF" w:rsidRPr="00721642" w:rsidRDefault="00A809FF" w:rsidP="00A809FF">
      <w:pPr>
        <w:pStyle w:val="NoSpacing"/>
        <w:ind w:left="0" w:firstLine="0"/>
        <w:jc w:val="left"/>
        <w:rPr>
          <w:color w:val="000000" w:themeColor="text1"/>
        </w:rPr>
      </w:pPr>
    </w:p>
    <w:p w14:paraId="5F905C44" w14:textId="77777777" w:rsidR="00A809FF" w:rsidRPr="00721642" w:rsidRDefault="00A809FF" w:rsidP="00A809FF">
      <w:pPr>
        <w:pStyle w:val="NoSpacing"/>
        <w:ind w:left="0" w:firstLine="0"/>
        <w:jc w:val="left"/>
        <w:rPr>
          <w:color w:val="000000" w:themeColor="text1"/>
        </w:rPr>
      </w:pPr>
    </w:p>
    <w:p w14:paraId="40307831" w14:textId="77777777" w:rsidR="00A809FF" w:rsidRPr="00721642" w:rsidRDefault="00A809FF" w:rsidP="00A809FF">
      <w:pPr>
        <w:spacing w:line="480" w:lineRule="auto"/>
      </w:pPr>
    </w:p>
    <w:p w14:paraId="1E7FC153" w14:textId="77777777" w:rsidR="00A809FF" w:rsidRPr="00721642" w:rsidRDefault="00A809FF" w:rsidP="00A809FF">
      <w:pPr>
        <w:spacing w:line="480" w:lineRule="auto"/>
      </w:pPr>
    </w:p>
    <w:p w14:paraId="2628589B" w14:textId="77777777" w:rsidR="00A809FF" w:rsidRDefault="00A809FF" w:rsidP="00A809FF">
      <w:pPr>
        <w:pStyle w:val="NoSpacing"/>
        <w:spacing w:line="240" w:lineRule="auto"/>
        <w:ind w:left="0" w:firstLine="0"/>
        <w:jc w:val="left"/>
      </w:pPr>
    </w:p>
    <w:p w14:paraId="74DC08C6" w14:textId="77777777" w:rsidR="00A809FF" w:rsidRPr="00721642" w:rsidRDefault="00A809FF" w:rsidP="00A809FF">
      <w:pPr>
        <w:pStyle w:val="NoSpacing"/>
        <w:spacing w:line="240" w:lineRule="auto"/>
        <w:ind w:left="0" w:firstLine="0"/>
        <w:jc w:val="left"/>
        <w:rPr>
          <w:i/>
          <w:color w:val="000000" w:themeColor="text1"/>
        </w:rPr>
      </w:pPr>
      <w:r w:rsidRPr="00721642">
        <w:rPr>
          <w:color w:val="000000" w:themeColor="text1"/>
        </w:rPr>
        <w:t xml:space="preserve">Figure 2: Map of areas sampled. Areas sampled are from subdivision point 1.32 to 3.6. </w:t>
      </w:r>
    </w:p>
    <w:p w14:paraId="3849854C" w14:textId="77777777" w:rsidR="00A809FF" w:rsidRPr="00721642" w:rsidRDefault="00A809FF" w:rsidP="00A809FF">
      <w:pPr>
        <w:spacing w:line="480" w:lineRule="auto"/>
      </w:pPr>
    </w:p>
    <w:p w14:paraId="778B87B4" w14:textId="77777777" w:rsidR="00A809FF" w:rsidRDefault="00A809FF" w:rsidP="00A809FF">
      <w:pPr>
        <w:widowControl w:val="0"/>
        <w:autoSpaceDE w:val="0"/>
        <w:autoSpaceDN w:val="0"/>
        <w:adjustRightInd w:val="0"/>
        <w:spacing w:line="480" w:lineRule="auto"/>
        <w:rPr>
          <w:b/>
          <w:color w:val="000000" w:themeColor="text1"/>
        </w:rPr>
      </w:pPr>
    </w:p>
    <w:p w14:paraId="3EE1EF17" w14:textId="77777777" w:rsidR="00A809FF" w:rsidRPr="00CC2A76" w:rsidRDefault="0094534A" w:rsidP="00A809FF">
      <w:pPr>
        <w:widowControl w:val="0"/>
        <w:autoSpaceDE w:val="0"/>
        <w:autoSpaceDN w:val="0"/>
        <w:adjustRightInd w:val="0"/>
        <w:spacing w:line="480" w:lineRule="auto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dd</w:t>
      </w:r>
      <w:r w:rsidR="00A809FF" w:rsidRPr="00CC2A76">
        <w:rPr>
          <w:b/>
          <w:color w:val="000000" w:themeColor="text1"/>
        </w:rPr>
        <w:t>RADSeq</w:t>
      </w:r>
      <w:proofErr w:type="spellEnd"/>
      <w:r w:rsidR="00A809FF" w:rsidRPr="00CC2A76">
        <w:rPr>
          <w:b/>
          <w:color w:val="000000" w:themeColor="text1"/>
        </w:rPr>
        <w:t xml:space="preserve"> Lib</w:t>
      </w:r>
      <w:r w:rsidR="00A809FF">
        <w:rPr>
          <w:b/>
          <w:color w:val="000000" w:themeColor="text1"/>
        </w:rPr>
        <w:t>rary preparation and sequencing</w:t>
      </w:r>
    </w:p>
    <w:p w14:paraId="7C9E1201" w14:textId="77777777" w:rsidR="00A809FF" w:rsidRPr="00721642" w:rsidRDefault="00A809FF" w:rsidP="00A809FF">
      <w:pPr>
        <w:spacing w:line="480" w:lineRule="auto"/>
        <w:ind w:firstLine="720"/>
      </w:pPr>
      <w:r w:rsidRPr="00721642">
        <w:rPr>
          <w:color w:val="1C1D1E"/>
          <w:shd w:val="clear" w:color="auto" w:fill="FFFFFF"/>
        </w:rPr>
        <w:t>Libraries for double digest RAD</w:t>
      </w:r>
      <w:r w:rsidRPr="00721642">
        <w:rPr>
          <w:rFonts w:ascii="Cambria Math" w:hAnsi="Cambria Math" w:cs="Cambria Math"/>
          <w:color w:val="1C1D1E"/>
          <w:shd w:val="clear" w:color="auto" w:fill="FFFFFF"/>
        </w:rPr>
        <w:t>‐</w:t>
      </w:r>
      <w:proofErr w:type="spellStart"/>
      <w:r w:rsidRPr="00721642">
        <w:rPr>
          <w:color w:val="1C1D1E"/>
          <w:shd w:val="clear" w:color="auto" w:fill="FFFFFF"/>
        </w:rPr>
        <w:t>seq</w:t>
      </w:r>
      <w:proofErr w:type="spellEnd"/>
      <w:r w:rsidRPr="00721642">
        <w:rPr>
          <w:color w:val="1C1D1E"/>
          <w:shd w:val="clear" w:color="auto" w:fill="FFFFFF"/>
        </w:rPr>
        <w:t>(</w:t>
      </w:r>
      <w:proofErr w:type="spellStart"/>
      <w:r w:rsidRPr="00721642">
        <w:rPr>
          <w:color w:val="1C1D1E"/>
          <w:shd w:val="clear" w:color="auto" w:fill="FFFFFF"/>
        </w:rPr>
        <w:t>ddRAD-</w:t>
      </w:r>
      <w:proofErr w:type="gramStart"/>
      <w:r w:rsidRPr="00721642">
        <w:rPr>
          <w:color w:val="1C1D1E"/>
          <w:shd w:val="clear" w:color="auto" w:fill="FFFFFF"/>
        </w:rPr>
        <w:t>seq</w:t>
      </w:r>
      <w:proofErr w:type="spellEnd"/>
      <w:r w:rsidRPr="00721642">
        <w:rPr>
          <w:color w:val="1C1D1E"/>
          <w:shd w:val="clear" w:color="auto" w:fill="FFFFFF"/>
        </w:rPr>
        <w:t>)  were</w:t>
      </w:r>
      <w:proofErr w:type="gramEnd"/>
      <w:r w:rsidRPr="00721642">
        <w:rPr>
          <w:color w:val="1C1D1E"/>
          <w:shd w:val="clear" w:color="auto" w:fill="FFFFFF"/>
        </w:rPr>
        <w:t xml:space="preserve"> prepared using the enzymes Tas1 and </w:t>
      </w:r>
      <w:proofErr w:type="spellStart"/>
      <w:r w:rsidRPr="00721642">
        <w:rPr>
          <w:color w:val="1C1D1E"/>
          <w:shd w:val="clear" w:color="auto" w:fill="FFFFFF"/>
        </w:rPr>
        <w:t>MspI</w:t>
      </w:r>
      <w:proofErr w:type="spellEnd"/>
      <w:r w:rsidRPr="00721642">
        <w:rPr>
          <w:color w:val="1C1D1E"/>
          <w:shd w:val="clear" w:color="auto" w:fill="FFFFFF"/>
        </w:rPr>
        <w:t xml:space="preserve"> and sequencing was carried out  using </w:t>
      </w:r>
      <w:r>
        <w:rPr>
          <w:color w:val="1C1D1E"/>
          <w:shd w:val="clear" w:color="auto" w:fill="FFFFFF"/>
        </w:rPr>
        <w:t>I</w:t>
      </w:r>
      <w:r w:rsidRPr="00721642">
        <w:rPr>
          <w:color w:val="1C1D1E"/>
          <w:shd w:val="clear" w:color="auto" w:fill="FFFFFF"/>
        </w:rPr>
        <w:t xml:space="preserve">llumina Hiseq4000 at Texas Corpus Christi sequencing core facility. </w:t>
      </w:r>
    </w:p>
    <w:p w14:paraId="5725A999" w14:textId="77777777" w:rsidR="00A809FF" w:rsidRPr="00721642" w:rsidRDefault="00A809FF" w:rsidP="00A809FF">
      <w:pPr>
        <w:spacing w:line="480" w:lineRule="auto"/>
      </w:pPr>
    </w:p>
    <w:p w14:paraId="5AE82886" w14:textId="77777777" w:rsidR="00A809FF" w:rsidRPr="00CC2A76" w:rsidRDefault="00A809FF" w:rsidP="00A809FF">
      <w:pPr>
        <w:pStyle w:val="Heading3"/>
        <w:spacing w:before="0" w:after="189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CC2A76">
        <w:rPr>
          <w:rFonts w:ascii="Times New Roman" w:eastAsia="Times New Roman" w:hAnsi="Times New Roman" w:cs="Times New Roman"/>
          <w:b/>
          <w:bCs/>
          <w:color w:val="000000"/>
        </w:rPr>
        <w:t xml:space="preserve">SNP discovery and genotyping </w:t>
      </w:r>
    </w:p>
    <w:p w14:paraId="176783A2" w14:textId="77777777" w:rsidR="00A809FF" w:rsidRPr="00721642" w:rsidRDefault="00A809FF" w:rsidP="00A809FF">
      <w:pPr>
        <w:spacing w:line="480" w:lineRule="auto"/>
        <w:ind w:firstLine="720"/>
        <w:rPr>
          <w:color w:val="000000"/>
        </w:rPr>
      </w:pPr>
      <w:r w:rsidRPr="00721642">
        <w:rPr>
          <w:color w:val="000000"/>
          <w:lang w:val="en-GB"/>
        </w:rPr>
        <w:t xml:space="preserve">The </w:t>
      </w:r>
      <w:proofErr w:type="spellStart"/>
      <w:r w:rsidRPr="00721642">
        <w:rPr>
          <w:i/>
          <w:color w:val="000000"/>
          <w:lang w:val="en-GB"/>
        </w:rPr>
        <w:t>dDocent</w:t>
      </w:r>
      <w:proofErr w:type="spellEnd"/>
      <w:r w:rsidR="0094534A">
        <w:rPr>
          <w:color w:val="000000"/>
          <w:lang w:val="en-GB"/>
        </w:rPr>
        <w:t xml:space="preserve"> pipeline </w:t>
      </w:r>
      <w:r w:rsidRPr="00721642">
        <w:rPr>
          <w:color w:val="000000"/>
          <w:lang w:val="en-GB"/>
        </w:rPr>
        <w:t>version 2.5.3</w:t>
      </w:r>
      <w:r w:rsidR="0094534A">
        <w:rPr>
          <w:color w:val="000000"/>
          <w:lang w:val="en-GB"/>
        </w:rPr>
        <w:t xml:space="preserve"> </w:t>
      </w:r>
      <w:r w:rsidR="001F2707">
        <w:rPr>
          <w:color w:val="000000"/>
          <w:lang w:val="en-GB"/>
        </w:rPr>
        <w:fldChar w:fldCharType="begin" w:fldLock="1"/>
      </w:r>
      <w:r w:rsidR="001F2707">
        <w:rPr>
          <w:color w:val="000000"/>
          <w:lang w:val="en-GB"/>
        </w:rPr>
        <w:instrText>ADDIN CSL_CITATION { "citationItems" : [ { "id" : "ITEM-1", "itemData" : { "DOI" : "10.7717/peerj.431", "author" : [ { "dropping-particle" : "", "family" : "Puritz", "given" : "Jonathan B", "non-dropping-particle" : "", "parse-names" : false, "suffix" : "" }, { "dropping-particle" : "", "family" : "Hollenbeck", "given" : "Christopher M", "non-dropping-particle" : "", "parse-names" : false, "suffix" : "" }, { "dropping-particle" : "", "family" : "Gold", "given" : "John R", "non-dropping-particle" : "", "parse-names" : false, "suffix" : "" } ], "id" : "ITEM-1", "issued" : { "date-parts" : [ [ "2014" ] ] }, "title" : "dDocent : a RADseq , variant-calling pipeline designed for population genomics of non-model organisms", "type" : "article-journal" }, "uris" : [ "http://www.mendeley.com/documents/?uuid=d1e05da8-b9e0-4ba1-8fe9-7862291ae55e" ] } ], "mendeley" : { "formattedCitation" : "(Puritz, Hollenbeck, &amp; Gold, 2014)", "plainTextFormattedCitation" : "(Puritz, Hollenbeck, &amp; Gold, 2014)" }, "properties" : {  }, "schema" : "https://github.com/citation-style-language/schema/raw/master/csl-citation.json" }</w:instrText>
      </w:r>
      <w:r w:rsidR="001F2707">
        <w:rPr>
          <w:color w:val="000000"/>
          <w:lang w:val="en-GB"/>
        </w:rPr>
        <w:fldChar w:fldCharType="separate"/>
      </w:r>
      <w:r w:rsidR="001F2707" w:rsidRPr="001F2707">
        <w:rPr>
          <w:noProof/>
          <w:color w:val="000000"/>
          <w:lang w:val="en-GB"/>
        </w:rPr>
        <w:t>(Puritz, Hollenbeck, &amp; Gold, 2014)</w:t>
      </w:r>
      <w:r w:rsidR="001F2707">
        <w:rPr>
          <w:color w:val="000000"/>
          <w:lang w:val="en-GB"/>
        </w:rPr>
        <w:fldChar w:fldCharType="end"/>
      </w:r>
      <w:r w:rsidRPr="00721642">
        <w:rPr>
          <w:color w:val="000000"/>
          <w:lang w:val="en-GB"/>
        </w:rPr>
        <w:t xml:space="preserve"> was used for quality filtering of demultiplexed </w:t>
      </w:r>
      <w:r w:rsidR="005F350C" w:rsidRPr="00721642">
        <w:rPr>
          <w:color w:val="000000"/>
          <w:lang w:val="en-GB"/>
        </w:rPr>
        <w:t>data,</w:t>
      </w:r>
      <w:r w:rsidRPr="00721642">
        <w:rPr>
          <w:color w:val="000000"/>
          <w:lang w:val="en-GB"/>
        </w:rPr>
        <w:t xml:space="preserve"> </w:t>
      </w:r>
      <w:r w:rsidRPr="005F350C">
        <w:rPr>
          <w:color w:val="000000"/>
          <w:lang w:val="en-GB"/>
        </w:rPr>
        <w:t>de novo assembly</w:t>
      </w:r>
      <w:r w:rsidRPr="00721642">
        <w:rPr>
          <w:color w:val="000000"/>
          <w:lang w:val="en-GB"/>
        </w:rPr>
        <w:t>, read t</w:t>
      </w:r>
      <w:r w:rsidR="005F350C">
        <w:rPr>
          <w:color w:val="000000"/>
          <w:lang w:val="en-GB"/>
        </w:rPr>
        <w:t>rimming, read mapping, and variant</w:t>
      </w:r>
      <w:r w:rsidRPr="00721642">
        <w:rPr>
          <w:color w:val="000000"/>
          <w:lang w:val="en-GB"/>
        </w:rPr>
        <w:t xml:space="preserve"> calling. For </w:t>
      </w:r>
      <w:proofErr w:type="spellStart"/>
      <w:r w:rsidRPr="00721642">
        <w:rPr>
          <w:color w:val="000000"/>
          <w:lang w:val="en-GB"/>
        </w:rPr>
        <w:t>denovo</w:t>
      </w:r>
      <w:proofErr w:type="spellEnd"/>
      <w:r w:rsidRPr="00721642">
        <w:rPr>
          <w:color w:val="000000"/>
          <w:lang w:val="en-GB"/>
        </w:rPr>
        <w:t xml:space="preserve"> assembly, assembly parameters of k1=2, k2=2, and clustering similarity equalled 90% were used after examining multiple iterations,</w:t>
      </w:r>
      <w:r w:rsidR="005F350C">
        <w:rPr>
          <w:color w:val="000000"/>
          <w:lang w:val="en-GB"/>
        </w:rPr>
        <w:t xml:space="preserve"> f</w:t>
      </w:r>
      <w:r w:rsidRPr="00721642">
        <w:rPr>
          <w:color w:val="000000"/>
          <w:lang w:val="en-GB"/>
        </w:rPr>
        <w:t xml:space="preserve">or read mapping, </w:t>
      </w:r>
      <w:r w:rsidRPr="00721642">
        <w:rPr>
          <w:color w:val="000000"/>
        </w:rPr>
        <w:t xml:space="preserve">the default parameters were used, with mismatch parameter equals </w:t>
      </w:r>
      <w:proofErr w:type="gramStart"/>
      <w:r w:rsidRPr="00721642">
        <w:rPr>
          <w:color w:val="000000"/>
        </w:rPr>
        <w:t>4  and</w:t>
      </w:r>
      <w:proofErr w:type="gramEnd"/>
      <w:r w:rsidRPr="00721642">
        <w:rPr>
          <w:color w:val="000000"/>
        </w:rPr>
        <w:t xml:space="preserve"> the gap opening penalty </w:t>
      </w:r>
      <w:r w:rsidR="005F350C">
        <w:rPr>
          <w:color w:val="000000"/>
        </w:rPr>
        <w:t xml:space="preserve">of </w:t>
      </w:r>
      <w:r w:rsidRPr="00721642">
        <w:rPr>
          <w:color w:val="000000"/>
        </w:rPr>
        <w:lastRenderedPageBreak/>
        <w:t xml:space="preserve">6 .  </w:t>
      </w:r>
      <w:r w:rsidR="0094534A">
        <w:rPr>
          <w:color w:val="000000"/>
        </w:rPr>
        <w:t>Variant</w:t>
      </w:r>
      <w:r w:rsidRPr="00721642">
        <w:rPr>
          <w:color w:val="000000"/>
        </w:rPr>
        <w:t xml:space="preserve"> calling was carried out using </w:t>
      </w:r>
      <w:proofErr w:type="spellStart"/>
      <w:r w:rsidRPr="00721642">
        <w:rPr>
          <w:color w:val="000000"/>
        </w:rPr>
        <w:t>freebayers</w:t>
      </w:r>
      <w:proofErr w:type="spellEnd"/>
      <w:r w:rsidRPr="00721642">
        <w:rPr>
          <w:color w:val="000000"/>
        </w:rPr>
        <w:t xml:space="preserve"> which was </w:t>
      </w:r>
      <w:proofErr w:type="gramStart"/>
      <w:r w:rsidRPr="00721642">
        <w:rPr>
          <w:color w:val="000000"/>
        </w:rPr>
        <w:t>subjected  to</w:t>
      </w:r>
      <w:proofErr w:type="gramEnd"/>
      <w:r w:rsidRPr="00721642">
        <w:rPr>
          <w:color w:val="000000"/>
        </w:rPr>
        <w:t xml:space="preserve"> several filtering steps to reduce false positives. </w:t>
      </w:r>
    </w:p>
    <w:p w14:paraId="7931A75A" w14:textId="77777777" w:rsidR="00A809FF" w:rsidRDefault="00A809FF" w:rsidP="00A809FF">
      <w:pPr>
        <w:pStyle w:val="Heading3"/>
        <w:spacing w:before="0" w:after="189" w:line="480" w:lineRule="auto"/>
        <w:textAlignment w:val="baseline"/>
        <w:rPr>
          <w:rFonts w:ascii="Times New Roman" w:eastAsia="Times New Roman" w:hAnsi="Times New Roman" w:cs="Times New Roman"/>
          <w:bCs/>
          <w:color w:val="000000"/>
        </w:rPr>
      </w:pPr>
    </w:p>
    <w:p w14:paraId="00EE2F2B" w14:textId="77777777" w:rsidR="00A809FF" w:rsidRPr="00CC2A76" w:rsidRDefault="00A809FF" w:rsidP="00A809FF">
      <w:pPr>
        <w:pStyle w:val="Heading3"/>
        <w:spacing w:before="0" w:after="189" w:line="48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CC2A76">
        <w:rPr>
          <w:rFonts w:ascii="Times New Roman" w:eastAsia="Times New Roman" w:hAnsi="Times New Roman" w:cs="Times New Roman"/>
          <w:b/>
          <w:bCs/>
          <w:color w:val="000000"/>
        </w:rPr>
        <w:t xml:space="preserve">SNP filtering </w:t>
      </w:r>
    </w:p>
    <w:p w14:paraId="4C9447AE" w14:textId="77777777" w:rsidR="00A809FF" w:rsidRPr="00721642" w:rsidRDefault="00A809FF" w:rsidP="00A809FF">
      <w:pPr>
        <w:spacing w:line="480" w:lineRule="auto"/>
        <w:ind w:firstLine="720"/>
        <w:rPr>
          <w:color w:val="000000"/>
        </w:rPr>
      </w:pPr>
      <w:r w:rsidRPr="00721642">
        <w:rPr>
          <w:color w:val="000000"/>
        </w:rPr>
        <w:t xml:space="preserve">Raw variant  calls were filtered using the program </w:t>
      </w:r>
      <w:proofErr w:type="spellStart"/>
      <w:r w:rsidRPr="00721642">
        <w:rPr>
          <w:color w:val="000000"/>
        </w:rPr>
        <w:t>VCFtools</w:t>
      </w:r>
      <w:proofErr w:type="spellEnd"/>
      <w:r w:rsidRPr="00721642">
        <w:rPr>
          <w:color w:val="000000"/>
        </w:rPr>
        <w:t xml:space="preserve"> and </w:t>
      </w:r>
      <w:r w:rsidR="005F350C">
        <w:rPr>
          <w:color w:val="000000"/>
        </w:rPr>
        <w:t xml:space="preserve">several </w:t>
      </w:r>
      <w:r w:rsidRPr="00721642">
        <w:rPr>
          <w:color w:val="000000"/>
        </w:rPr>
        <w:t>bash scripts</w:t>
      </w:r>
      <w:r w:rsidR="005F350C">
        <w:rPr>
          <w:color w:val="000000"/>
        </w:rPr>
        <w:t xml:space="preserve"> </w:t>
      </w:r>
      <w:r w:rsidRPr="00721642">
        <w:rPr>
          <w:color w:val="000000"/>
        </w:rPr>
        <w:t>(pop_missing_filter.sh, dDocent_filters.sh,rad_haplotyper.pl, remove.bad.hap.loci.sh)</w:t>
      </w:r>
      <w:r w:rsidR="005D33C1">
        <w:rPr>
          <w:color w:val="000000"/>
        </w:rPr>
        <w:t xml:space="preserve"> </w:t>
      </w:r>
      <w:r w:rsidR="0094534A">
        <w:rPr>
          <w:color w:val="000000"/>
          <w:lang w:val="en-GB"/>
        </w:rPr>
        <w:fldChar w:fldCharType="begin" w:fldLock="1"/>
      </w:r>
      <w:r w:rsidR="0094534A">
        <w:rPr>
          <w:color w:val="000000"/>
          <w:lang w:val="en-GB"/>
        </w:rPr>
        <w:instrText>ADDIN CSL_CITATION { "citationItems" : [ { "id" : "ITEM-1", "itemData" : { "DOI" : "10.7717/peerj.431", "author" : [ { "dropping-particle" : "", "family" : "Puritz", "given" : "Jonathan B", "non-dropping-particle" : "", "parse-names" : false, "suffix" : "" }, { "dropping-particle" : "", "family" : "Hollenbeck", "given" : "Christopher M", "non-dropping-particle" : "", "parse-names" : false, "suffix" : "" }, { "dropping-particle" : "", "family" : "Gold", "given" : "John R", "non-dropping-particle" : "", "parse-names" : false, "suffix" : "" } ], "id" : "ITEM-1", "issued" : { "date-parts" : [ [ "2014" ] ] }, "title" : "dDocent : a RADseq , variant-calling pipeline designed for population genomics of non-model organisms", "type" : "article-journal" }, "uris" : [ "http://www.mendeley.com/documents/?uuid=d1e05da8-b9e0-4ba1-8fe9-7862291ae55e" ] } ], "mendeley" : { "formattedCitation" : "(Puritz, Hollenbeck, &amp; Gold, 2014)", "plainTextFormattedCitation" : "(Puritz, Hollenbeck, &amp; Gold, 2014)" }, "properties" : {  }, "schema" : "https://github.com/citation-style-language/schema/raw/master/csl-citation.json" }</w:instrText>
      </w:r>
      <w:r w:rsidR="0094534A">
        <w:rPr>
          <w:color w:val="000000"/>
          <w:lang w:val="en-GB"/>
        </w:rPr>
        <w:fldChar w:fldCharType="separate"/>
      </w:r>
      <w:r w:rsidR="0094534A" w:rsidRPr="001F2707">
        <w:rPr>
          <w:noProof/>
          <w:color w:val="000000"/>
          <w:lang w:val="en-GB"/>
        </w:rPr>
        <w:t>(Puritz, Hollenbeck, &amp; Gold, 2014)</w:t>
      </w:r>
      <w:r w:rsidR="0094534A">
        <w:rPr>
          <w:color w:val="000000"/>
          <w:lang w:val="en-GB"/>
        </w:rPr>
        <w:fldChar w:fldCharType="end"/>
      </w:r>
      <w:r w:rsidRPr="00721642">
        <w:rPr>
          <w:color w:val="000000"/>
        </w:rPr>
        <w:t xml:space="preserve">. Loci with minimum depth less than 5 were filtered out. SNP loci that were not called in 25% individuals in each of the population were removed using the script pop_missing_filter.sh. </w:t>
      </w:r>
      <w:proofErr w:type="spellStart"/>
      <w:r w:rsidRPr="00721642">
        <w:rPr>
          <w:color w:val="000000"/>
        </w:rPr>
        <w:t>dDocent_filters</w:t>
      </w:r>
      <w:proofErr w:type="spellEnd"/>
      <w:r w:rsidRPr="00721642">
        <w:rPr>
          <w:color w:val="000000"/>
        </w:rPr>
        <w:t xml:space="preserve"> were used to filter loci based on </w:t>
      </w:r>
      <w:proofErr w:type="spellStart"/>
      <w:r w:rsidRPr="00721642">
        <w:rPr>
          <w:color w:val="000000"/>
        </w:rPr>
        <w:t>FreeBayes</w:t>
      </w:r>
      <w:proofErr w:type="spellEnd"/>
      <w:r w:rsidRPr="00721642">
        <w:rPr>
          <w:color w:val="000000"/>
        </w:rPr>
        <w:t xml:space="preserve"> INFO criteria and depth. </w:t>
      </w:r>
      <w:r w:rsidR="0094534A">
        <w:rPr>
          <w:color w:val="000000"/>
        </w:rPr>
        <w:t xml:space="preserve">Variant calls </w:t>
      </w:r>
      <w:proofErr w:type="gramStart"/>
      <w:r w:rsidR="0094534A">
        <w:rPr>
          <w:color w:val="000000"/>
        </w:rPr>
        <w:t xml:space="preserve">were </w:t>
      </w:r>
      <w:r w:rsidRPr="00721642">
        <w:rPr>
          <w:color w:val="000000"/>
        </w:rPr>
        <w:t xml:space="preserve"> collapsed</w:t>
      </w:r>
      <w:proofErr w:type="gramEnd"/>
      <w:r w:rsidRPr="00721642">
        <w:rPr>
          <w:color w:val="000000"/>
        </w:rPr>
        <w:t xml:space="preserve"> into SN</w:t>
      </w:r>
      <w:r w:rsidR="0094534A">
        <w:rPr>
          <w:color w:val="000000"/>
        </w:rPr>
        <w:t>P and Indel</w:t>
      </w:r>
      <w:r w:rsidRPr="00721642">
        <w:rPr>
          <w:color w:val="000000"/>
        </w:rPr>
        <w:t xml:space="preserve"> calls, Indels were removed with </w:t>
      </w:r>
      <w:proofErr w:type="spellStart"/>
      <w:r w:rsidRPr="00721642">
        <w:rPr>
          <w:color w:val="000000"/>
        </w:rPr>
        <w:t>VCFtools</w:t>
      </w:r>
      <w:proofErr w:type="spellEnd"/>
      <w:r w:rsidRPr="00721642">
        <w:rPr>
          <w:color w:val="000000"/>
        </w:rPr>
        <w:t xml:space="preserve"> t</w:t>
      </w:r>
      <w:r w:rsidR="0094534A">
        <w:rPr>
          <w:color w:val="000000"/>
        </w:rPr>
        <w:t>o produce a VCF file of only SNP</w:t>
      </w:r>
      <w:r w:rsidRPr="00721642">
        <w:rPr>
          <w:color w:val="000000"/>
        </w:rPr>
        <w:t xml:space="preserve"> calls.  SNPs were then filtered to only include loci with 2 alleles using </w:t>
      </w:r>
      <w:proofErr w:type="spellStart"/>
      <w:r w:rsidRPr="00721642">
        <w:rPr>
          <w:color w:val="000000"/>
        </w:rPr>
        <w:t>VCFtools</w:t>
      </w:r>
      <w:proofErr w:type="spellEnd"/>
      <w:r w:rsidRPr="00721642">
        <w:rPr>
          <w:color w:val="000000"/>
        </w:rPr>
        <w:t xml:space="preserve"> and  </w:t>
      </w:r>
      <w:r w:rsidR="0094534A">
        <w:rPr>
          <w:color w:val="000000"/>
        </w:rPr>
        <w:t xml:space="preserve"> </w:t>
      </w:r>
      <w:r w:rsidRPr="00721642">
        <w:rPr>
          <w:color w:val="000000"/>
        </w:rPr>
        <w:t xml:space="preserve">haplotyped using the script rad_haplotyper.pl to search for loci that are paralogs.  Loci that had more than 5 individuals marked as paralogous and more than 30 individuals marked for potential genotyping errors were removed using the script </w:t>
      </w:r>
      <w:proofErr w:type="gramStart"/>
      <w:r w:rsidRPr="00721642">
        <w:rPr>
          <w:color w:val="000000"/>
        </w:rPr>
        <w:t>remove.bad.hap.loci.sh .</w:t>
      </w:r>
      <w:proofErr w:type="gramEnd"/>
      <w:r w:rsidRPr="00721642">
        <w:rPr>
          <w:color w:val="000000"/>
        </w:rPr>
        <w:t xml:space="preserve"> loci were </w:t>
      </w:r>
      <w:proofErr w:type="gramStart"/>
      <w:r w:rsidRPr="00721642">
        <w:rPr>
          <w:color w:val="000000"/>
        </w:rPr>
        <w:t>finally  haplotyped</w:t>
      </w:r>
      <w:proofErr w:type="gramEnd"/>
      <w:r w:rsidRPr="00721642">
        <w:rPr>
          <w:color w:val="000000"/>
        </w:rPr>
        <w:t xml:space="preserve"> and converted into a final GENEPOP file for analysis.</w:t>
      </w:r>
    </w:p>
    <w:p w14:paraId="6F8ECDDA" w14:textId="77777777" w:rsidR="00432F00" w:rsidRDefault="00733C07"/>
    <w:sectPr w:rsidR="00432F00" w:rsidSect="004E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FF"/>
    <w:rsid w:val="0007292F"/>
    <w:rsid w:val="00112C36"/>
    <w:rsid w:val="001F2707"/>
    <w:rsid w:val="004E3E89"/>
    <w:rsid w:val="005D33C1"/>
    <w:rsid w:val="005F350C"/>
    <w:rsid w:val="00733C07"/>
    <w:rsid w:val="0094534A"/>
    <w:rsid w:val="00A809FF"/>
    <w:rsid w:val="00D5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35F7E"/>
  <w15:chartTrackingRefBased/>
  <w15:docId w15:val="{A898B663-C36A-5B49-A531-A9CF215E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9FF"/>
    <w:rPr>
      <w:rFonts w:ascii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9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09F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A809FF"/>
    <w:pPr>
      <w:spacing w:line="480" w:lineRule="auto"/>
      <w:ind w:left="5040" w:hanging="5040"/>
      <w:jc w:val="both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A80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Takyi</dc:creator>
  <cp:keywords/>
  <dc:description/>
  <cp:lastModifiedBy>Evelyn Takyi</cp:lastModifiedBy>
  <cp:revision>2</cp:revision>
  <dcterms:created xsi:type="dcterms:W3CDTF">2018-07-18T21:59:00Z</dcterms:created>
  <dcterms:modified xsi:type="dcterms:W3CDTF">2018-07-18T21:59:00Z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84295057-828e-31ef-ac90-830cacb76d15</vt:lpwstr>
  </property>
  <property fmtid="{D5CDD505-2E9C-101B-9397-08002B2CF9AE}" pid="4" name="Mendeley Citation Style_1">
    <vt:lpwstr>http://www.zotero.org/styles/apa</vt:lpwstr>
  </property>
</Properties>
</file>