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0"/>
          <w:szCs w:val="20"/>
        </w:rPr>
      </w:pPr>
      <w:r>
        <w:rPr>
          <w:rFonts w:ascii="Times New Roman" w:hAnsi="Times New Roman"/>
          <w:b/>
          <w:bCs/>
          <w:sz w:val="20"/>
          <w:szCs w:val="20"/>
        </w:rPr>
        <w:t>Соглашение об обмене электронными документами в Битрикс24.Подпись</w:t>
      </w:r>
    </w:p>
    <w:p>
      <w:pPr>
        <w:pStyle w:val="Normal"/>
        <w:jc w:val="righ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{DocumentCreateTime~d.m.Y}</w:t>
      </w:r>
    </w:p>
    <w:p>
      <w:pPr>
        <w:pStyle w:val="Heading1"/>
        <w:shd w:val="clear" w:color="auto" w:fill="FFFFFF"/>
        <w:spacing w:beforeAutospacing="0" w:before="0" w:afterAutospacing="0" w:after="0"/>
        <w:rPr>
          <w:rFonts w:eastAsia="Calibri" w:eastAsiaTheme="minorHAnsi"/>
          <w:b w:val="false"/>
          <w:b w:val="false"/>
          <w:bCs w:val="false"/>
          <w:color w:val="C00000"/>
          <w:kern w:val="0"/>
          <w:sz w:val="20"/>
          <w:szCs w:val="20"/>
          <w:lang w:eastAsia="en-US"/>
        </w:rPr>
      </w:pPr>
      <w:r>
        <w:rPr>
          <w:rFonts w:eastAsia="Calibri" w:eastAsiaTheme="minorHAnsi"/>
          <w:b w:val="false"/>
          <w:bCs w:val="false"/>
          <w:color w:val="C00000"/>
          <w:kern w:val="0"/>
          <w:sz w:val="20"/>
          <w:szCs w:val="20"/>
          <w:lang w:eastAsia="en-US"/>
        </w:rPr>
      </w:r>
    </w:p>
    <w:p>
      <w:pPr>
        <w:pStyle w:val="Heading1"/>
        <w:shd w:val="clear" w:color="auto" w:fill="FFFFFF"/>
        <w:spacing w:beforeAutospacing="0" w:before="0" w:afterAutospacing="0" w:after="0"/>
        <w:ind w:firstLine="284"/>
        <w:jc w:val="both"/>
        <w:rPr>
          <w:rFonts w:eastAsia="Calibri" w:eastAsiaTheme="minorHAnsi"/>
          <w:b w:val="false"/>
          <w:b w:val="false"/>
          <w:bCs w:val="false"/>
          <w:color w:val="000000" w:themeColor="text1"/>
          <w:kern w:val="0"/>
          <w:sz w:val="20"/>
          <w:szCs w:val="20"/>
          <w:lang w:eastAsia="en-US"/>
        </w:rPr>
      </w:pPr>
      <w:r>
        <w:rPr>
          <w:rFonts w:eastAsia="Calibri" w:eastAsiaTheme="minorHAnsi"/>
          <w:b w:val="false"/>
          <w:bCs w:val="false"/>
          <w:color w:val="000000" w:themeColor="text1"/>
          <w:kern w:val="0"/>
          <w:sz w:val="20"/>
          <w:szCs w:val="20"/>
          <w:lang w:eastAsia="en-US"/>
        </w:rPr>
        <w:t>Сторона 1 и Сторона 2, указанные в п.5.5., заключили соглашение об обмене электронными документами (ЭД) в целях признания простой электронной подписи (ПЭП) равнозначной собственноручной подписи (далее – Соглашение) на условиях, указанных ниже.</w:t>
      </w:r>
    </w:p>
    <w:p>
      <w:pPr>
        <w:pStyle w:val="Heading1"/>
        <w:shd w:val="clear" w:color="auto" w:fill="FFFFFF"/>
        <w:spacing w:beforeAutospacing="0" w:before="0" w:afterAutospacing="0" w:after="0"/>
        <w:jc w:val="both"/>
        <w:rPr>
          <w:rFonts w:eastAsia="Calibri" w:eastAsiaTheme="minorHAnsi"/>
          <w:b w:val="false"/>
          <w:b w:val="false"/>
          <w:bCs w:val="false"/>
          <w:kern w:val="0"/>
          <w:sz w:val="20"/>
          <w:szCs w:val="20"/>
          <w:lang w:eastAsia="en-US"/>
        </w:rPr>
      </w:pPr>
      <w:r>
        <w:rPr>
          <w:rFonts w:eastAsia="Calibri" w:eastAsiaTheme="minorHAnsi"/>
          <w:b w:val="false"/>
          <w:bCs w:val="false"/>
          <w:color w:val="000000" w:themeColor="text1"/>
          <w:kern w:val="0"/>
          <w:sz w:val="20"/>
          <w:szCs w:val="20"/>
          <w:lang w:eastAsia="en-US"/>
        </w:rPr>
        <w:t xml:space="preserve">Используемые в Соглашении термины и определения понимаются и толкуются в соответствии с Федеральным законом «Об </w:t>
      </w:r>
      <w:r>
        <w:rPr>
          <w:rFonts w:eastAsia="Calibri" w:eastAsiaTheme="minorHAnsi"/>
          <w:b w:val="false"/>
          <w:bCs w:val="false"/>
          <w:kern w:val="0"/>
          <w:sz w:val="20"/>
          <w:szCs w:val="20"/>
          <w:lang w:eastAsia="en-US"/>
        </w:rPr>
        <w:t xml:space="preserve">электронной подписи» от 06.04.2011 № 63-ФЗ и Условиями Битрикс24.Подпись, размещенными по </w:t>
      </w:r>
      <w:hyperlink r:id="rId2">
        <w:r>
          <w:rPr>
            <w:rStyle w:val="InternetLink"/>
            <w:rFonts w:eastAsia="Calibri" w:eastAsiaTheme="minorHAnsi"/>
            <w:b w:val="false"/>
            <w:bCs w:val="false"/>
            <w:kern w:val="0"/>
            <w:sz w:val="20"/>
            <w:szCs w:val="20"/>
            <w:lang w:eastAsia="en-US"/>
          </w:rPr>
          <w:t>https://www.bitrix24.ru/abuse/sign.php</w:t>
        </w:r>
      </w:hyperlink>
      <w:r>
        <w:rPr>
          <w:rFonts w:eastAsia="Calibri" w:eastAsiaTheme="minorHAnsi"/>
          <w:b w:val="false"/>
          <w:bCs w:val="false"/>
          <w:kern w:val="0"/>
          <w:sz w:val="20"/>
          <w:szCs w:val="20"/>
          <w:lang w:eastAsia="en-US"/>
        </w:rPr>
        <w:t>, если иное не указано в Соглашении.</w:t>
      </w:r>
    </w:p>
    <w:p>
      <w:pPr>
        <w:pStyle w:val="ListParagraph"/>
        <w:numPr>
          <w:ilvl w:val="0"/>
          <w:numId w:val="1"/>
        </w:numPr>
        <w:spacing w:before="0" w:after="0"/>
        <w:ind w:left="0" w:firstLine="426"/>
        <w:contextualSpacing w:val="false"/>
        <w:jc w:val="both"/>
        <w:rPr>
          <w:rFonts w:ascii="Times New Roman" w:hAnsi="Times New Roman"/>
          <w:b/>
          <w:b/>
          <w:bCs/>
          <w:sz w:val="20"/>
          <w:szCs w:val="20"/>
        </w:rPr>
      </w:pPr>
      <w:r>
        <w:rPr>
          <w:rFonts w:ascii="Times New Roman" w:hAnsi="Times New Roman"/>
          <w:b/>
          <w:bCs/>
          <w:sz w:val="20"/>
          <w:szCs w:val="20"/>
        </w:rPr>
        <w:t>Предмет Соглашения</w:t>
      </w:r>
    </w:p>
    <w:p>
      <w:pPr>
        <w:pStyle w:val="ListParagraph"/>
        <w:numPr>
          <w:ilvl w:val="1"/>
          <w:numId w:val="1"/>
        </w:numPr>
        <w:spacing w:before="0" w:after="0"/>
        <w:ind w:left="0" w:hanging="0"/>
        <w:contextualSpacing w:val="false"/>
        <w:jc w:val="both"/>
        <w:rPr>
          <w:rFonts w:ascii="Times New Roman" w:hAnsi="Times New Roman"/>
          <w:b/>
          <w:b/>
          <w:bCs/>
          <w:sz w:val="20"/>
          <w:szCs w:val="20"/>
        </w:rPr>
      </w:pPr>
      <w:r>
        <w:rPr>
          <w:rFonts w:ascii="Times New Roman" w:hAnsi="Times New Roman"/>
          <w:sz w:val="20"/>
          <w:szCs w:val="20"/>
        </w:rPr>
        <w:t>Стороны регламентировали порядок организации между Сторонами электронного документооборота в целях заключения, а также исполнения ранее заключенных между Сторонами договоров в следующем порядке:</w:t>
      </w:r>
    </w:p>
    <w:tbl>
      <w:tblPr>
        <w:tblStyle w:val="a5"/>
        <w:tblW w:w="101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83"/>
        <w:gridCol w:w="5083"/>
      </w:tblGrid>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 Электронной подписи </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Простая электронная подпись (ПЭП)</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Виды документов, подписываемых Сторонами </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Формализованные и неформализованные</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Информационная система, посредством которой формируется ПЭП</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Функциональность ПО для ЭВМ «1С-Битрикс24» - Битрикс24.Подпись</w:t>
            </w:r>
          </w:p>
        </w:tc>
      </w:tr>
    </w:tbl>
    <w:p>
      <w:pPr>
        <w:pStyle w:val="ListParagraph"/>
        <w:numPr>
          <w:ilvl w:val="1"/>
          <w:numId w:val="1"/>
        </w:numPr>
        <w:spacing w:before="0" w:after="0"/>
        <w:ind w:left="0"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 xml:space="preserve">Использование Сторонами Битрикс24.Подпись осуществляется в соответствии с Условиями.  </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Стороны верифицировали друг друга и подтверждают принадлежность Каналов связи, указанных в пункте 5.5. Соглашения, лицам, уполномоченным на подписание ЭД в рамках Соглашения. </w:t>
      </w:r>
    </w:p>
    <w:p>
      <w:pPr>
        <w:pStyle w:val="ListParagraph"/>
        <w:numPr>
          <w:ilvl w:val="1"/>
          <w:numId w:val="1"/>
        </w:numPr>
        <w:spacing w:before="0" w:after="0"/>
        <w:ind w:left="0" w:hanging="0"/>
        <w:contextualSpacing w:val="false"/>
        <w:jc w:val="both"/>
        <w:rPr>
          <w:rFonts w:ascii="Times New Roman" w:hAnsi="Times New Roman"/>
          <w:sz w:val="20"/>
          <w:szCs w:val="20"/>
        </w:rPr>
      </w:pPr>
      <w:r>
        <w:rPr>
          <w:rFonts w:ascii="Times New Roman" w:hAnsi="Times New Roman"/>
          <w:sz w:val="20"/>
          <w:szCs w:val="20"/>
        </w:rPr>
        <w:t>Стороны признают, что ЭД, подписанные с использованием ПЭП являются оригиналами и надлежащими доказательствами в суде, без нотариального удостоверения.</w:t>
      </w:r>
    </w:p>
    <w:p>
      <w:pPr>
        <w:pStyle w:val="ListParagraph"/>
        <w:numPr>
          <w:ilvl w:val="0"/>
          <w:numId w:val="1"/>
        </w:numPr>
        <w:spacing w:before="0" w:after="0"/>
        <w:ind w:left="720" w:hanging="0"/>
        <w:contextualSpacing w:val="false"/>
        <w:jc w:val="both"/>
        <w:rPr>
          <w:rFonts w:ascii="Times New Roman" w:hAnsi="Times New Roman"/>
          <w:b/>
          <w:b/>
          <w:bCs/>
          <w:sz w:val="20"/>
          <w:szCs w:val="20"/>
        </w:rPr>
      </w:pPr>
      <w:r>
        <w:rPr>
          <w:rFonts w:ascii="Times New Roman" w:hAnsi="Times New Roman"/>
          <w:b/>
          <w:bCs/>
          <w:sz w:val="20"/>
          <w:szCs w:val="20"/>
        </w:rPr>
        <w:t>Порядок подписания и определения лица, подписавшего ЭД</w:t>
      </w:r>
    </w:p>
    <w:p>
      <w:pPr>
        <w:pStyle w:val="NormalWeb"/>
        <w:numPr>
          <w:ilvl w:val="1"/>
          <w:numId w:val="1"/>
        </w:numPr>
        <w:spacing w:beforeAutospacing="0" w:before="0" w:afterAutospacing="0" w:after="0"/>
        <w:ind w:left="0" w:hanging="0"/>
        <w:jc w:val="both"/>
        <w:rPr>
          <w:rFonts w:eastAsia="Calibri" w:eastAsiaTheme="minorHAnsi"/>
          <w:sz w:val="20"/>
          <w:szCs w:val="20"/>
          <w:lang w:eastAsia="en-US"/>
        </w:rPr>
      </w:pPr>
      <w:r>
        <w:rPr>
          <w:rFonts w:eastAsia="Calibri" w:eastAsiaTheme="minorHAnsi"/>
          <w:sz w:val="20"/>
          <w:szCs w:val="20"/>
          <w:lang w:eastAsia="en-US"/>
        </w:rPr>
        <w:t xml:space="preserve">Для подписания ЭД Стороны используют Ключ ПЭП, формируемый и направленный Битрикс24.Подпись Сторонам </w:t>
      </w:r>
      <w:r>
        <w:rPr>
          <w:sz w:val="20"/>
          <w:szCs w:val="20"/>
        </w:rPr>
        <w:t>посредством одного из согласованных Каналов связи, указанных Стороной при использовании Битрикс24.Подпись.</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sz w:val="20"/>
          <w:szCs w:val="20"/>
        </w:rPr>
        <w:t xml:space="preserve">Стороны подтверждают, что ЭД, подписанный ПЭП посредством Ключа ПЭП, признается равнозначными документу на бумажном носителе, подписанному собственноручной подписью и заверенным печатью (при наличии) соответствующей Стороны. Целостность Электронного </w:t>
      </w:r>
      <w:r>
        <w:rPr>
          <w:rFonts w:ascii="Times New Roman" w:hAnsi="Times New Roman"/>
          <w:color w:val="000000" w:themeColor="text1"/>
          <w:sz w:val="20"/>
          <w:szCs w:val="20"/>
        </w:rPr>
        <w:t>документа фиксируется средствами Битрикс24.Подпись и может быть проверена/подтверждена каждой из Сторон.</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Определение лица, подписавшего ЭД, осуществляется путем сопоставления Каналов связи, указанных в Сертификате и Каналов связи лица, уполномоченного подписывать ЭД от конкретной Стороны, указанных в Соглашении.</w:t>
      </w:r>
    </w:p>
    <w:p>
      <w:pPr>
        <w:pStyle w:val="ListParagraph"/>
        <w:numPr>
          <w:ilvl w:val="1"/>
          <w:numId w:val="1"/>
        </w:numPr>
        <w:spacing w:before="0" w:after="0"/>
        <w:ind w:left="0" w:hanging="0"/>
        <w:contextualSpacing w:val="false"/>
        <w:jc w:val="both"/>
        <w:rPr>
          <w:rFonts w:ascii="Times New Roman" w:hAnsi="Times New Roman" w:eastAsia="Calibri" w:cs="Times New Roman"/>
          <w:color w:val="000000" w:themeColor="text1"/>
          <w:kern w:val="0"/>
          <w:sz w:val="20"/>
          <w:szCs w:val="20"/>
          <w:lang w:val="ru-RU" w:eastAsia="en-US" w:bidi="ar-SA"/>
        </w:rPr>
      </w:pPr>
      <w:r>
        <w:rPr>
          <w:rFonts w:eastAsia="Calibri" w:cs="Times New Roman" w:ascii="Times New Roman" w:hAnsi="Times New Roman"/>
          <w:color w:val="000000" w:themeColor="text1"/>
          <w:kern w:val="0"/>
          <w:sz w:val="20"/>
          <w:szCs w:val="20"/>
          <w:lang w:val="ru-RU" w:eastAsia="en-US" w:bidi="ar-SA"/>
        </w:rPr>
        <w:t xml:space="preserve">Принимая во внимание, что Битрикс24.Подпись хранит подписанный ЭД в течение 14 (четырнадцати) календарных дней, каждая Сторона должна самостоятельно скачать и сохранить подписанный ЭД в указанный период.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Конфиденциальность</w:t>
      </w:r>
    </w:p>
    <w:p>
      <w:pPr>
        <w:pStyle w:val="ListParagraph"/>
        <w:numPr>
          <w:ilvl w:val="1"/>
          <w:numId w:val="1"/>
        </w:numPr>
        <w:ind w:left="0" w:hanging="0"/>
        <w:jc w:val="both"/>
        <w:rPr>
          <w:rFonts w:ascii="Times New Roman" w:hAnsi="Times New Roman" w:eastAsia="Times New Roman"/>
          <w:sz w:val="20"/>
          <w:szCs w:val="20"/>
          <w:lang w:eastAsia="ru-RU"/>
        </w:rPr>
      </w:pPr>
      <w:r>
        <w:rPr>
          <w:rFonts w:eastAsia="Times New Roman" w:ascii="Times New Roman" w:hAnsi="Times New Roman"/>
          <w:sz w:val="20"/>
          <w:szCs w:val="20"/>
          <w:lang w:eastAsia="ru-RU"/>
        </w:rPr>
        <w:t>Каждая из Сторон несет ответственность за обеспечение конфиденциальности Ключей ПЭП, недопущения его использования без ее согласия. Стороны гарантируют, что согласованные Каналы связи принадлежат указанным в 5.5. Соглашения лицам и третьи лица не имеют к ним доступа.</w:t>
      </w:r>
    </w:p>
    <w:p>
      <w:pPr>
        <w:pStyle w:val="ListParagraph"/>
        <w:numPr>
          <w:ilvl w:val="1"/>
          <w:numId w:val="1"/>
        </w:numPr>
        <w:ind w:left="0" w:hanging="0"/>
        <w:jc w:val="both"/>
        <w:rPr>
          <w:rFonts w:ascii="Times New Roman" w:hAnsi="Times New Roman"/>
          <w:b/>
          <w:b/>
          <w:bCs/>
          <w:sz w:val="20"/>
          <w:szCs w:val="20"/>
        </w:rPr>
      </w:pPr>
      <w:r>
        <w:rPr>
          <w:rFonts w:eastAsia="Times New Roman" w:ascii="Times New Roman" w:hAnsi="Times New Roman"/>
          <w:sz w:val="20"/>
          <w:szCs w:val="20"/>
          <w:lang w:eastAsia="ru-RU"/>
        </w:rPr>
        <w:t xml:space="preserve">Стороны обязаны незамедлительно информировать друг друга о невозможности обмена ЭД.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 xml:space="preserve">Ответственность Сторон </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Каждая из Сторон несут ответственность за содержание любого направленного и (или) подписанного ЭД.</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 xml:space="preserve">Сторона, допустившая компрометацию Ключа ПЭП, несет ответственность за ЭД, подписанные с использованием скомпрометированного Ключа ПЭП и связанные с этим риски. </w:t>
      </w:r>
    </w:p>
    <w:p>
      <w:pPr>
        <w:pStyle w:val="ListParagraph"/>
        <w:numPr>
          <w:ilvl w:val="0"/>
          <w:numId w:val="1"/>
        </w:numPr>
        <w:ind w:left="0" w:right="-29" w:hanging="0"/>
        <w:jc w:val="both"/>
        <w:rPr>
          <w:rFonts w:ascii="Times New Roman" w:hAnsi="Times New Roman"/>
          <w:b/>
          <w:b/>
          <w:bCs/>
          <w:color w:val="000000" w:themeColor="text1"/>
          <w:sz w:val="20"/>
          <w:szCs w:val="20"/>
        </w:rPr>
      </w:pPr>
      <w:r>
        <w:rPr>
          <w:rFonts w:ascii="Times New Roman" w:hAnsi="Times New Roman"/>
          <w:b/>
          <w:bCs/>
          <w:sz w:val="20"/>
          <w:szCs w:val="20"/>
        </w:rPr>
        <w:t>Заключительные положения</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При возникновении разногласий относительно подписания с помощью ПЭП, определенных ЭД Стороны соглашаются </w:t>
      </w:r>
      <w:r>
        <w:rPr>
          <w:rFonts w:ascii="Times New Roman" w:hAnsi="Times New Roman"/>
          <w:color w:val="000000" w:themeColor="text1"/>
          <w:sz w:val="20"/>
          <w:szCs w:val="20"/>
        </w:rPr>
        <w:t>совместно осуществить рассмотрение спора.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Стороны принимают и согласны с тем, что информация, предоставляемая Битрикс24.Подпись, признается Сторонами в качестве пригодной и достаточной для при разрешении конфликтных ситуаций, и/или споров в досудебном порядке, и/или в суде (1) факта запроса Стороной Ключа ЭП (то есть подтверждать факт получения Битрикс24.Подпись от Стороны запроса на отправку Ключа ЭП), (2) факта направления Стороне Ключа ЭП, (3) факта ввода Стороной Ключа ЭП в соответствующее поле для подписания Электронного документа.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К отношениям Сторон по Соглашению применяется законодательство Российской Федерации. </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sz w:val="20"/>
          <w:szCs w:val="20"/>
        </w:rPr>
        <w:t>Соглашение вступает в силу с даты подписания и действует до расторжения Соглашения одной из Сторон.</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b/>
          <w:bCs/>
          <w:color w:val="000000" w:themeColor="text1"/>
          <w:sz w:val="20"/>
          <w:szCs w:val="20"/>
        </w:rPr>
        <w:t>Реквизиты и Каналы связи Сторон</w:t>
      </w:r>
    </w:p>
    <w:tbl>
      <w:tblPr>
        <w:tblStyle w:val="a5"/>
        <w:tblW w:w="8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6"/>
        <w:gridCol w:w="3787"/>
        <w:gridCol w:w="3177"/>
      </w:tblGrid>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1</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2</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Наименование или ФИО</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{MyCompanyRequisiteRqCompanyName}</w:t>
            </w:r>
          </w:p>
        </w:tc>
        <w:tc>
          <w:tcPr>
            <w:tcW w:w="3177" w:type="dxa"/>
            <w:tcBorders/>
          </w:tcPr>
          <w:p>
            <w:pPr>
              <w:pStyle w:val="Normal"/>
              <w:widowControl w:val="false"/>
              <w:suppressAutoHyphens w:val="true"/>
              <w:spacing w:before="0" w:after="0"/>
              <w:jc w:val="both"/>
              <w:rPr>
                <w:rFonts w:ascii="Times New Roman" w:hAnsi="Times New Roman"/>
                <w:sz w:val="20"/>
                <w:szCs w:val="20"/>
              </w:rPr>
            </w:pPr>
            <w:r>
              <w:rPr>
                <w:rFonts w:eastAsia="Calibri" w:cs="Times New Roman"/>
                <w:kern w:val="0"/>
                <w:sz w:val="20"/>
                <w:szCs w:val="20"/>
                <w:lang w:val="ru-RU" w:eastAsia="en-US" w:bidi="ar-SA"/>
              </w:rPr>
              <w:t xml:space="preserve">{RequisiteRqCompanyName} </w:t>
            </w:r>
          </w:p>
        </w:tc>
      </w:tr>
      <w:tr>
        <w:trPr>
          <w:trHeight w:val="20" w:hRule="atLeast"/>
        </w:trPr>
        <w:tc>
          <w:tcPr>
            <w:tcW w:w="8680"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Реквизиты сторон:</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ИНН/ паспортные данные</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{MyCompanyRequisiteRqInn}</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{RequisiteRqInn}</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регистрации</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{MyCompanyAddressLegal}</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{RequisiteRegisteredAddressText}</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ФИО лица, подписывающего ЭД</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{MyCompanyRequisiteRqDirector~Format=#LAST_NAME# #NAME# #SECOND_NAME#}</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{RequisiteRqDirector~Format=#LAST_NAME# #NAME# #SECOND_NAME#}</w:t>
            </w:r>
          </w:p>
        </w:tc>
      </w:tr>
      <w:tr>
        <w:trPr>
          <w:trHeight w:val="20" w:hRule="atLeast"/>
        </w:trPr>
        <w:tc>
          <w:tcPr>
            <w:tcW w:w="8680"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Каналы связи лиц, подписывающих Электронные документы:</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электронной почты</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{MyCompanyEmail}</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{ClientEmail}</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СМС</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{ClientPhone}</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 xml:space="preserve">Номер телефона для связи через мессенджер </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{ClientPhone}</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Подписи Сторон</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r>
    </w:tbl>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
    </w:p>
    <w:sectPr>
      <w:type w:val="nextPage"/>
      <w:pgSz w:w="11920" w:h="16850"/>
      <w:pgMar w:left="717" w:right="430" w:gutter="0" w:header="0" w:top="398" w:footer="0" w:bottom="38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92" w:hanging="432"/>
      </w:pPr>
      <w:rPr>
        <w:dstrike w:val="false"/>
        <w:strike w:val="false"/>
        <w:b/>
        <w:bCs/>
        <w:color w:val="000000" w:themeColor="text1"/>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Calibri" w:cs="Times New Roman" w:eastAsiaTheme="minorHAnsi"/>
      <w:color w:val="auto"/>
      <w:kern w:val="0"/>
      <w:sz w:val="24"/>
      <w:szCs w:val="24"/>
      <w:lang w:val="ru-RU" w:eastAsia="en-US" w:bidi="ar-SA"/>
    </w:rPr>
  </w:style>
  <w:style w:type="paragraph" w:styleId="Heading1">
    <w:name w:val="Heading 1"/>
    <w:basedOn w:val="Normal"/>
    <w:link w:val="1"/>
    <w:uiPriority w:val="9"/>
    <w:qFormat/>
    <w:rsid w:val="00557481"/>
    <w:pPr>
      <w:spacing w:beforeAutospacing="1" w:afterAutospacing="1"/>
      <w:outlineLvl w:val="0"/>
    </w:pPr>
    <w:rPr>
      <w:rFonts w:ascii="Times New Roman" w:hAnsi="Times New Roman" w:eastAsia="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34068"/>
    <w:rPr>
      <w:sz w:val="16"/>
      <w:szCs w:val="16"/>
    </w:rPr>
  </w:style>
  <w:style w:type="character" w:styleId="Style13" w:customStyle="1">
    <w:name w:val="Текст примечания Знак"/>
    <w:basedOn w:val="DefaultParagraphFont"/>
    <w:link w:val="Annotationtext"/>
    <w:uiPriority w:val="99"/>
    <w:semiHidden/>
    <w:qFormat/>
    <w:rsid w:val="00734068"/>
    <w:rPr>
      <w:sz w:val="20"/>
      <w:szCs w:val="20"/>
    </w:rPr>
  </w:style>
  <w:style w:type="character" w:styleId="Style14" w:customStyle="1">
    <w:name w:val="Тема примечания Знак"/>
    <w:basedOn w:val="Style13"/>
    <w:link w:val="Annotationsubject"/>
    <w:uiPriority w:val="99"/>
    <w:semiHidden/>
    <w:qFormat/>
    <w:rsid w:val="00734068"/>
    <w:rPr>
      <w:b/>
      <w:bCs/>
      <w:sz w:val="20"/>
      <w:szCs w:val="20"/>
    </w:rPr>
  </w:style>
  <w:style w:type="character" w:styleId="1" w:customStyle="1">
    <w:name w:val="Заголовок 1 Знак"/>
    <w:basedOn w:val="DefaultParagraphFont"/>
    <w:link w:val="Heading1"/>
    <w:uiPriority w:val="9"/>
    <w:qFormat/>
    <w:rsid w:val="00557481"/>
    <w:rPr>
      <w:rFonts w:ascii="Times New Roman" w:hAnsi="Times New Roman" w:eastAsia="Times New Roman"/>
      <w:b/>
      <w:bCs/>
      <w:kern w:val="2"/>
      <w:sz w:val="48"/>
      <w:szCs w:val="48"/>
      <w:lang w:eastAsia="ru-RU"/>
    </w:rPr>
  </w:style>
  <w:style w:type="character" w:styleId="InternetLink">
    <w:name w:val="Hyperlink"/>
    <w:basedOn w:val="DefaultParagraphFont"/>
    <w:uiPriority w:val="99"/>
    <w:unhideWhenUsed/>
    <w:rsid w:val="00be6cc2"/>
    <w:rPr>
      <w:color w:val="0000FF"/>
      <w:u w:val="single"/>
    </w:rPr>
  </w:style>
  <w:style w:type="character" w:styleId="UnresolvedMention">
    <w:name w:val="Unresolved Mention"/>
    <w:basedOn w:val="DefaultParagraphFont"/>
    <w:uiPriority w:val="99"/>
    <w:semiHidden/>
    <w:unhideWhenUsed/>
    <w:qFormat/>
    <w:rsid w:val="00be6cc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492253"/>
    <w:pPr>
      <w:spacing w:before="0" w:after="0"/>
      <w:ind w:left="720" w:hanging="0"/>
      <w:contextualSpacing/>
    </w:pPr>
    <w:rPr/>
  </w:style>
  <w:style w:type="paragraph" w:styleId="NormalWeb">
    <w:name w:val="Normal (Web)"/>
    <w:basedOn w:val="Normal"/>
    <w:uiPriority w:val="99"/>
    <w:unhideWhenUsed/>
    <w:qFormat/>
    <w:rsid w:val="00ab78dc"/>
    <w:pPr>
      <w:spacing w:beforeAutospacing="1" w:afterAutospacing="1"/>
    </w:pPr>
    <w:rPr>
      <w:rFonts w:ascii="Times New Roman" w:hAnsi="Times New Roman" w:eastAsia="Times New Roman"/>
      <w:lang w:eastAsia="ru-RU"/>
    </w:rPr>
  </w:style>
  <w:style w:type="paragraph" w:styleId="Default" w:customStyle="1">
    <w:name w:val="Default"/>
    <w:qFormat/>
    <w:rsid w:val="00e95266"/>
    <w:pPr>
      <w:widowControl/>
      <w:suppressAutoHyphens w:val="true"/>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Annotationtext">
    <w:name w:val="annotation text"/>
    <w:basedOn w:val="Normal"/>
    <w:link w:val="Style13"/>
    <w:uiPriority w:val="99"/>
    <w:semiHidden/>
    <w:unhideWhenUsed/>
    <w:qFormat/>
    <w:rsid w:val="00734068"/>
    <w:pPr/>
    <w:rPr>
      <w:sz w:val="20"/>
      <w:szCs w:val="20"/>
    </w:rPr>
  </w:style>
  <w:style w:type="paragraph" w:styleId="Annotationsubject">
    <w:name w:val="annotation subject"/>
    <w:basedOn w:val="Annotationtext"/>
    <w:next w:val="Annotationtext"/>
    <w:link w:val="Style14"/>
    <w:uiPriority w:val="99"/>
    <w:semiHidden/>
    <w:unhideWhenUsed/>
    <w:qFormat/>
    <w:rsid w:val="00734068"/>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af54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trix24.ru/abuse/sign.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F1A06-307C-AC41-BA51-8E06EFFC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2</Pages>
  <Words>568</Words>
  <Characters>4288</Characters>
  <CharactersWithSpaces>4804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2022-11-10T11:36:00Z</dcterms:created>
  <dc:creator>Зорина Эльвира</dc:creator>
  <dc:description/>
  <dc:language>en-US</dc:language>
  <cp:lastModifiedBy/>
  <dcterms:modified xsi:type="dcterms:W3CDTF">2023-01-19T15:25:18Z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