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8A7" w:rsidRDefault="00B128A7" w:rsidP="00B128A7">
      <w:pPr>
        <w:jc w:val="center"/>
        <w:rPr>
          <w:b/>
        </w:rPr>
      </w:pPr>
      <w:r>
        <w:rPr>
          <w:b/>
        </w:rPr>
        <w:t>Gain Patterns</w:t>
      </w:r>
      <w:r w:rsidRPr="00E95BCB">
        <w:rPr>
          <w:b/>
        </w:rPr>
        <w:t xml:space="preserve"> Described by Spherical Harmonics</w:t>
      </w:r>
    </w:p>
    <w:p w:rsidR="00B128A7" w:rsidRDefault="00B128A7" w:rsidP="00B128A7">
      <w:pPr>
        <w:jc w:val="center"/>
        <w:rPr>
          <w:b/>
        </w:rPr>
      </w:pPr>
    </w:p>
    <w:p w:rsidR="006F207C" w:rsidRPr="006F207C" w:rsidRDefault="006F207C">
      <w:r>
        <w:rPr>
          <w:b/>
        </w:rPr>
        <w:t>Definitions of the Gain:</w:t>
      </w:r>
    </w:p>
    <w:p w:rsidR="00847E60" w:rsidRPr="00847E60" w:rsidRDefault="00847E60">
      <w:r>
        <w:t>For CalPoly, I believe this describes the gain integral:</w:t>
      </w:r>
    </w:p>
    <w:p w:rsidR="00E95BCB" w:rsidRPr="001C4B00" w:rsidRDefault="00311CFB">
      <w:pPr>
        <w:rPr>
          <w:rFonts w:eastAsiaTheme="minorEastAsia"/>
        </w:rPr>
      </w:pPr>
      <m:oMathPara>
        <m:oMath>
          <m:r>
            <w:rPr>
              <w:rFonts w:ascii="Cambria Math" w:hAnsi="Cambria Math"/>
            </w:rPr>
            <m:t>TotalGai</m:t>
          </m:r>
          <m:sSub>
            <m:sSubPr>
              <m:ctrlPr>
                <w:rPr>
                  <w:rFonts w:ascii="Cambria Math" w:hAnsi="Cambria Math"/>
                  <w:i/>
                </w:rPr>
              </m:ctrlPr>
            </m:sSubPr>
            <m:e>
              <m:r>
                <w:rPr>
                  <w:rFonts w:ascii="Cambria Math" w:hAnsi="Cambria Math"/>
                </w:rPr>
                <m:t>n</m:t>
              </m:r>
            </m:e>
            <m:sub>
              <m:r>
                <w:rPr>
                  <w:rFonts w:ascii="Cambria Math" w:hAnsi="Cambria Math"/>
                </w:rPr>
                <m:t>CalPoly</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θ, ϕ</m:t>
                          </m:r>
                        </m:e>
                      </m:d>
                    </m:e>
                  </m:d>
                </m:e>
              </m:func>
            </m:den>
          </m:f>
          <m:nary>
            <m:naryPr>
              <m:limLoc m:val="subSup"/>
              <m:ctrlPr>
                <w:rPr>
                  <w:rFonts w:ascii="Cambria Math" w:hAnsi="Cambria Math"/>
                  <w:i/>
                </w:rPr>
              </m:ctrlPr>
            </m:naryPr>
            <m:sub>
              <m:r>
                <w:rPr>
                  <w:rFonts w:ascii="Cambria Math" w:hAnsi="Cambria Math"/>
                </w:rPr>
                <m:t>0</m:t>
              </m:r>
            </m:sub>
            <m:sup>
              <m:r>
                <w:rPr>
                  <w:rFonts w:ascii="Cambria Math" w:hAnsi="Cambria Math"/>
                </w:rPr>
                <m:t>π</m:t>
              </m:r>
            </m:sup>
            <m:e>
              <m:nary>
                <m:naryPr>
                  <m:limLoc m:val="subSup"/>
                  <m:ctrlPr>
                    <w:rPr>
                      <w:rFonts w:ascii="Cambria Math" w:hAnsi="Cambria Math"/>
                      <w:i/>
                    </w:rPr>
                  </m:ctrlPr>
                </m:naryPr>
                <m:sub>
                  <m:r>
                    <w:rPr>
                      <w:rFonts w:ascii="Cambria Math" w:hAnsi="Cambria Math"/>
                    </w:rPr>
                    <m:t>0</m:t>
                  </m:r>
                </m:sub>
                <m:sup>
                  <m:r>
                    <w:rPr>
                      <w:rFonts w:ascii="Cambria Math" w:hAnsi="Cambria Math"/>
                    </w:rPr>
                    <m:t>2π</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0</m:t>
                          </m:r>
                        </m:sup>
                      </m:sSubSup>
                      <m:d>
                        <m:dPr>
                          <m:ctrlPr>
                            <w:rPr>
                              <w:rFonts w:ascii="Cambria Math" w:hAnsi="Cambria Math"/>
                              <w:i/>
                            </w:rPr>
                          </m:ctrlPr>
                        </m:dPr>
                        <m:e>
                          <m:r>
                            <w:rPr>
                              <w:rFonts w:ascii="Cambria Math" w:hAnsi="Cambria Math"/>
                            </w:rPr>
                            <m:t>θ, ϕ</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0</m:t>
                          </m:r>
                        </m:sup>
                      </m:sSubSup>
                      <m:d>
                        <m:dPr>
                          <m:ctrlPr>
                            <w:rPr>
                              <w:rFonts w:ascii="Cambria Math" w:hAnsi="Cambria Math"/>
                              <w:i/>
                            </w:rPr>
                          </m:ctrlPr>
                        </m:dPr>
                        <m:e>
                          <m:r>
                            <w:rPr>
                              <w:rFonts w:ascii="Cambria Math" w:hAnsi="Cambria Math"/>
                            </w:rPr>
                            <m:t>θ, ϕ</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0</m:t>
                          </m:r>
                        </m:sup>
                      </m:sSubSup>
                      <m:d>
                        <m:dPr>
                          <m:ctrlPr>
                            <w:rPr>
                              <w:rFonts w:ascii="Cambria Math" w:hAnsi="Cambria Math"/>
                              <w:i/>
                            </w:rPr>
                          </m:ctrlPr>
                        </m:dPr>
                        <m:e>
                          <m:r>
                            <w:rPr>
                              <w:rFonts w:ascii="Cambria Math" w:hAnsi="Cambria Math"/>
                            </w:rPr>
                            <m:t>θ, ϕ</m:t>
                          </m:r>
                        </m:e>
                      </m:d>
                    </m:e>
                  </m:d>
                </m:e>
              </m:nary>
            </m:e>
          </m:nary>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dθdϕ</m:t>
          </m:r>
        </m:oMath>
      </m:oMathPara>
    </w:p>
    <w:p w:rsidR="00F359AB" w:rsidRDefault="001C4B00">
      <w:pPr>
        <w:rPr>
          <w:rFonts w:eastAsiaTheme="minorEastAsia"/>
        </w:rPr>
      </w:pPr>
      <w:r>
        <w:rPr>
          <w:rFonts w:eastAsiaTheme="minorEastAsia"/>
        </w:rPr>
        <w:t xml:space="preserve">Note: If I am not mistaken, </w:t>
      </w:r>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θ, ϕ</m:t>
                    </m:r>
                  </m:e>
                </m:d>
              </m:e>
            </m:d>
          </m:e>
        </m:func>
      </m:oMath>
      <w:r>
        <w:rPr>
          <w:rFonts w:eastAsiaTheme="minorEastAsia"/>
        </w:rPr>
        <w:t xml:space="preserve"> is not constant</w:t>
      </w:r>
      <w:r w:rsidR="00847E60">
        <w:rPr>
          <w:rFonts w:eastAsiaTheme="minorEastAsia"/>
        </w:rPr>
        <w:t>; it</w:t>
      </w:r>
      <w:r w:rsidR="00311CFB">
        <w:rPr>
          <w:rFonts w:eastAsiaTheme="minorEastAsia"/>
        </w:rPr>
        <w:t xml:space="preserve"> depends</w:t>
      </w:r>
      <w:r>
        <w:rPr>
          <w:rFonts w:eastAsiaTheme="minorEastAsia"/>
        </w:rPr>
        <w:t xml:space="preserve"> on the value of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8F1DCE">
        <w:rPr>
          <w:rFonts w:eastAsiaTheme="minorEastAsia"/>
        </w:rPr>
        <w:t>. This is because the first Spherical Harmonic is the only one that integrates over all angles to a nonzero value</w:t>
      </w:r>
      <w:r>
        <w:rPr>
          <w:rFonts w:eastAsiaTheme="minorEastAsia"/>
        </w:rPr>
        <w:t>.</w:t>
      </w:r>
      <w:r w:rsidR="00847E60">
        <w:rPr>
          <w:rFonts w:eastAsiaTheme="minorEastAsia"/>
        </w:rPr>
        <w:t xml:space="preserve"> </w:t>
      </w:r>
    </w:p>
    <w:p w:rsidR="001C4B00" w:rsidRDefault="00847E60">
      <w:pPr>
        <w:rPr>
          <w:rFonts w:eastAsiaTheme="minorEastAsia"/>
        </w:rPr>
      </w:pPr>
      <w:r>
        <w:rPr>
          <w:rFonts w:eastAsiaTheme="minorEastAsia"/>
        </w:rPr>
        <w:t>OSU’s method is taking the square of the linear sum:</w:t>
      </w:r>
    </w:p>
    <w:p w:rsidR="001C4B00" w:rsidRPr="006F207C" w:rsidRDefault="00311CFB" w:rsidP="001C4B00">
      <w:pPr>
        <w:rPr>
          <w:rFonts w:eastAsiaTheme="minorEastAsia"/>
        </w:rPr>
      </w:pPr>
      <m:oMathPara>
        <m:oMath>
          <m:r>
            <w:rPr>
              <w:rFonts w:ascii="Cambria Math" w:hAnsi="Cambria Math"/>
            </w:rPr>
            <m:t>TotalGai</m:t>
          </m:r>
          <m:sSub>
            <m:sSubPr>
              <m:ctrlPr>
                <w:rPr>
                  <w:rFonts w:ascii="Cambria Math" w:hAnsi="Cambria Math"/>
                  <w:i/>
                </w:rPr>
              </m:ctrlPr>
            </m:sSubPr>
            <m:e>
              <m:r>
                <w:rPr>
                  <w:rFonts w:ascii="Cambria Math" w:hAnsi="Cambria Math"/>
                </w:rPr>
                <m:t>n</m:t>
              </m:r>
            </m:e>
            <m:sub>
              <m:r>
                <w:rPr>
                  <w:rFonts w:ascii="Cambria Math" w:hAnsi="Cambria Math"/>
                </w:rPr>
                <m:t>OSU</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m:t>
              </m:r>
              <m:r>
                <w:rPr>
                  <w:rFonts w:ascii="Cambria Math" w:hAnsi="Cambria Math"/>
                </w:rPr>
                <m:t>π</m:t>
              </m:r>
            </m:sup>
            <m:e>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0</m:t>
                              </m:r>
                            </m:sup>
                          </m:sSubSup>
                          <m:d>
                            <m:dPr>
                              <m:ctrlPr>
                                <w:rPr>
                                  <w:rFonts w:ascii="Cambria Math" w:hAnsi="Cambria Math"/>
                                  <w:i/>
                                </w:rPr>
                              </m:ctrlPr>
                            </m:dPr>
                            <m:e>
                              <m:r>
                                <w:rPr>
                                  <w:rFonts w:ascii="Cambria Math" w:hAnsi="Cambria Math"/>
                                </w:rPr>
                                <m:t>θ, ϕ</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0</m:t>
                              </m:r>
                            </m:sup>
                          </m:sSubSup>
                          <m:d>
                            <m:dPr>
                              <m:ctrlPr>
                                <w:rPr>
                                  <w:rFonts w:ascii="Cambria Math" w:hAnsi="Cambria Math"/>
                                  <w:i/>
                                </w:rPr>
                              </m:ctrlPr>
                            </m:dPr>
                            <m:e>
                              <m:r>
                                <w:rPr>
                                  <w:rFonts w:ascii="Cambria Math" w:hAnsi="Cambria Math"/>
                                </w:rPr>
                                <m:t>θ, ϕ</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0</m:t>
                              </m:r>
                            </m:sup>
                          </m:sSubSup>
                          <m:d>
                            <m:dPr>
                              <m:ctrlPr>
                                <w:rPr>
                                  <w:rFonts w:ascii="Cambria Math" w:hAnsi="Cambria Math"/>
                                  <w:i/>
                                </w:rPr>
                              </m:ctrlPr>
                            </m:dPr>
                            <m:e>
                              <m:r>
                                <w:rPr>
                                  <w:rFonts w:ascii="Cambria Math" w:hAnsi="Cambria Math"/>
                                </w:rPr>
                                <m:t>θ, ϕ</m:t>
                              </m:r>
                            </m:e>
                          </m:d>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dθdϕ</m:t>
                  </m:r>
                </m:e>
              </m:nary>
            </m:e>
          </m:nary>
        </m:oMath>
      </m:oMathPara>
    </w:p>
    <w:p w:rsidR="006F207C" w:rsidRPr="006F207C" w:rsidRDefault="006F207C" w:rsidP="001C4B00">
      <w:pPr>
        <w:rPr>
          <w:rFonts w:eastAsiaTheme="minorEastAsia"/>
        </w:rPr>
      </w:pPr>
      <w:r>
        <w:rPr>
          <w:rFonts w:eastAsiaTheme="minorEastAsia"/>
        </w:rPr>
        <w:t>To calculate a fitness score, change the bounds of integration to the region of interest. For example, if trying to maximize</w:t>
      </w:r>
      <w:r w:rsidR="00FA5DCA">
        <w:rPr>
          <w:rFonts w:eastAsiaTheme="minorEastAsia"/>
        </w:rPr>
        <w:t xml:space="preserve"> a ring at</w:t>
      </w:r>
      <w:r>
        <w:rPr>
          <w:rFonts w:eastAsiaTheme="minorEastAsia"/>
        </w:rPr>
        <w:t xml:space="preserve"> theta </w:t>
      </w:r>
      <w:r w:rsidR="00FA5DCA">
        <w:rPr>
          <w:rFonts w:eastAsiaTheme="minorEastAsia"/>
        </w:rPr>
        <w:t xml:space="preserve">of </w:t>
      </w:r>
      <w:r>
        <w:rPr>
          <w:rFonts w:eastAsiaTheme="minorEastAsia"/>
        </w:rPr>
        <w:t>90 degrees with a spread of 20 degrees, make the bounds of the theta integral 80 to 100 degrees (the min and max acceptable theta values) instead of 0 to 180 degrees</w:t>
      </w:r>
      <w:r w:rsidR="00FA5DCA">
        <w:rPr>
          <w:rFonts w:eastAsiaTheme="minorEastAsia"/>
        </w:rPr>
        <w:t xml:space="preserve"> (the bounds of an integration overall angles).</w:t>
      </w:r>
    </w:p>
    <w:p w:rsidR="006F207C" w:rsidRPr="006F207C" w:rsidRDefault="006F207C" w:rsidP="001C4B00">
      <w:pPr>
        <w:rPr>
          <w:rFonts w:eastAsiaTheme="minorEastAsia"/>
          <w:b/>
        </w:rPr>
      </w:pPr>
      <w:r w:rsidRPr="006F207C">
        <w:rPr>
          <w:rFonts w:eastAsiaTheme="minorEastAsia"/>
          <w:b/>
        </w:rPr>
        <w:t>Normalizing the Gain Pattern:</w:t>
      </w:r>
    </w:p>
    <w:p w:rsidR="00847E60" w:rsidRPr="00311CFB" w:rsidRDefault="00FA5DCA" w:rsidP="001C4B00">
      <w:pPr>
        <w:rPr>
          <w:rFonts w:eastAsiaTheme="minorEastAsia"/>
        </w:rPr>
      </w:pPr>
      <w:r>
        <w:rPr>
          <w:rFonts w:eastAsiaTheme="minorEastAsia"/>
        </w:rPr>
        <w:t>The OSU definition of gain</w:t>
      </w:r>
      <w:r w:rsidR="008F1DCE">
        <w:rPr>
          <w:rFonts w:eastAsiaTheme="minorEastAsia"/>
        </w:rPr>
        <w:t xml:space="preserve"> can be further simplified us</w:t>
      </w:r>
      <w:r w:rsidR="00847E60">
        <w:rPr>
          <w:rFonts w:eastAsiaTheme="minorEastAsia"/>
        </w:rPr>
        <w:t>ing the orthogonality of Spherical Harmonics:</w:t>
      </w:r>
    </w:p>
    <w:p w:rsidR="00311CFB" w:rsidRPr="00847E60" w:rsidRDefault="00311CFB" w:rsidP="00311CFB">
      <w:pPr>
        <w:rPr>
          <w:rFonts w:eastAsiaTheme="minorEastAsia"/>
        </w:rPr>
      </w:pPr>
      <m:oMathPara>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π</m:t>
              </m:r>
            </m:sup>
            <m:e>
              <m:nary>
                <m:naryPr>
                  <m:limLoc m:val="subSup"/>
                  <m:ctrlPr>
                    <w:rPr>
                      <w:rFonts w:ascii="Cambria Math" w:hAnsi="Cambria Math"/>
                      <w:i/>
                    </w:rPr>
                  </m:ctrlPr>
                </m:naryPr>
                <m:sub>
                  <m:r>
                    <w:rPr>
                      <w:rFonts w:ascii="Cambria Math" w:hAnsi="Cambria Math"/>
                    </w:rPr>
                    <m:t>0</m:t>
                  </m:r>
                </m:sub>
                <m:sup>
                  <m:r>
                    <w:rPr>
                      <w:rFonts w:ascii="Cambria Math" w:hAnsi="Cambria Math"/>
                    </w:rPr>
                    <m:t>2π</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0</m:t>
                                  </m:r>
                                </m:sup>
                              </m:sSubSup>
                              <m:d>
                                <m:dPr>
                                  <m:ctrlPr>
                                    <w:rPr>
                                      <w:rFonts w:ascii="Cambria Math" w:hAnsi="Cambria Math"/>
                                      <w:i/>
                                    </w:rPr>
                                  </m:ctrlPr>
                                </m:dPr>
                                <m:e>
                                  <m:r>
                                    <w:rPr>
                                      <w:rFonts w:ascii="Cambria Math" w:hAnsi="Cambria Math"/>
                                    </w:rPr>
                                    <m:t>θ, ϕ</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0</m:t>
                                  </m:r>
                                </m:sup>
                              </m:sSubSup>
                              <m:d>
                                <m:dPr>
                                  <m:ctrlPr>
                                    <w:rPr>
                                      <w:rFonts w:ascii="Cambria Math" w:hAnsi="Cambria Math"/>
                                      <w:i/>
                                    </w:rPr>
                                  </m:ctrlPr>
                                </m:dPr>
                                <m:e>
                                  <m:r>
                                    <w:rPr>
                                      <w:rFonts w:ascii="Cambria Math" w:hAnsi="Cambria Math"/>
                                    </w:rPr>
                                    <m:t>θ, ϕ</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0</m:t>
                                  </m:r>
                                </m:sup>
                              </m:sSubSup>
                              <m:d>
                                <m:dPr>
                                  <m:ctrlPr>
                                    <w:rPr>
                                      <w:rFonts w:ascii="Cambria Math" w:hAnsi="Cambria Math"/>
                                      <w:i/>
                                    </w:rPr>
                                  </m:ctrlPr>
                                </m:dPr>
                                <m:e>
                                  <m:r>
                                    <w:rPr>
                                      <w:rFonts w:ascii="Cambria Math" w:hAnsi="Cambria Math"/>
                                    </w:rPr>
                                    <m:t>θ, ϕ</m:t>
                                  </m:r>
                                </m:e>
                              </m:d>
                            </m:e>
                          </m:d>
                        </m:e>
                        <m:sup>
                          <m:r>
                            <w:rPr>
                              <w:rFonts w:ascii="Cambria Math" w:hAnsi="Cambria Math"/>
                            </w:rPr>
                            <m:t>2</m:t>
                          </m:r>
                        </m:sup>
                      </m:sSup>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dθdϕ</m:t>
                  </m:r>
                </m:e>
              </m:nary>
            </m:e>
          </m:nary>
        </m:oMath>
      </m:oMathPara>
    </w:p>
    <w:p w:rsidR="00847E60" w:rsidRPr="00311CFB" w:rsidRDefault="00847E60" w:rsidP="00311CFB">
      <w:pPr>
        <w:rPr>
          <w:rFonts w:eastAsiaTheme="minorEastAsia"/>
        </w:rPr>
      </w:pPr>
      <w:r>
        <w:rPr>
          <w:rFonts w:eastAsiaTheme="minorEastAsia"/>
        </w:rPr>
        <w:t>Using the normality of the Spherical Harmonics</w:t>
      </w:r>
      <w:r w:rsidR="008F1DCE">
        <w:rPr>
          <w:rFonts w:eastAsiaTheme="minorEastAsia"/>
        </w:rPr>
        <w:t xml:space="preserve"> over all angles</w:t>
      </w:r>
      <w:r w:rsidR="00FA5DCA">
        <w:rPr>
          <w:rFonts w:eastAsiaTheme="minorEastAsia"/>
        </w:rPr>
        <w:t>, the integral can be evaluated:</w:t>
      </w:r>
    </w:p>
    <w:p w:rsidR="00311CFB" w:rsidRPr="001C4B00" w:rsidRDefault="00F359AB" w:rsidP="00311CFB">
      <w:pPr>
        <w:rPr>
          <w:rFonts w:eastAsiaTheme="minorEastAsia"/>
        </w:rPr>
      </w:pPr>
      <m:oMathPara>
        <m:oMath>
          <m:r>
            <w:rPr>
              <w:rFonts w:ascii="Cambria Math" w:hAnsi="Cambria Math"/>
            </w:rPr>
            <m:t>TotalGai</m:t>
          </m:r>
          <m:sSub>
            <m:sSubPr>
              <m:ctrlPr>
                <w:rPr>
                  <w:rFonts w:ascii="Cambria Math" w:hAnsi="Cambria Math"/>
                  <w:i/>
                </w:rPr>
              </m:ctrlPr>
            </m:sSubPr>
            <m:e>
              <m:r>
                <w:rPr>
                  <w:rFonts w:ascii="Cambria Math" w:hAnsi="Cambria Math"/>
                </w:rPr>
                <m:t>n</m:t>
              </m:r>
            </m:e>
            <m:sub>
              <m:r>
                <w:rPr>
                  <w:rFonts w:ascii="Cambria Math" w:hAnsi="Cambria Math"/>
                </w:rPr>
                <m:t>OSU</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12</m:t>
                  </m:r>
                </m:sub>
                <m:sup>
                  <m:r>
                    <w:rPr>
                      <w:rFonts w:ascii="Cambria Math" w:hAnsi="Cambria Math"/>
                    </w:rPr>
                    <m:t>2</m:t>
                  </m:r>
                </m:sup>
              </m:sSubSup>
            </m:e>
          </m:d>
          <m:r>
            <w:rPr>
              <w:rFonts w:ascii="Cambria Math" w:hAnsi="Cambria Math"/>
            </w:rPr>
            <m:t>=1</m:t>
          </m:r>
        </m:oMath>
      </m:oMathPara>
    </w:p>
    <w:p w:rsidR="00FA5DCA" w:rsidRDefault="00FA5DCA" w:rsidP="001C4B00">
      <w:pPr>
        <w:rPr>
          <w:rFonts w:eastAsiaTheme="minorEastAsia"/>
        </w:rPr>
      </w:pPr>
      <w:r>
        <w:rPr>
          <w:rFonts w:eastAsiaTheme="minorEastAsia"/>
        </w:rPr>
        <w:t>The</w:t>
      </w:r>
      <w:r w:rsidR="00311CFB">
        <w:rPr>
          <w:rFonts w:eastAsiaTheme="minorEastAsia"/>
        </w:rPr>
        <w:t xml:space="preserve"> OSU Total Gain</w:t>
      </w:r>
      <w:r>
        <w:rPr>
          <w:rFonts w:eastAsiaTheme="minorEastAsia"/>
        </w:rPr>
        <w:t xml:space="preserve"> is set to be 1. This is why the best fitness score achievable is 1. Such a score corresponds to the entire volume of the gain pat</w:t>
      </w:r>
      <w:bookmarkStart w:id="0" w:name="_GoBack"/>
      <w:bookmarkEnd w:id="0"/>
      <w:r>
        <w:rPr>
          <w:rFonts w:eastAsiaTheme="minorEastAsia"/>
        </w:rPr>
        <w:t>tern fitting between the region of interest (e.g. between theta of 80 to 100 degrees)</w:t>
      </w:r>
      <w:r w:rsidR="008F1DCE">
        <w:rPr>
          <w:rFonts w:eastAsiaTheme="minorEastAsia"/>
        </w:rPr>
        <w:t xml:space="preserve">. </w:t>
      </w:r>
    </w:p>
    <w:p w:rsidR="0060533C" w:rsidRDefault="00FA5DCA" w:rsidP="001C4B00">
      <w:pPr>
        <w:rPr>
          <w:rFonts w:eastAsiaTheme="minorEastAsia"/>
        </w:rPr>
      </w:pPr>
      <w:r>
        <w:rPr>
          <w:rFonts w:eastAsiaTheme="minorEastAsia"/>
        </w:rPr>
        <w:t>The use of the square of the linear sum of spherical harmonics</w:t>
      </w:r>
      <w:r w:rsidR="0060533C">
        <w:rPr>
          <w:rFonts w:eastAsiaTheme="minorEastAsia"/>
        </w:rPr>
        <w:t xml:space="preserve"> makes normalizing the coefficients convenient</w:t>
      </w:r>
      <w:r w:rsidR="006F207C">
        <w:rPr>
          <w:rFonts w:eastAsiaTheme="minorEastAsia"/>
        </w:rPr>
        <w:t xml:space="preserve">. No integration necessary! </w:t>
      </w:r>
      <w:r w:rsidR="000760DD">
        <w:rPr>
          <w:rFonts w:eastAsiaTheme="minorEastAsia"/>
        </w:rPr>
        <w:t>W</w:t>
      </w:r>
      <w:r w:rsidR="0060533C">
        <w:rPr>
          <w:rFonts w:eastAsiaTheme="minorEastAsia"/>
        </w:rPr>
        <w:t xml:space="preserve">e can calculate the normalization factor </w:t>
      </w:r>
      <m:oMath>
        <m:r>
          <w:rPr>
            <w:rFonts w:ascii="Cambria Math" w:eastAsiaTheme="minorEastAsia" w:hAnsi="Cambria Math"/>
          </w:rPr>
          <m:t>n</m:t>
        </m:r>
      </m:oMath>
      <w:r w:rsidR="0060533C">
        <w:rPr>
          <w:rFonts w:eastAsiaTheme="minorEastAsia"/>
        </w:rPr>
        <w:t xml:space="preserve"> as follows:</w:t>
      </w:r>
    </w:p>
    <w:p w:rsidR="0060533C" w:rsidRPr="006F207C" w:rsidRDefault="008D7EEE" w:rsidP="001C4B00">
      <w:pPr>
        <w:rPr>
          <w:rFonts w:eastAsiaTheme="minorEastAsia"/>
        </w:rPr>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n</m:t>
                          </m:r>
                        </m:den>
                      </m:f>
                    </m:e>
                  </m:d>
                </m:e>
                <m:sup>
                  <m:r>
                    <w:rPr>
                      <w:rFonts w:ascii="Cambria Math" w:hAnsi="Cambria Math"/>
                    </w:rPr>
                    <m:t>2</m:t>
                  </m:r>
                </m:sup>
              </m:sSup>
            </m:e>
          </m:d>
          <m:r>
            <w:rPr>
              <w:rFonts w:ascii="Cambria Math" w:hAnsi="Cambria Math"/>
            </w:rPr>
            <m:t>=1</m:t>
          </m:r>
          <m:r>
            <w:rPr>
              <w:rFonts w:ascii="Cambria Math" w:eastAsiaTheme="minorEastAsia" w:hAnsi="Cambria Math"/>
            </w:rPr>
            <m:t xml:space="preserve">         n=</m:t>
          </m:r>
          <m:rad>
            <m:radPr>
              <m:degHide m:val="1"/>
              <m:ctrlPr>
                <w:rPr>
                  <w:rFonts w:ascii="Cambria Math" w:eastAsiaTheme="minorEastAsia" w:hAnsi="Cambria Math"/>
                  <w:i/>
                </w:rPr>
              </m:ctrlPr>
            </m:radPr>
            <m:deg/>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12</m:t>
                      </m:r>
                    </m:sub>
                    <m:sup>
                      <m:r>
                        <w:rPr>
                          <w:rFonts w:ascii="Cambria Math" w:hAnsi="Cambria Math"/>
                        </w:rPr>
                        <m:t>2</m:t>
                      </m:r>
                    </m:sup>
                  </m:sSubSup>
                </m:e>
              </m:d>
            </m:e>
          </m:rad>
        </m:oMath>
      </m:oMathPara>
    </w:p>
    <w:p w:rsidR="006F207C" w:rsidRDefault="006F207C" w:rsidP="001C4B00">
      <w:pPr>
        <w:rPr>
          <w:rFonts w:eastAsiaTheme="minorEastAsia"/>
        </w:rPr>
      </w:pPr>
      <w:r>
        <w:rPr>
          <w:rFonts w:eastAsiaTheme="minorEastAsia"/>
        </w:rPr>
        <w:t>So</w:t>
      </w:r>
      <w:r w:rsidR="000760DD">
        <w:rPr>
          <w:rFonts w:eastAsiaTheme="minorEastAsia"/>
        </w:rPr>
        <w:t>,</w:t>
      </w:r>
      <w:r>
        <w:rPr>
          <w:rFonts w:eastAsiaTheme="minorEastAsia"/>
        </w:rPr>
        <w:t xml:space="preserve"> for any arbitrary set of 13 coefficient numbers, we can calculate n and divide each coefficient by n to set the total gain to 1.</w:t>
      </w:r>
    </w:p>
    <w:p w:rsidR="006F207C" w:rsidRDefault="006735B9" w:rsidP="001C4B00">
      <w:pPr>
        <w:rPr>
          <w:rFonts w:eastAsiaTheme="minorEastAsia"/>
          <w:b/>
        </w:rPr>
      </w:pPr>
      <w:r>
        <w:rPr>
          <w:rFonts w:eastAsiaTheme="minorEastAsia"/>
          <w:b/>
        </w:rPr>
        <w:t>Code Integration</w:t>
      </w:r>
      <w:r w:rsidR="006F207C" w:rsidRPr="006F207C">
        <w:rPr>
          <w:rFonts w:eastAsiaTheme="minorEastAsia"/>
          <w:b/>
        </w:rPr>
        <w:t>:</w:t>
      </w:r>
    </w:p>
    <w:p w:rsidR="00FA5DCA" w:rsidRPr="00FA5DCA" w:rsidRDefault="00FA5DCA" w:rsidP="001C4B00">
      <w:pPr>
        <w:rPr>
          <w:rFonts w:eastAsiaTheme="minorEastAsia"/>
        </w:rPr>
      </w:pPr>
      <w:r>
        <w:rPr>
          <w:rFonts w:eastAsiaTheme="minorEastAsia"/>
        </w:rPr>
        <w:lastRenderedPageBreak/>
        <w:t xml:space="preserve">In the code, integration is slightly more complex. The code calculates the value of the integrand at </w:t>
      </w:r>
      <w:r w:rsidR="006735B9">
        <w:rPr>
          <w:rFonts w:eastAsiaTheme="minorEastAsia"/>
        </w:rPr>
        <w:t>1440</w:t>
      </w:r>
      <w:r>
        <w:rPr>
          <w:rFonts w:eastAsiaTheme="minorEastAsia"/>
        </w:rPr>
        <w:t xml:space="preserve"> </w:t>
      </w:r>
      <w:r w:rsidR="001B5183">
        <w:rPr>
          <w:rFonts w:eastAsiaTheme="minorEastAsia"/>
        </w:rPr>
        <w:t xml:space="preserve">different </w:t>
      </w:r>
      <w:r>
        <w:rPr>
          <w:rFonts w:eastAsiaTheme="minorEastAsia"/>
        </w:rPr>
        <w:t>theta</w:t>
      </w:r>
      <w:r w:rsidR="001B5183">
        <w:rPr>
          <w:rFonts w:eastAsiaTheme="minorEastAsia"/>
        </w:rPr>
        <w:t xml:space="preserve"> values</w:t>
      </w:r>
      <w:r>
        <w:rPr>
          <w:rFonts w:eastAsiaTheme="minorEastAsia"/>
        </w:rPr>
        <w:t>, from 0 to 180 degrees</w:t>
      </w:r>
      <w:r w:rsidR="006735B9">
        <w:rPr>
          <w:rFonts w:eastAsiaTheme="minorEastAsia"/>
        </w:rPr>
        <w:t xml:space="preserve"> in steps of 0.125 degrees (e.g. at theta = 0.125, 0.25, 0.375</w:t>
      </w:r>
      <w:r w:rsidR="001B5183">
        <w:rPr>
          <w:rFonts w:eastAsiaTheme="minorEastAsia"/>
        </w:rPr>
        <w:t>, … 179.</w:t>
      </w:r>
      <w:r w:rsidR="006735B9">
        <w:rPr>
          <w:rFonts w:eastAsiaTheme="minorEastAsia"/>
        </w:rPr>
        <w:t>875</w:t>
      </w:r>
      <w:r w:rsidR="001B5183">
        <w:rPr>
          <w:rFonts w:eastAsiaTheme="minorEastAsia"/>
        </w:rPr>
        <w:t>, 180)</w:t>
      </w:r>
      <w:r>
        <w:rPr>
          <w:rFonts w:eastAsiaTheme="minorEastAsia"/>
        </w:rPr>
        <w:t>. It sums these values and outputs the sum.</w:t>
      </w:r>
      <w:r w:rsidRPr="00FA5DCA">
        <w:rPr>
          <w:rFonts w:eastAsiaTheme="minorEastAsia"/>
        </w:rPr>
        <w:t xml:space="preserve"> </w:t>
      </w:r>
      <w:r>
        <w:rPr>
          <w:rFonts w:eastAsiaTheme="minorEastAsia"/>
        </w:rPr>
        <w:t>One might already see a problem with this definition: integration with half the stepsize would output twice the integral’s value</w:t>
      </w:r>
      <w:r w:rsidR="001B5183">
        <w:rPr>
          <w:rFonts w:eastAsiaTheme="minorEastAsia"/>
        </w:rPr>
        <w:t xml:space="preserve"> because it sums the same region twice as many times</w:t>
      </w:r>
      <w:r>
        <w:rPr>
          <w:rFonts w:eastAsiaTheme="minorEastAsia"/>
        </w:rPr>
        <w:t>.</w:t>
      </w:r>
      <w:r w:rsidR="001B5183">
        <w:rPr>
          <w:rFonts w:eastAsiaTheme="minorEastAsia"/>
        </w:rPr>
        <w:t xml:space="preserve"> Therefore, the integral for the gain needs to be redefined as:</w:t>
      </w:r>
    </w:p>
    <w:p w:rsidR="0060533C" w:rsidRPr="007E5054" w:rsidRDefault="0060533C" w:rsidP="0060533C">
      <w:pPr>
        <w:rPr>
          <w:rFonts w:eastAsiaTheme="minorEastAsia"/>
          <w:sz w:val="20"/>
        </w:rPr>
      </w:pPr>
      <m:oMathPara>
        <m:oMath>
          <m:r>
            <w:rPr>
              <w:rFonts w:ascii="Cambria Math" w:hAnsi="Cambria Math"/>
              <w:sz w:val="20"/>
            </w:rPr>
            <m:t>TotalGai</m:t>
          </m:r>
          <m:sSub>
            <m:sSubPr>
              <m:ctrlPr>
                <w:rPr>
                  <w:rFonts w:ascii="Cambria Math" w:hAnsi="Cambria Math"/>
                  <w:i/>
                  <w:sz w:val="20"/>
                </w:rPr>
              </m:ctrlPr>
            </m:sSubPr>
            <m:e>
              <m:r>
                <w:rPr>
                  <w:rFonts w:ascii="Cambria Math" w:hAnsi="Cambria Math"/>
                  <w:sz w:val="20"/>
                </w:rPr>
                <m:t>n</m:t>
              </m:r>
            </m:e>
            <m:sub>
              <m:r>
                <w:rPr>
                  <w:rFonts w:ascii="Cambria Math" w:hAnsi="Cambria Math"/>
                  <w:sz w:val="20"/>
                </w:rPr>
                <m:t>OSU</m:t>
              </m:r>
            </m:sub>
          </m:sSub>
          <m:r>
            <w:rPr>
              <w:rFonts w:ascii="Cambria Math" w:hAnsi="Cambria Math"/>
              <w:sz w:val="20"/>
            </w:rPr>
            <m:t>=</m:t>
          </m:r>
          <m:r>
            <w:rPr>
              <w:rFonts w:ascii="Cambria Math" w:hAnsi="Cambria Math"/>
              <w:sz w:val="20"/>
            </w:rPr>
            <m:t xml:space="preserve">2π </m:t>
          </m:r>
          <m:sSub>
            <m:sSubPr>
              <m:ctrlPr>
                <w:rPr>
                  <w:rFonts w:ascii="Cambria Math" w:hAnsi="Cambria Math"/>
                  <w:i/>
                  <w:sz w:val="20"/>
                </w:rPr>
              </m:ctrlPr>
            </m:sSubPr>
            <m:e>
              <m:r>
                <w:rPr>
                  <w:rFonts w:ascii="Cambria Math" w:hAnsi="Cambria Math"/>
                  <w:sz w:val="20"/>
                </w:rPr>
                <m:t>N</m:t>
              </m:r>
            </m:e>
            <m:sub>
              <m:r>
                <w:rPr>
                  <w:rFonts w:ascii="Cambria Math" w:hAnsi="Cambria Math"/>
                  <w:sz w:val="20"/>
                </w:rPr>
                <m:t>θ</m:t>
              </m:r>
            </m:sub>
          </m:sSub>
          <m:r>
            <w:rPr>
              <w:rFonts w:ascii="Cambria Math" w:eastAsiaTheme="minorEastAsia" w:hAnsi="Cambria Math"/>
              <w:sz w:val="20"/>
            </w:rPr>
            <m:t>*</m:t>
          </m:r>
          <m:r>
            <w:rPr>
              <w:rFonts w:ascii="Cambria Math" w:eastAsiaTheme="minorEastAsia" w:hAnsi="Cambria Math"/>
              <w:sz w:val="20"/>
            </w:rPr>
            <m:t>IntegrateCode</m:t>
          </m:r>
          <m:d>
            <m:dPr>
              <m:begChr m:val="{"/>
              <m:endChr m:val="}"/>
              <m:ctrlPr>
                <w:rPr>
                  <w:rFonts w:ascii="Cambria Math" w:eastAsiaTheme="minorEastAsia" w:hAnsi="Cambria Math"/>
                  <w:i/>
                  <w:sz w:val="20"/>
                </w:rPr>
              </m:ctrlPr>
            </m:dPr>
            <m:e>
              <m:r>
                <w:rPr>
                  <w:rFonts w:ascii="Cambria Math" w:eastAsiaTheme="minorEastAsia" w:hAnsi="Cambria Math"/>
                  <w:sz w:val="20"/>
                </w:rPr>
                <m:t>[</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a</m:t>
                      </m:r>
                    </m:e>
                    <m:sub>
                      <m:r>
                        <w:rPr>
                          <w:rFonts w:ascii="Cambria Math" w:hAnsi="Cambria Math"/>
                          <w:sz w:val="20"/>
                        </w:rPr>
                        <m:t>0</m:t>
                      </m:r>
                    </m:sub>
                  </m:sSub>
                  <m:sSubSup>
                    <m:sSubSupPr>
                      <m:ctrlPr>
                        <w:rPr>
                          <w:rFonts w:ascii="Cambria Math" w:hAnsi="Cambria Math"/>
                          <w:i/>
                          <w:sz w:val="20"/>
                        </w:rPr>
                      </m:ctrlPr>
                    </m:sSubSupPr>
                    <m:e>
                      <m:r>
                        <w:rPr>
                          <w:rFonts w:ascii="Cambria Math" w:hAnsi="Cambria Math"/>
                          <w:sz w:val="20"/>
                        </w:rPr>
                        <m:t>Y</m:t>
                      </m:r>
                    </m:e>
                    <m:sub>
                      <m:r>
                        <w:rPr>
                          <w:rFonts w:ascii="Cambria Math" w:hAnsi="Cambria Math"/>
                          <w:sz w:val="20"/>
                        </w:rPr>
                        <m:t>0</m:t>
                      </m:r>
                    </m:sub>
                    <m:sup>
                      <m:r>
                        <w:rPr>
                          <w:rFonts w:ascii="Cambria Math" w:hAnsi="Cambria Math"/>
                          <w:sz w:val="20"/>
                        </w:rPr>
                        <m:t>0</m:t>
                      </m:r>
                    </m:sup>
                  </m:sSubSup>
                  <m:d>
                    <m:dPr>
                      <m:ctrlPr>
                        <w:rPr>
                          <w:rFonts w:ascii="Cambria Math" w:hAnsi="Cambria Math"/>
                          <w:i/>
                          <w:sz w:val="20"/>
                        </w:rPr>
                      </m:ctrlPr>
                    </m:dPr>
                    <m:e>
                      <m:r>
                        <w:rPr>
                          <w:rFonts w:ascii="Cambria Math" w:hAnsi="Cambria Math"/>
                          <w:sz w:val="20"/>
                        </w:rPr>
                        <m:t>θ, ϕ</m:t>
                      </m:r>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sSubSup>
                    <m:sSubSupPr>
                      <m:ctrlPr>
                        <w:rPr>
                          <w:rFonts w:ascii="Cambria Math" w:hAnsi="Cambria Math"/>
                          <w:i/>
                          <w:sz w:val="20"/>
                        </w:rPr>
                      </m:ctrlPr>
                    </m:sSubSupPr>
                    <m:e>
                      <m:r>
                        <w:rPr>
                          <w:rFonts w:ascii="Cambria Math" w:hAnsi="Cambria Math"/>
                          <w:sz w:val="20"/>
                        </w:rPr>
                        <m:t>Y</m:t>
                      </m:r>
                    </m:e>
                    <m:sub>
                      <m:r>
                        <w:rPr>
                          <w:rFonts w:ascii="Cambria Math" w:hAnsi="Cambria Math"/>
                          <w:sz w:val="20"/>
                        </w:rPr>
                        <m:t>1</m:t>
                      </m:r>
                    </m:sub>
                    <m:sup>
                      <m:r>
                        <w:rPr>
                          <w:rFonts w:ascii="Cambria Math" w:hAnsi="Cambria Math"/>
                          <w:sz w:val="20"/>
                        </w:rPr>
                        <m:t>0</m:t>
                      </m:r>
                    </m:sup>
                  </m:sSubSup>
                  <m:d>
                    <m:dPr>
                      <m:ctrlPr>
                        <w:rPr>
                          <w:rFonts w:ascii="Cambria Math" w:hAnsi="Cambria Math"/>
                          <w:i/>
                          <w:sz w:val="20"/>
                        </w:rPr>
                      </m:ctrlPr>
                    </m:dPr>
                    <m:e>
                      <m:r>
                        <w:rPr>
                          <w:rFonts w:ascii="Cambria Math" w:hAnsi="Cambria Math"/>
                          <w:sz w:val="20"/>
                        </w:rPr>
                        <m:t>θ, ϕ</m:t>
                      </m:r>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12</m:t>
                      </m:r>
                    </m:sub>
                  </m:sSub>
                  <m:sSubSup>
                    <m:sSubSupPr>
                      <m:ctrlPr>
                        <w:rPr>
                          <w:rFonts w:ascii="Cambria Math" w:hAnsi="Cambria Math"/>
                          <w:i/>
                          <w:sz w:val="20"/>
                        </w:rPr>
                      </m:ctrlPr>
                    </m:sSubSupPr>
                    <m:e>
                      <m:r>
                        <w:rPr>
                          <w:rFonts w:ascii="Cambria Math" w:hAnsi="Cambria Math"/>
                          <w:sz w:val="20"/>
                        </w:rPr>
                        <m:t>Y</m:t>
                      </m:r>
                    </m:e>
                    <m:sub>
                      <m:r>
                        <w:rPr>
                          <w:rFonts w:ascii="Cambria Math" w:hAnsi="Cambria Math"/>
                          <w:sz w:val="20"/>
                        </w:rPr>
                        <m:t>12</m:t>
                      </m:r>
                    </m:sub>
                    <m:sup>
                      <m:r>
                        <w:rPr>
                          <w:rFonts w:ascii="Cambria Math" w:hAnsi="Cambria Math"/>
                          <w:sz w:val="20"/>
                        </w:rPr>
                        <m:t>0</m:t>
                      </m:r>
                    </m:sup>
                  </m:sSubSup>
                  <m:d>
                    <m:dPr>
                      <m:ctrlPr>
                        <w:rPr>
                          <w:rFonts w:ascii="Cambria Math" w:hAnsi="Cambria Math"/>
                          <w:i/>
                          <w:sz w:val="20"/>
                        </w:rPr>
                      </m:ctrlPr>
                    </m:dPr>
                    <m:e>
                      <m:r>
                        <w:rPr>
                          <w:rFonts w:ascii="Cambria Math" w:hAnsi="Cambria Math"/>
                          <w:sz w:val="20"/>
                        </w:rPr>
                        <m:t>θ, ϕ</m:t>
                      </m:r>
                    </m:e>
                  </m:d>
                  <m:r>
                    <w:rPr>
                      <w:rFonts w:ascii="Cambria Math" w:hAnsi="Cambria Math"/>
                      <w:sz w:val="20"/>
                    </w:rPr>
                    <m:t>]</m:t>
                  </m:r>
                </m:e>
                <m:sup>
                  <m:r>
                    <w:rPr>
                      <w:rFonts w:ascii="Cambria Math" w:hAnsi="Cambria Math"/>
                      <w:sz w:val="20"/>
                    </w:rPr>
                    <m:t>2</m:t>
                  </m:r>
                </m:sup>
              </m:sSup>
              <m:func>
                <m:funcPr>
                  <m:ctrlPr>
                    <w:rPr>
                      <w:rFonts w:ascii="Cambria Math" w:hAnsi="Cambria Math"/>
                      <w:sz w:val="20"/>
                    </w:rPr>
                  </m:ctrlPr>
                </m:funcPr>
                <m:fName>
                  <m:r>
                    <m:rPr>
                      <m:sty m:val="p"/>
                    </m:rPr>
                    <w:rPr>
                      <w:rFonts w:ascii="Cambria Math" w:hAnsi="Cambria Math"/>
                      <w:sz w:val="20"/>
                    </w:rPr>
                    <m:t>sin</m:t>
                  </m:r>
                </m:fName>
                <m:e>
                  <m:d>
                    <m:dPr>
                      <m:ctrlPr>
                        <w:rPr>
                          <w:rFonts w:ascii="Cambria Math" w:hAnsi="Cambria Math"/>
                          <w:i/>
                          <w:sz w:val="20"/>
                        </w:rPr>
                      </m:ctrlPr>
                    </m:dPr>
                    <m:e>
                      <m:r>
                        <w:rPr>
                          <w:rFonts w:ascii="Cambria Math" w:hAnsi="Cambria Math"/>
                          <w:sz w:val="20"/>
                        </w:rPr>
                        <m:t>θ</m:t>
                      </m:r>
                    </m:e>
                  </m:d>
                </m:e>
              </m:func>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N</m:t>
                  </m:r>
                </m:e>
                <m:sub>
                  <m:r>
                    <w:rPr>
                      <w:rFonts w:ascii="Cambria Math" w:hAnsi="Cambria Math"/>
                      <w:sz w:val="20"/>
                    </w:rPr>
                    <m:t>θ</m:t>
                  </m:r>
                </m:sub>
              </m:sSub>
            </m:e>
          </m:d>
        </m:oMath>
      </m:oMathPara>
    </w:p>
    <w:p w:rsidR="006479FE" w:rsidRDefault="001B5183" w:rsidP="001C4B00">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θ</m:t>
            </m:r>
          </m:sub>
        </m:sSub>
      </m:oMath>
      <w:r>
        <w:rPr>
          <w:rFonts w:eastAsiaTheme="minorEastAsia"/>
        </w:rPr>
        <w:t xml:space="preserve"> is the </w:t>
      </w:r>
      <w:r w:rsidR="007E5054">
        <w:rPr>
          <w:rFonts w:eastAsiaTheme="minorEastAsia"/>
        </w:rPr>
        <w:t xml:space="preserve">stepsize </w:t>
      </w:r>
      <w:r>
        <w:rPr>
          <w:rFonts w:eastAsiaTheme="minorEastAsia"/>
        </w:rPr>
        <w:t>in theta</w:t>
      </w:r>
      <w:r w:rsidR="007E5054">
        <w:rPr>
          <w:rFonts w:eastAsiaTheme="minorEastAsia"/>
        </w:rPr>
        <w:t xml:space="preserve"> (in radians)</w:t>
      </w:r>
      <w:r>
        <w:rPr>
          <w:rFonts w:eastAsiaTheme="minorEastAsia"/>
        </w:rPr>
        <w:t xml:space="preserve"> the integrating code takes. </w:t>
      </w:r>
      <w:r w:rsidR="007E5054">
        <w:rPr>
          <w:rFonts w:eastAsiaTheme="minorEastAsia"/>
        </w:rPr>
        <w:t>In our code,</w:t>
      </w:r>
      <w:r w:rsidR="004A0F61">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θ</m:t>
            </m:r>
          </m:sub>
        </m:sSub>
      </m:oMath>
      <w:r w:rsidR="004A0F61">
        <w:rPr>
          <w:rFonts w:eastAsiaTheme="minorEastAsia"/>
        </w:rPr>
        <w:t xml:space="preserve"> is </w:t>
      </w:r>
      <w:r w:rsidR="007E5054">
        <w:rPr>
          <w:rFonts w:eastAsiaTheme="minorEastAsia"/>
        </w:rPr>
        <w:t>1/8 of a degree (0.002182 radians) and so the integral samples the function 1440 times from 0 to pi</w:t>
      </w:r>
      <w:r w:rsidR="00BE4F1C">
        <w:rPr>
          <w:rFonts w:eastAsiaTheme="minorEastAsia"/>
        </w:rPr>
        <w:t xml:space="preserve">. </w:t>
      </w:r>
    </w:p>
    <w:p w:rsidR="006479FE" w:rsidRDefault="006479FE" w:rsidP="001C4B00">
      <w:pPr>
        <w:rPr>
          <w:rFonts w:eastAsiaTheme="minorEastAsia"/>
        </w:rPr>
      </w:pPr>
      <w:r>
        <w:rPr>
          <w:rFonts w:eastAsiaTheme="minorEastAsia"/>
          <w:b/>
        </w:rPr>
        <w:t>Benefits of OSU’s Gain Definition:</w:t>
      </w:r>
    </w:p>
    <w:p w:rsidR="00311CFB" w:rsidRDefault="00311CFB" w:rsidP="001C4B00">
      <w:pPr>
        <w:rPr>
          <w:rFonts w:eastAsiaTheme="minorEastAsia"/>
        </w:rPr>
      </w:pPr>
      <w:r>
        <w:rPr>
          <w:rFonts w:eastAsiaTheme="minorEastAsia"/>
        </w:rPr>
        <w:t>The benefit of OSU’s definition of Gain is that</w:t>
      </w:r>
      <w:r w:rsidR="00C0697A">
        <w:rPr>
          <w:rFonts w:eastAsiaTheme="minorEastAsia"/>
        </w:rPr>
        <w:t xml:space="preserve"> there are </w:t>
      </w:r>
      <w:r w:rsidR="00C0697A">
        <w:rPr>
          <w:rFonts w:eastAsiaTheme="minorEastAsia"/>
          <w:i/>
        </w:rPr>
        <w:t>no</w:t>
      </w:r>
      <w:r w:rsidR="00C0697A">
        <w:rPr>
          <w:rFonts w:eastAsiaTheme="minorEastAsia"/>
        </w:rPr>
        <w:t xml:space="preserve"> stray constants. The only nonintuitive thing is the multiplication by the integration stepsize</w:t>
      </w:r>
      <w:r w:rsidR="006479FE">
        <w:rPr>
          <w:rFonts w:eastAsiaTheme="minorEastAsia"/>
        </w:rPr>
        <w:t>. Therefore, all fitness scores are calculated as:</w:t>
      </w:r>
    </w:p>
    <w:p w:rsidR="006479FE" w:rsidRPr="00C0697A" w:rsidRDefault="006479FE" w:rsidP="006479FE">
      <w:pPr>
        <w:rPr>
          <w:rFonts w:eastAsiaTheme="minorEastAsia"/>
          <w:sz w:val="18"/>
        </w:rPr>
      </w:pPr>
      <m:oMathPara>
        <m:oMathParaPr>
          <m:jc m:val="left"/>
        </m:oMathParaPr>
        <m:oMath>
          <m:r>
            <w:rPr>
              <w:rFonts w:ascii="Cambria Math" w:hAnsi="Cambria Math"/>
              <w:sz w:val="18"/>
            </w:rPr>
            <m:t>FScor</m:t>
          </m:r>
          <m:sSub>
            <m:sSubPr>
              <m:ctrlPr>
                <w:rPr>
                  <w:rFonts w:ascii="Cambria Math" w:hAnsi="Cambria Math"/>
                  <w:i/>
                  <w:sz w:val="18"/>
                </w:rPr>
              </m:ctrlPr>
            </m:sSubPr>
            <m:e>
              <m:r>
                <w:rPr>
                  <w:rFonts w:ascii="Cambria Math" w:hAnsi="Cambria Math"/>
                  <w:sz w:val="18"/>
                </w:rPr>
                <m:t>e</m:t>
              </m:r>
            </m:e>
            <m:sub>
              <m:r>
                <w:rPr>
                  <w:rFonts w:ascii="Cambria Math" w:hAnsi="Cambria Math"/>
                  <w:sz w:val="18"/>
                </w:rPr>
                <m:t>OSU</m:t>
              </m:r>
            </m:sub>
          </m:sSub>
          <m:r>
            <w:rPr>
              <w:rFonts w:ascii="Cambria Math" w:hAnsi="Cambria Math"/>
              <w:sz w:val="18"/>
            </w:rPr>
            <m:t>=</m:t>
          </m:r>
          <m:r>
            <w:rPr>
              <w:rFonts w:ascii="Cambria Math" w:hAnsi="Cambria Math"/>
              <w:sz w:val="16"/>
            </w:rPr>
            <m:t xml:space="preserve">2π </m:t>
          </m:r>
          <m:sSub>
            <m:sSubPr>
              <m:ctrlPr>
                <w:rPr>
                  <w:rFonts w:ascii="Cambria Math" w:hAnsi="Cambria Math"/>
                  <w:i/>
                  <w:sz w:val="16"/>
                </w:rPr>
              </m:ctrlPr>
            </m:sSubPr>
            <m:e>
              <m:r>
                <w:rPr>
                  <w:rFonts w:ascii="Cambria Math" w:hAnsi="Cambria Math"/>
                  <w:sz w:val="16"/>
                </w:rPr>
                <m:t>N</m:t>
              </m:r>
            </m:e>
            <m:sub>
              <m:r>
                <w:rPr>
                  <w:rFonts w:ascii="Cambria Math" w:hAnsi="Cambria Math"/>
                  <w:sz w:val="16"/>
                </w:rPr>
                <m:t>θ</m:t>
              </m:r>
            </m:sub>
          </m:sSub>
          <m:r>
            <w:rPr>
              <w:rFonts w:ascii="Cambria Math" w:eastAsiaTheme="minorEastAsia" w:hAnsi="Cambria Math"/>
              <w:sz w:val="18"/>
            </w:rPr>
            <m:t>*</m:t>
          </m:r>
          <m:r>
            <w:rPr>
              <w:rFonts w:ascii="Cambria Math" w:eastAsiaTheme="minorEastAsia" w:hAnsi="Cambria Math"/>
              <w:sz w:val="18"/>
            </w:rPr>
            <m:t>IntegrateCode</m:t>
          </m:r>
          <m:d>
            <m:dPr>
              <m:begChr m:val="{"/>
              <m:endChr m:val="}"/>
              <m:ctrlPr>
                <w:rPr>
                  <w:rFonts w:ascii="Cambria Math" w:eastAsiaTheme="minorEastAsia" w:hAnsi="Cambria Math"/>
                  <w:i/>
                  <w:sz w:val="18"/>
                </w:rPr>
              </m:ctrlPr>
            </m:dPr>
            <m:e>
              <m:r>
                <w:rPr>
                  <w:rFonts w:ascii="Cambria Math" w:eastAsiaTheme="minorEastAsia" w:hAnsi="Cambria Math"/>
                  <w:sz w:val="18"/>
                </w:rPr>
                <m:t xml:space="preserve"> </m:t>
              </m:r>
              <m:r>
                <w:rPr>
                  <w:rFonts w:ascii="Cambria Math" w:eastAsiaTheme="minorEastAsia" w:hAnsi="Cambria Math"/>
                  <w:sz w:val="18"/>
                </w:rPr>
                <m:t>[</m:t>
              </m:r>
              <m:sSup>
                <m:sSupPr>
                  <m:ctrlPr>
                    <w:rPr>
                      <w:rFonts w:ascii="Cambria Math" w:hAnsi="Cambria Math"/>
                      <w:i/>
                      <w:sz w:val="18"/>
                    </w:rPr>
                  </m:ctrlPr>
                </m:sSupPr>
                <m:e>
                  <m:sSub>
                    <m:sSubPr>
                      <m:ctrlPr>
                        <w:rPr>
                          <w:rFonts w:ascii="Cambria Math" w:hAnsi="Cambria Math"/>
                          <w:i/>
                          <w:sz w:val="18"/>
                        </w:rPr>
                      </m:ctrlPr>
                    </m:sSubPr>
                    <m:e>
                      <m:r>
                        <w:rPr>
                          <w:rFonts w:ascii="Cambria Math" w:hAnsi="Cambria Math"/>
                          <w:sz w:val="18"/>
                        </w:rPr>
                        <m:t>a</m:t>
                      </m:r>
                    </m:e>
                    <m:sub>
                      <m:r>
                        <w:rPr>
                          <w:rFonts w:ascii="Cambria Math" w:hAnsi="Cambria Math"/>
                          <w:sz w:val="18"/>
                        </w:rPr>
                        <m:t>0</m:t>
                      </m:r>
                    </m:sub>
                  </m:sSub>
                  <m:sSubSup>
                    <m:sSubSupPr>
                      <m:ctrlPr>
                        <w:rPr>
                          <w:rFonts w:ascii="Cambria Math" w:hAnsi="Cambria Math"/>
                          <w:i/>
                          <w:sz w:val="18"/>
                        </w:rPr>
                      </m:ctrlPr>
                    </m:sSubSupPr>
                    <m:e>
                      <m:r>
                        <w:rPr>
                          <w:rFonts w:ascii="Cambria Math" w:hAnsi="Cambria Math"/>
                          <w:sz w:val="18"/>
                        </w:rPr>
                        <m:t>Y</m:t>
                      </m:r>
                    </m:e>
                    <m:sub>
                      <m:r>
                        <w:rPr>
                          <w:rFonts w:ascii="Cambria Math" w:hAnsi="Cambria Math"/>
                          <w:sz w:val="18"/>
                        </w:rPr>
                        <m:t>0</m:t>
                      </m:r>
                    </m:sub>
                    <m:sup>
                      <m:r>
                        <w:rPr>
                          <w:rFonts w:ascii="Cambria Math" w:hAnsi="Cambria Math"/>
                          <w:sz w:val="18"/>
                        </w:rPr>
                        <m:t>0</m:t>
                      </m:r>
                    </m:sup>
                  </m:sSubSup>
                  <m:d>
                    <m:dPr>
                      <m:ctrlPr>
                        <w:rPr>
                          <w:rFonts w:ascii="Cambria Math" w:hAnsi="Cambria Math"/>
                          <w:i/>
                          <w:sz w:val="18"/>
                        </w:rPr>
                      </m:ctrlPr>
                    </m:dPr>
                    <m:e>
                      <m:r>
                        <w:rPr>
                          <w:rFonts w:ascii="Cambria Math" w:hAnsi="Cambria Math"/>
                          <w:sz w:val="18"/>
                        </w:rPr>
                        <m:t>θ, ϕ</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1</m:t>
                      </m:r>
                    </m:sub>
                  </m:sSub>
                  <m:sSubSup>
                    <m:sSubSupPr>
                      <m:ctrlPr>
                        <w:rPr>
                          <w:rFonts w:ascii="Cambria Math" w:hAnsi="Cambria Math"/>
                          <w:i/>
                          <w:sz w:val="18"/>
                        </w:rPr>
                      </m:ctrlPr>
                    </m:sSubSupPr>
                    <m:e>
                      <m:r>
                        <w:rPr>
                          <w:rFonts w:ascii="Cambria Math" w:hAnsi="Cambria Math"/>
                          <w:sz w:val="18"/>
                        </w:rPr>
                        <m:t>Y</m:t>
                      </m:r>
                    </m:e>
                    <m:sub>
                      <m:r>
                        <w:rPr>
                          <w:rFonts w:ascii="Cambria Math" w:hAnsi="Cambria Math"/>
                          <w:sz w:val="18"/>
                        </w:rPr>
                        <m:t>1</m:t>
                      </m:r>
                    </m:sub>
                    <m:sup>
                      <m:r>
                        <w:rPr>
                          <w:rFonts w:ascii="Cambria Math" w:hAnsi="Cambria Math"/>
                          <w:sz w:val="18"/>
                        </w:rPr>
                        <m:t>0</m:t>
                      </m:r>
                    </m:sup>
                  </m:sSubSup>
                  <m:d>
                    <m:dPr>
                      <m:ctrlPr>
                        <w:rPr>
                          <w:rFonts w:ascii="Cambria Math" w:hAnsi="Cambria Math"/>
                          <w:i/>
                          <w:sz w:val="18"/>
                        </w:rPr>
                      </m:ctrlPr>
                    </m:dPr>
                    <m:e>
                      <m:r>
                        <w:rPr>
                          <w:rFonts w:ascii="Cambria Math" w:hAnsi="Cambria Math"/>
                          <w:sz w:val="18"/>
                        </w:rPr>
                        <m:t>θ, ϕ</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12</m:t>
                      </m:r>
                    </m:sub>
                  </m:sSub>
                  <m:sSubSup>
                    <m:sSubSupPr>
                      <m:ctrlPr>
                        <w:rPr>
                          <w:rFonts w:ascii="Cambria Math" w:hAnsi="Cambria Math"/>
                          <w:i/>
                          <w:sz w:val="18"/>
                        </w:rPr>
                      </m:ctrlPr>
                    </m:sSubSupPr>
                    <m:e>
                      <m:r>
                        <w:rPr>
                          <w:rFonts w:ascii="Cambria Math" w:hAnsi="Cambria Math"/>
                          <w:sz w:val="18"/>
                        </w:rPr>
                        <m:t>Y</m:t>
                      </m:r>
                    </m:e>
                    <m:sub>
                      <m:r>
                        <w:rPr>
                          <w:rFonts w:ascii="Cambria Math" w:hAnsi="Cambria Math"/>
                          <w:sz w:val="18"/>
                        </w:rPr>
                        <m:t>12</m:t>
                      </m:r>
                    </m:sub>
                    <m:sup>
                      <m:r>
                        <w:rPr>
                          <w:rFonts w:ascii="Cambria Math" w:hAnsi="Cambria Math"/>
                          <w:sz w:val="18"/>
                        </w:rPr>
                        <m:t>0</m:t>
                      </m:r>
                    </m:sup>
                  </m:sSubSup>
                  <m:d>
                    <m:dPr>
                      <m:ctrlPr>
                        <w:rPr>
                          <w:rFonts w:ascii="Cambria Math" w:hAnsi="Cambria Math"/>
                          <w:i/>
                          <w:sz w:val="18"/>
                        </w:rPr>
                      </m:ctrlPr>
                    </m:dPr>
                    <m:e>
                      <m:r>
                        <w:rPr>
                          <w:rFonts w:ascii="Cambria Math" w:hAnsi="Cambria Math"/>
                          <w:sz w:val="18"/>
                        </w:rPr>
                        <m:t>θ, ϕ</m:t>
                      </m:r>
                    </m:e>
                  </m:d>
                  <m:r>
                    <w:rPr>
                      <w:rFonts w:ascii="Cambria Math" w:hAnsi="Cambria Math"/>
                      <w:sz w:val="18"/>
                    </w:rPr>
                    <m:t>]</m:t>
                  </m:r>
                </m:e>
                <m:sup>
                  <m:r>
                    <w:rPr>
                      <w:rFonts w:ascii="Cambria Math" w:hAnsi="Cambria Math"/>
                      <w:sz w:val="18"/>
                    </w:rPr>
                    <m:t>2</m:t>
                  </m:r>
                </m:sup>
              </m:sSup>
              <m:func>
                <m:funcPr>
                  <m:ctrlPr>
                    <w:rPr>
                      <w:rFonts w:ascii="Cambria Math" w:hAnsi="Cambria Math"/>
                      <w:sz w:val="18"/>
                    </w:rPr>
                  </m:ctrlPr>
                </m:funcPr>
                <m:fName>
                  <m:r>
                    <m:rPr>
                      <m:sty m:val="p"/>
                    </m:rPr>
                    <w:rPr>
                      <w:rFonts w:ascii="Cambria Math" w:hAnsi="Cambria Math"/>
                      <w:sz w:val="18"/>
                    </w:rPr>
                    <m:t>sin</m:t>
                  </m:r>
                </m:fName>
                <m:e>
                  <m:d>
                    <m:dPr>
                      <m:ctrlPr>
                        <w:rPr>
                          <w:rFonts w:ascii="Cambria Math" w:hAnsi="Cambria Math"/>
                          <w:i/>
                          <w:sz w:val="18"/>
                        </w:rPr>
                      </m:ctrlPr>
                    </m:dPr>
                    <m:e>
                      <m:r>
                        <w:rPr>
                          <w:rFonts w:ascii="Cambria Math" w:hAnsi="Cambria Math"/>
                          <w:sz w:val="18"/>
                        </w:rPr>
                        <m:t>θ</m:t>
                      </m:r>
                    </m:e>
                  </m:d>
                </m:e>
              </m:func>
              <m:r>
                <w:rPr>
                  <w:rFonts w:ascii="Cambria Math" w:hAnsi="Cambria Math"/>
                  <w:sz w:val="18"/>
                </w:rPr>
                <m:t>, ThetaMIN, ThetaMAX</m:t>
              </m:r>
            </m:e>
          </m:d>
        </m:oMath>
      </m:oMathPara>
    </w:p>
    <w:p w:rsidR="00C0697A" w:rsidRPr="00C0697A" w:rsidRDefault="00C0697A" w:rsidP="006479FE">
      <w:pPr>
        <w:rPr>
          <w:rFonts w:eastAsiaTheme="minorEastAsia" w:cs="Arial"/>
        </w:rPr>
      </w:pPr>
      <w:r w:rsidRPr="00C0697A">
        <w:rPr>
          <w:rFonts w:eastAsiaTheme="minorEastAsia" w:cs="Arial"/>
        </w:rPr>
        <w:t xml:space="preserve">Where: </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N</m:t>
            </m:r>
          </m:e>
          <m:sub>
            <m:r>
              <w:rPr>
                <w:rFonts w:ascii="Cambria Math" w:hAnsi="Cambria Math" w:cs="Arial"/>
              </w:rPr>
              <m:t>θ</m:t>
            </m:r>
          </m:sub>
        </m:sSub>
        <m:r>
          <w:rPr>
            <w:rFonts w:ascii="Cambria Math" w:eastAsiaTheme="minorEastAsia" w:hAnsi="Cambria Math" w:cs="Arial"/>
          </w:rPr>
          <m:t>=</m:t>
        </m:r>
        <m:r>
          <w:rPr>
            <w:rFonts w:ascii="Cambria Math" w:eastAsiaTheme="minorEastAsia" w:hAnsi="Cambria Math" w:cs="Arial"/>
          </w:rPr>
          <m:t>0.125*</m:t>
        </m:r>
        <m:f>
          <m:fPr>
            <m:ctrlPr>
              <w:rPr>
                <w:rFonts w:ascii="Cambria Math" w:eastAsiaTheme="minorEastAsia" w:hAnsi="Cambria Math" w:cs="Arial"/>
                <w:i/>
              </w:rPr>
            </m:ctrlPr>
          </m:fPr>
          <m:num>
            <m:r>
              <w:rPr>
                <w:rFonts w:ascii="Cambria Math" w:eastAsiaTheme="minorEastAsia" w:hAnsi="Cambria Math" w:cs="Arial"/>
              </w:rPr>
              <m:t>π</m:t>
            </m:r>
          </m:num>
          <m:den>
            <m:r>
              <w:rPr>
                <w:rFonts w:ascii="Cambria Math" w:eastAsiaTheme="minorEastAsia" w:hAnsi="Cambria Math" w:cs="Arial"/>
              </w:rPr>
              <m:t>180</m:t>
            </m:r>
          </m:den>
        </m:f>
        <m:r>
          <w:rPr>
            <w:rFonts w:ascii="Cambria Math" w:eastAsiaTheme="minorEastAsia" w:hAnsi="Cambria Math" w:cs="Arial"/>
          </w:rPr>
          <m:t xml:space="preserve"> </m:t>
        </m:r>
      </m:oMath>
    </w:p>
    <w:p w:rsidR="006479FE" w:rsidRPr="006479FE" w:rsidRDefault="006479FE" w:rsidP="006479FE">
      <w:pPr>
        <w:rPr>
          <w:rFonts w:eastAsiaTheme="minorEastAsia"/>
        </w:rPr>
      </w:pPr>
      <w:r w:rsidRPr="00C0697A">
        <w:rPr>
          <w:rFonts w:eastAsiaTheme="minorEastAsia" w:cs="Arial"/>
        </w:rPr>
        <w:t>And all normalization</w:t>
      </w:r>
      <w:r w:rsidR="00B128A7">
        <w:rPr>
          <w:rFonts w:eastAsiaTheme="minorEastAsia"/>
        </w:rPr>
        <w:t xml:space="preserve"> constant for a </w:t>
      </w:r>
      <w:r>
        <w:rPr>
          <w:rFonts w:eastAsiaTheme="minorEastAsia"/>
        </w:rPr>
        <w:t xml:space="preserve">set of coefficients can be calculated </w:t>
      </w:r>
      <w:r w:rsidR="00B128A7">
        <w:rPr>
          <w:rFonts w:eastAsiaTheme="minorEastAsia"/>
        </w:rPr>
        <w:t xml:space="preserve">without any integration </w:t>
      </w:r>
      <w:r>
        <w:rPr>
          <w:rFonts w:eastAsiaTheme="minorEastAsia"/>
        </w:rPr>
        <w:t xml:space="preserve">and implemented as: </w:t>
      </w:r>
    </w:p>
    <w:p w:rsidR="00311CFB" w:rsidRPr="001C4B00" w:rsidRDefault="008D7EEE" w:rsidP="001C4B0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 xml:space="preserve">      n=</m:t>
          </m:r>
          <m:rad>
            <m:radPr>
              <m:degHide m:val="1"/>
              <m:ctrlPr>
                <w:rPr>
                  <w:rFonts w:ascii="Cambria Math" w:eastAsiaTheme="minorEastAsia" w:hAnsi="Cambria Math"/>
                  <w:i/>
                </w:rPr>
              </m:ctrlPr>
            </m:radPr>
            <m:deg/>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12</m:t>
                      </m:r>
                    </m:sub>
                    <m:sup>
                      <m:r>
                        <w:rPr>
                          <w:rFonts w:ascii="Cambria Math" w:hAnsi="Cambria Math"/>
                        </w:rPr>
                        <m:t>2</m:t>
                      </m:r>
                    </m:sup>
                  </m:sSubSup>
                </m:e>
              </m:d>
            </m:e>
          </m:rad>
        </m:oMath>
      </m:oMathPara>
    </w:p>
    <w:p w:rsidR="001C4B00" w:rsidRDefault="00B128A7">
      <w:r>
        <w:t>Where the prime coefficient is normalized.</w:t>
      </w:r>
      <w:r w:rsidR="00C0697A">
        <w:t xml:space="preserve"> This normalization method saves a lot of time in the code. It about halved the time it takes for my code to run when compared to the normalization by integration method, and it is more accurate.</w:t>
      </w:r>
    </w:p>
    <w:p w:rsidR="00B128A7" w:rsidRDefault="00B128A7">
      <w:r>
        <w:t>Finally, all gain patterns are always positive</w:t>
      </w:r>
      <w:r w:rsidR="00C0697A">
        <w:t xml:space="preserve"> with no adjusting necessary</w:t>
      </w:r>
      <w:r>
        <w:t>.</w:t>
      </w:r>
    </w:p>
    <w:p w:rsidR="00E95BCB" w:rsidRDefault="00E95BCB"/>
    <w:sectPr w:rsidR="00E95B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EEE" w:rsidRDefault="008D7EEE" w:rsidP="006F207C">
      <w:pPr>
        <w:spacing w:after="0" w:line="240" w:lineRule="auto"/>
      </w:pPr>
      <w:r>
        <w:separator/>
      </w:r>
    </w:p>
  </w:endnote>
  <w:endnote w:type="continuationSeparator" w:id="0">
    <w:p w:rsidR="008D7EEE" w:rsidRDefault="008D7EEE" w:rsidP="006F2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EEE" w:rsidRDefault="008D7EEE" w:rsidP="006F207C">
      <w:pPr>
        <w:spacing w:after="0" w:line="240" w:lineRule="auto"/>
      </w:pPr>
      <w:r>
        <w:separator/>
      </w:r>
    </w:p>
  </w:footnote>
  <w:footnote w:type="continuationSeparator" w:id="0">
    <w:p w:rsidR="008D7EEE" w:rsidRDefault="008D7EEE" w:rsidP="006F2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BCB"/>
    <w:rsid w:val="000031AD"/>
    <w:rsid w:val="000760DD"/>
    <w:rsid w:val="000B449F"/>
    <w:rsid w:val="00121983"/>
    <w:rsid w:val="001B5183"/>
    <w:rsid w:val="001C4B00"/>
    <w:rsid w:val="001D7ACB"/>
    <w:rsid w:val="002262FC"/>
    <w:rsid w:val="002E5EDE"/>
    <w:rsid w:val="00311CFB"/>
    <w:rsid w:val="003F5D12"/>
    <w:rsid w:val="00486028"/>
    <w:rsid w:val="004A0F61"/>
    <w:rsid w:val="004B1236"/>
    <w:rsid w:val="004D0225"/>
    <w:rsid w:val="00596598"/>
    <w:rsid w:val="005B2C15"/>
    <w:rsid w:val="005E2350"/>
    <w:rsid w:val="0060533C"/>
    <w:rsid w:val="006479FE"/>
    <w:rsid w:val="006735B9"/>
    <w:rsid w:val="006F13BB"/>
    <w:rsid w:val="006F207C"/>
    <w:rsid w:val="007E5054"/>
    <w:rsid w:val="00847E60"/>
    <w:rsid w:val="008D7EEE"/>
    <w:rsid w:val="008F1DCE"/>
    <w:rsid w:val="00B128A7"/>
    <w:rsid w:val="00BE4F1C"/>
    <w:rsid w:val="00C0697A"/>
    <w:rsid w:val="00E95BCB"/>
    <w:rsid w:val="00F16AC0"/>
    <w:rsid w:val="00F359AB"/>
    <w:rsid w:val="00FA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30FC"/>
  <w15:chartTrackingRefBased/>
  <w15:docId w15:val="{7D5BABD2-E5E1-40F6-82E1-13BA6472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BCB"/>
    <w:rPr>
      <w:color w:val="808080"/>
    </w:rPr>
  </w:style>
  <w:style w:type="table" w:styleId="TableGrid">
    <w:name w:val="Table Grid"/>
    <w:basedOn w:val="TableNormal"/>
    <w:uiPriority w:val="39"/>
    <w:rsid w:val="008F1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2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07C"/>
  </w:style>
  <w:style w:type="paragraph" w:styleId="Footer">
    <w:name w:val="footer"/>
    <w:basedOn w:val="Normal"/>
    <w:link w:val="FooterChar"/>
    <w:uiPriority w:val="99"/>
    <w:unhideWhenUsed/>
    <w:rsid w:val="006F2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c:creator>
  <cp:keywords/>
  <dc:description/>
  <cp:lastModifiedBy>Suren Gourapura</cp:lastModifiedBy>
  <cp:revision>7</cp:revision>
  <dcterms:created xsi:type="dcterms:W3CDTF">2018-03-13T17:45:00Z</dcterms:created>
  <dcterms:modified xsi:type="dcterms:W3CDTF">2018-04-03T23:51:00Z</dcterms:modified>
</cp:coreProperties>
</file>